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3E6B8">
      <w:pPr>
        <w:pStyle w:val="5"/>
        <w:bidi w:val="0"/>
      </w:pPr>
      <w:bookmarkStart w:id="0" w:name="supplementary-material"/>
      <w:r>
        <w:t>Supplementary Material</w:t>
      </w:r>
    </w:p>
    <w:p w14:paraId="091ED250">
      <w:pPr>
        <w:pStyle w:val="23"/>
        <w:ind w:left="0" w:leftChars="0" w:firstLine="0" w:firstLineChars="0"/>
        <w:rPr>
          <w:sz w:val="22"/>
          <w:szCs w:val="22"/>
        </w:rPr>
      </w:pPr>
      <w:r>
        <w:rPr>
          <w:b/>
          <w:bCs/>
          <w:sz w:val="22"/>
          <w:szCs w:val="22"/>
        </w:rPr>
        <w:t>Table S1.</w:t>
      </w:r>
      <w:r>
        <w:rPr>
          <w:sz w:val="22"/>
          <w:szCs w:val="22"/>
        </w:rPr>
        <w:t xml:space="preserve"> Multivariable logistic regression of factors associated with all-domain physical activity adherence (≥450 MET-minutes/week across all PPAQ domains; n = 335).</w:t>
      </w:r>
    </w:p>
    <w:tbl>
      <w:tblPr>
        <w:tblStyle w:val="41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8"/>
        <w:gridCol w:w="1201"/>
        <w:gridCol w:w="948"/>
        <w:gridCol w:w="1534"/>
        <w:gridCol w:w="1155"/>
      </w:tblGrid>
      <w:tr w14:paraId="459E912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268" w:type="pct"/>
          </w:tcPr>
          <w:p w14:paraId="79683418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Variable</w:t>
            </w:r>
          </w:p>
        </w:tc>
        <w:tc>
          <w:tcPr>
            <w:tcW w:w="678" w:type="pct"/>
          </w:tcPr>
          <w:p w14:paraId="35A80D48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35" w:type="pct"/>
          </w:tcPr>
          <w:p w14:paraId="5280341C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aOR</w:t>
            </w:r>
          </w:p>
        </w:tc>
        <w:tc>
          <w:tcPr>
            <w:tcW w:w="866" w:type="pct"/>
          </w:tcPr>
          <w:p w14:paraId="503F55E8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95% CI</w:t>
            </w:r>
          </w:p>
        </w:tc>
        <w:tc>
          <w:tcPr>
            <w:tcW w:w="652" w:type="pct"/>
          </w:tcPr>
          <w:p w14:paraId="471AACDF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</w:tc>
      </w:tr>
      <w:tr w14:paraId="6EE8C51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55BA0917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 (years)</w:t>
            </w:r>
          </w:p>
        </w:tc>
        <w:tc>
          <w:tcPr>
            <w:tcW w:w="678" w:type="pct"/>
          </w:tcPr>
          <w:p w14:paraId="1B31E844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0.030</w:t>
            </w:r>
          </w:p>
        </w:tc>
        <w:tc>
          <w:tcPr>
            <w:tcW w:w="535" w:type="pct"/>
          </w:tcPr>
          <w:p w14:paraId="0FAADE6D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1.030</w:t>
            </w:r>
          </w:p>
        </w:tc>
        <w:tc>
          <w:tcPr>
            <w:tcW w:w="866" w:type="pct"/>
          </w:tcPr>
          <w:p w14:paraId="1C673B04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0.950–1.117</w:t>
            </w:r>
          </w:p>
        </w:tc>
        <w:tc>
          <w:tcPr>
            <w:tcW w:w="652" w:type="pct"/>
          </w:tcPr>
          <w:p w14:paraId="3FE85BFA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0.476</w:t>
            </w:r>
          </w:p>
        </w:tc>
      </w:tr>
      <w:tr w14:paraId="55AA711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16B9F209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Education: College/undergraduate or above (Ref: High school or below)</w:t>
            </w:r>
          </w:p>
        </w:tc>
        <w:tc>
          <w:tcPr>
            <w:tcW w:w="678" w:type="pct"/>
          </w:tcPr>
          <w:p w14:paraId="2F6BB9E9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0.134</w:t>
            </w:r>
          </w:p>
        </w:tc>
        <w:tc>
          <w:tcPr>
            <w:tcW w:w="535" w:type="pct"/>
          </w:tcPr>
          <w:p w14:paraId="74A40CC6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1.143</w:t>
            </w:r>
          </w:p>
        </w:tc>
        <w:tc>
          <w:tcPr>
            <w:tcW w:w="866" w:type="pct"/>
          </w:tcPr>
          <w:p w14:paraId="44F549E5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0.500–2.615</w:t>
            </w:r>
          </w:p>
        </w:tc>
        <w:tc>
          <w:tcPr>
            <w:tcW w:w="652" w:type="pct"/>
          </w:tcPr>
          <w:p w14:paraId="4D055FC9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0.751</w:t>
            </w:r>
          </w:p>
        </w:tc>
      </w:tr>
      <w:tr w14:paraId="51B351E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1C9B786B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Employment status: Employed (Ref: Unemployed)</w:t>
            </w:r>
          </w:p>
        </w:tc>
        <w:tc>
          <w:tcPr>
            <w:tcW w:w="678" w:type="pct"/>
          </w:tcPr>
          <w:p w14:paraId="0C4D868C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0.365</w:t>
            </w:r>
          </w:p>
        </w:tc>
        <w:tc>
          <w:tcPr>
            <w:tcW w:w="535" w:type="pct"/>
          </w:tcPr>
          <w:p w14:paraId="09B38997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1.441</w:t>
            </w:r>
          </w:p>
        </w:tc>
        <w:tc>
          <w:tcPr>
            <w:tcW w:w="866" w:type="pct"/>
          </w:tcPr>
          <w:p w14:paraId="2842AD35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0.804–2.584</w:t>
            </w:r>
          </w:p>
        </w:tc>
        <w:tc>
          <w:tcPr>
            <w:tcW w:w="652" w:type="pct"/>
          </w:tcPr>
          <w:p w14:paraId="0B1F0039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0.220</w:t>
            </w:r>
          </w:p>
        </w:tc>
      </w:tr>
      <w:tr w14:paraId="36D2864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43A28A2B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Gestational age (weeks)</w:t>
            </w:r>
          </w:p>
        </w:tc>
        <w:tc>
          <w:tcPr>
            <w:tcW w:w="678" w:type="pct"/>
          </w:tcPr>
          <w:p w14:paraId="6AF37A2B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0.031</w:t>
            </w:r>
          </w:p>
        </w:tc>
        <w:tc>
          <w:tcPr>
            <w:tcW w:w="535" w:type="pct"/>
          </w:tcPr>
          <w:p w14:paraId="2AC113BE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1.032</w:t>
            </w:r>
          </w:p>
        </w:tc>
        <w:tc>
          <w:tcPr>
            <w:tcW w:w="866" w:type="pct"/>
          </w:tcPr>
          <w:p w14:paraId="7A161C4A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0.975–1.092</w:t>
            </w:r>
          </w:p>
        </w:tc>
        <w:tc>
          <w:tcPr>
            <w:tcW w:w="652" w:type="pct"/>
          </w:tcPr>
          <w:p w14:paraId="72BDF46F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0.280</w:t>
            </w:r>
          </w:p>
        </w:tc>
      </w:tr>
      <w:tr w14:paraId="446F01B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1583DBDB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Exercise benefits score</w:t>
            </w:r>
          </w:p>
        </w:tc>
        <w:tc>
          <w:tcPr>
            <w:tcW w:w="678" w:type="pct"/>
          </w:tcPr>
          <w:p w14:paraId="70B4B526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0.016</w:t>
            </w:r>
          </w:p>
        </w:tc>
        <w:tc>
          <w:tcPr>
            <w:tcW w:w="535" w:type="pct"/>
          </w:tcPr>
          <w:p w14:paraId="259B9CCF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1.017</w:t>
            </w:r>
          </w:p>
        </w:tc>
        <w:tc>
          <w:tcPr>
            <w:tcW w:w="866" w:type="pct"/>
          </w:tcPr>
          <w:p w14:paraId="45F9411A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0.986–1.048</w:t>
            </w:r>
          </w:p>
        </w:tc>
        <w:tc>
          <w:tcPr>
            <w:tcW w:w="652" w:type="pct"/>
          </w:tcPr>
          <w:p w14:paraId="10469763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0.296</w:t>
            </w:r>
          </w:p>
        </w:tc>
      </w:tr>
      <w:tr w14:paraId="1E60487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5213B7AC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Exercise barriers score</w:t>
            </w:r>
          </w:p>
        </w:tc>
        <w:tc>
          <w:tcPr>
            <w:tcW w:w="678" w:type="pct"/>
          </w:tcPr>
          <w:p w14:paraId="5A380944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0.010</w:t>
            </w:r>
          </w:p>
        </w:tc>
        <w:tc>
          <w:tcPr>
            <w:tcW w:w="535" w:type="pct"/>
          </w:tcPr>
          <w:p w14:paraId="4A342582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1.010</w:t>
            </w:r>
          </w:p>
        </w:tc>
        <w:tc>
          <w:tcPr>
            <w:tcW w:w="866" w:type="pct"/>
          </w:tcPr>
          <w:p w14:paraId="66BC9231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0.959–1.063</w:t>
            </w:r>
          </w:p>
        </w:tc>
        <w:tc>
          <w:tcPr>
            <w:tcW w:w="652" w:type="pct"/>
          </w:tcPr>
          <w:p w14:paraId="48A73F05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0.711</w:t>
            </w:r>
          </w:p>
        </w:tc>
      </w:tr>
      <w:tr w14:paraId="3B7E11A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23DDCF3B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Exercise self-efficacy score</w:t>
            </w:r>
          </w:p>
        </w:tc>
        <w:tc>
          <w:tcPr>
            <w:tcW w:w="678" w:type="pct"/>
          </w:tcPr>
          <w:p w14:paraId="301049F9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−0.001</w:t>
            </w:r>
          </w:p>
        </w:tc>
        <w:tc>
          <w:tcPr>
            <w:tcW w:w="535" w:type="pct"/>
          </w:tcPr>
          <w:p w14:paraId="209B6D08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0.999</w:t>
            </w:r>
          </w:p>
        </w:tc>
        <w:tc>
          <w:tcPr>
            <w:tcW w:w="866" w:type="pct"/>
          </w:tcPr>
          <w:p w14:paraId="00800881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0.939–1.063</w:t>
            </w:r>
          </w:p>
        </w:tc>
        <w:tc>
          <w:tcPr>
            <w:tcW w:w="652" w:type="pct"/>
          </w:tcPr>
          <w:p w14:paraId="545021A4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0.969</w:t>
            </w:r>
          </w:p>
        </w:tc>
      </w:tr>
      <w:tr w14:paraId="6EFA0A4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350041E0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Province (Ref: Guangdong)</w:t>
            </w:r>
          </w:p>
        </w:tc>
        <w:tc>
          <w:tcPr>
            <w:tcW w:w="678" w:type="pct"/>
          </w:tcPr>
          <w:p w14:paraId="062FD878">
            <w:pPr>
              <w:pStyle w:val="2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CE9BFBC">
            <w:pPr>
              <w:pStyle w:val="2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7B70F8AB">
            <w:pPr>
              <w:pStyle w:val="24"/>
              <w:rPr>
                <w:sz w:val="22"/>
                <w:szCs w:val="22"/>
              </w:rPr>
            </w:pPr>
          </w:p>
        </w:tc>
        <w:tc>
          <w:tcPr>
            <w:tcW w:w="652" w:type="pct"/>
          </w:tcPr>
          <w:p w14:paraId="3E56AA38">
            <w:pPr>
              <w:pStyle w:val="24"/>
              <w:rPr>
                <w:sz w:val="22"/>
                <w:szCs w:val="22"/>
              </w:rPr>
            </w:pPr>
          </w:p>
        </w:tc>
      </w:tr>
      <w:tr w14:paraId="4DD80A8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08D4ABEE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Zhejiang</w:t>
            </w:r>
          </w:p>
        </w:tc>
        <w:tc>
          <w:tcPr>
            <w:tcW w:w="678" w:type="pct"/>
          </w:tcPr>
          <w:p w14:paraId="5BDDE521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−0.874</w:t>
            </w:r>
          </w:p>
        </w:tc>
        <w:tc>
          <w:tcPr>
            <w:tcW w:w="535" w:type="pct"/>
          </w:tcPr>
          <w:p w14:paraId="2A3CAD78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0.417</w:t>
            </w:r>
          </w:p>
        </w:tc>
        <w:tc>
          <w:tcPr>
            <w:tcW w:w="866" w:type="pct"/>
          </w:tcPr>
          <w:p w14:paraId="650C0EA9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0.203–0.856</w:t>
            </w:r>
          </w:p>
        </w:tc>
        <w:tc>
          <w:tcPr>
            <w:tcW w:w="652" w:type="pct"/>
          </w:tcPr>
          <w:p w14:paraId="1C1AC291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0.017</w:t>
            </w:r>
          </w:p>
        </w:tc>
      </w:tr>
      <w:tr w14:paraId="089B66D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pct"/>
          </w:tcPr>
          <w:p w14:paraId="7EDD99E4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Shaanxi</w:t>
            </w:r>
          </w:p>
        </w:tc>
        <w:tc>
          <w:tcPr>
            <w:tcW w:w="678" w:type="pct"/>
          </w:tcPr>
          <w:p w14:paraId="76862093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−1.176</w:t>
            </w:r>
          </w:p>
        </w:tc>
        <w:tc>
          <w:tcPr>
            <w:tcW w:w="535" w:type="pct"/>
          </w:tcPr>
          <w:p w14:paraId="294196BF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0.308</w:t>
            </w:r>
          </w:p>
        </w:tc>
        <w:tc>
          <w:tcPr>
            <w:tcW w:w="866" w:type="pct"/>
          </w:tcPr>
          <w:p w14:paraId="141C6EF2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0.135–0.705</w:t>
            </w:r>
          </w:p>
        </w:tc>
        <w:tc>
          <w:tcPr>
            <w:tcW w:w="652" w:type="pct"/>
          </w:tcPr>
          <w:p w14:paraId="502E76DF">
            <w:pPr>
              <w:pStyle w:val="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0.005</w:t>
            </w:r>
          </w:p>
        </w:tc>
      </w:tr>
    </w:tbl>
    <w:p w14:paraId="3C32D974">
      <w:pPr>
        <w:pStyle w:val="3"/>
        <w:rPr>
          <w:sz w:val="22"/>
          <w:szCs w:val="22"/>
        </w:rPr>
      </w:pPr>
      <w:r>
        <w:rPr>
          <w:i/>
          <w:iCs/>
          <w:sz w:val="22"/>
          <w:szCs w:val="22"/>
        </w:rPr>
        <w:t>Abbreviations: aOR (adjusted odds ratio); CI (confidence interval); Ref (reference category).</w:t>
      </w:r>
    </w:p>
    <w:p w14:paraId="37C15390">
      <w:pPr>
        <w:pStyle w:val="3"/>
        <w:ind w:left="0" w:leftChars="0" w:firstLine="0" w:firstLineChars="0"/>
        <w:rPr>
          <w:sz w:val="21"/>
          <w:szCs w:val="21"/>
        </w:rPr>
      </w:pPr>
      <w:r>
        <w:rPr>
          <w:sz w:val="21"/>
          <w:szCs w:val="21"/>
        </w:rPr>
        <w:t>Note: Adherence was defined as accumulating at least 450 MET-minutes/week of moderate-intensity activity (≥3.0 METs) across all PPAQ domains (household/caregiving, occupational, sports/exercise, and transportation). The model is identical in specification to the a priori nine-parameter primary model (Table 4); all predictors were entered simultaneously. Model statistics: −2 Log likelihood = 329.871; Cox &amp; Snell R² = 0.040; Nagelkerke R² = 0.062; model χ² = 13.551 (df = 9), p = 0.139; Hosmer–Lemeshow χ² = 6.823 (df = 8), p = 0.556. All variance inflation factors were &lt; 1.6 (computed via the equivalent linear model). Because the outcome was frequent (265 of 335 women, 79.1%), the minority class contained only 70 events (events-per-parameter ≈ 7.8); results are presented as a sensitivity analysis and interpreted cautiously.</w:t>
      </w:r>
    </w:p>
    <w:bookmarkEnd w:id="0"/>
    <w:sectPr>
      <w:footnotePr>
        <w:numRestart w:val="eachSect"/>
      </w:footnotePr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864AA"/>
    <w:rsid w:val="1E71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120"/>
      <w:outlineLvl w:val="0"/>
    </w:pPr>
    <w:rPr>
      <w:rFonts w:ascii="Arial" w:hAnsi="Arial" w:cs="Arial"/>
      <w:b/>
      <w:sz w:val="36"/>
      <w:szCs w:val="36"/>
    </w:rPr>
  </w:style>
  <w:style w:type="paragraph" w:styleId="4">
    <w:name w:val="heading 2"/>
    <w:basedOn w:val="1"/>
    <w:next w:val="3"/>
    <w:link w:val="32"/>
    <w:unhideWhenUsed/>
    <w:qFormat/>
    <w:uiPriority w:val="9"/>
    <w:pPr>
      <w:keepNext/>
      <w:keepLines/>
      <w:spacing w:before="280" w:after="120"/>
      <w:outlineLvl w:val="1"/>
    </w:pPr>
    <w:rPr>
      <w:rFonts w:ascii="Arial" w:hAnsi="Arial" w:cs="Arial"/>
      <w:b/>
      <w:sz w:val="32"/>
      <w:szCs w:val="32"/>
    </w:rPr>
  </w:style>
  <w:style w:type="paragraph" w:styleId="5">
    <w:name w:val="heading 3"/>
    <w:basedOn w:val="1"/>
    <w:next w:val="3"/>
    <w:link w:val="33"/>
    <w:unhideWhenUsed/>
    <w:qFormat/>
    <w:uiPriority w:val="9"/>
    <w:pPr>
      <w:keepNext/>
      <w:keepLines/>
      <w:spacing w:before="240" w:after="120"/>
      <w:outlineLvl w:val="2"/>
    </w:pPr>
    <w:rPr>
      <w:rFonts w:ascii="Arial" w:hAnsi="Arial" w:cs="Arial"/>
      <w:b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200" w:after="120"/>
      <w:outlineLvl w:val="3"/>
    </w:pPr>
    <w:rPr>
      <w:rFonts w:ascii="Arial" w:hAnsi="Arial" w:cs="Arial"/>
      <w:b/>
      <w:i/>
      <w:iCs/>
      <w:sz w:val="24"/>
      <w:szCs w:val="24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20" w:line="360" w:lineRule="auto"/>
      <w:ind w:firstLine="480" w:firstLineChars="200"/>
    </w:pPr>
  </w:style>
  <w:style w:type="paragraph" w:styleId="12">
    <w:name w:val="caption"/>
    <w:basedOn w:val="1"/>
    <w:qFormat/>
    <w:uiPriority w:val="0"/>
    <w:pPr>
      <w:spacing w:before="0" w:after="120"/>
      <w:jc w:val="center"/>
    </w:pPr>
    <w:rPr>
      <w:i/>
      <w:color w:val="595959"/>
      <w:sz w:val="18"/>
      <w:szCs w:val="18"/>
    </w:rPr>
  </w:style>
  <w:style w:type="paragraph" w:styleId="13">
    <w:name w:val="Block Text"/>
    <w:basedOn w:val="3"/>
    <w:next w:val="3"/>
    <w:unhideWhenUsed/>
    <w:qFormat/>
    <w:uiPriority w:val="9"/>
    <w:pPr>
      <w:pBdr>
        <w:left w:val="single" w:color="B0BEC5" w:sz="12" w:space="4"/>
      </w:pBdr>
      <w:spacing w:before="100" w:after="120"/>
      <w:ind w:left="480" w:leftChars="200" w:right="240" w:rightChars="100" w:firstLine="0"/>
    </w:pPr>
    <w:rPr>
      <w:color w:val="595959"/>
    </w:r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240" w:line="240" w:lineRule="auto"/>
      <w:contextualSpacing/>
      <w:jc w:val="center"/>
    </w:pPr>
    <w:rPr>
      <w:rFonts w:ascii="Arial" w:hAnsi="Arial" w:cs="Arial"/>
      <w:b/>
      <w:sz w:val="44"/>
      <w:szCs w:val="44"/>
    </w:rPr>
  </w:style>
  <w:style w:type="paragraph" w:styleId="16">
    <w:name w:val="Subtitle"/>
    <w:basedOn w:val="15"/>
    <w:next w:val="3"/>
    <w:link w:val="26"/>
    <w:qFormat/>
    <w:uiPriority w:val="11"/>
    <w:pPr>
      <w:jc w:val="center"/>
    </w:pPr>
    <w:rPr>
      <w:rFonts w:ascii="Arial" w:hAnsi="Arial" w:cs="Arial"/>
      <w:color w:val="595959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  <w:pPr>
      <w:spacing w:after="60" w:line="240" w:lineRule="auto"/>
    </w:pPr>
    <w:rPr>
      <w:sz w:val="18"/>
      <w:szCs w:val="18"/>
    </w:rPr>
  </w:style>
  <w:style w:type="character" w:styleId="20">
    <w:name w:val="Hyperlink"/>
    <w:basedOn w:val="21"/>
    <w:qFormat/>
    <w:uiPriority w:val="0"/>
    <w:rPr>
      <w:color w:val="156082" w:themeColor="accent1"/>
      <w:u w:val="single"/>
      <w14:textFill>
        <w14:solidFill>
          <w14:schemeClr w14:val="accent1"/>
        </w14:solidFill>
      </w14:textFill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  <w:pPr>
      <w:spacing w:before="180"/>
      <w:ind w:firstLine="480" w:firstLineChars="200"/>
    </w:pPr>
  </w:style>
  <w:style w:type="paragraph" w:customStyle="1" w:styleId="24">
    <w:name w:val="Compact"/>
    <w:basedOn w:val="3"/>
    <w:qFormat/>
    <w:uiPriority w:val="0"/>
    <w:pPr>
      <w:spacing w:before="60" w:after="60" w:line="360" w:lineRule="auto"/>
      <w:ind w:firstLine="0" w:firstLineChars="0"/>
    </w:pPr>
  </w:style>
  <w:style w:type="character" w:customStyle="1" w:styleId="25">
    <w:name w:val="Title Char"/>
    <w:basedOn w:val="19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  <w:pPr>
      <w:ind w:left="480" w:leftChars="200" w:hanging="480" w:hangingChars="200"/>
    </w:pPr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Heading 7 Char"/>
    <w:basedOn w:val="19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Heading 8 Char"/>
    <w:basedOn w:val="19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9">
    <w:name w:val="Heading 9 Char"/>
    <w:basedOn w:val="19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60" w:line="240" w:lineRule="auto"/>
      <w:ind w:left="480" w:right="480" w:firstLine="0"/>
    </w:pPr>
    <w:rPr>
      <w:sz w:val="18"/>
      <w:szCs w:val="18"/>
    </w:rPr>
  </w:style>
  <w:style w:type="table" w:customStyle="1" w:styleId="41">
    <w:name w:val="Table"/>
    <w:semiHidden/>
    <w:unhideWhenUsed/>
    <w:qFormat/>
    <w:uiPriority w:val="0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  <w:pPr>
      <w:ind w:left="480"/>
    </w:pPr>
  </w:style>
  <w:style w:type="paragraph" w:customStyle="1" w:styleId="44">
    <w:name w:val="Table Caption"/>
    <w:basedOn w:val="12"/>
    <w:qFormat/>
    <w:uiPriority w:val="0"/>
    <w:pPr>
      <w:keepNext/>
      <w:jc w:val="center"/>
    </w:pPr>
    <w:rPr>
      <w:color w:val="595959"/>
      <w:sz w:val="18"/>
      <w:szCs w:val="18"/>
    </w:rPr>
  </w:style>
  <w:style w:type="paragraph" w:customStyle="1" w:styleId="45">
    <w:name w:val="Image Caption"/>
    <w:basedOn w:val="12"/>
    <w:qFormat/>
    <w:uiPriority w:val="0"/>
    <w:pPr>
      <w:jc w:val="center"/>
    </w:pPr>
    <w:rPr>
      <w:color w:val="595959"/>
      <w:sz w:val="18"/>
      <w:szCs w:val="18"/>
    </w:rPr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qFormat/>
    <w:uiPriority w:val="0"/>
    <w:rPr>
      <w:rFonts w:ascii="Consolas" w:hAnsi="Consolas" w:eastAsia="宋体"/>
      <w:sz w:val="20"/>
      <w:szCs w:val="20"/>
    </w:rPr>
  </w:style>
  <w:style w:type="character" w:customStyle="1" w:styleId="49">
    <w:name w:val="Section Number"/>
    <w:basedOn w:val="21"/>
    <w:qFormat/>
    <w:uiPriority w:val="0"/>
  </w:style>
  <w:style w:type="paragraph" w:customStyle="1" w:styleId="50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104862" w:themeColor="accent1" w:themeShade="BF"/>
    </w:rPr>
  </w:style>
  <w:style w:type="paragraph" w:customStyle="1" w:styleId="51">
    <w:name w:val="Source Code"/>
    <w:basedOn w:val="1"/>
    <w:qFormat/>
    <w:uiPriority w:val="0"/>
    <w:pPr>
      <w:shd w:val="clear" w:color="auto" w:fill="F5F5F5"/>
      <w:spacing w:before="60" w:after="60" w:line="240" w:lineRule="auto"/>
      <w:jc w:val="left"/>
    </w:pPr>
    <w:rPr>
      <w:rFonts w:ascii="Consolas" w:hAnsi="Consolas" w:eastAsia="宋体"/>
      <w:sz w:val="20"/>
      <w:szCs w:val="20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1453</Characters>
  <Lines>12</Lines>
  <Paragraphs>8</Paragraphs>
  <TotalTime>8</TotalTime>
  <ScaleCrop>false</ScaleCrop>
  <LinksUpToDate>false</LinksUpToDate>
  <CharactersWithSpaces>1632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2026-10-06T16:39:00Z</dcterms:created>
  <dc:creator>蓟兰心</dc:creator>
  <cp:lastModifiedBy>蓟兰心</cp:lastModifiedBy>
  <dcterms:modified xsi:type="dcterms:W3CDTF">2026-10-07T01:04:41Z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441222175F4C42A48F26C47D3A7C9390_13</vt:lpwstr>
  </property>
  <property fmtid="{D5CDD505-2E9C-101B-9397-08002B2CF9AE}" pid="4" name="KSOTemplateDocerSaveRecord">
    <vt:lpwstr>eyJoZGlkIjoiYmI0ODI3NGZhYTkxNDI0ZWIwZjc4MzE5OGIyZjllNGEiLCJ1c2VySWQiOiIzMTA3OTIyOTAifQ==</vt:lpwstr>
  </property>
</Properties>
</file>