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08344">
      <w:pPr>
        <w:spacing w:after="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en-US" w:bidi="ar-SA"/>
        </w:rPr>
        <w:t xml:space="preserve">Table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en-US" w:bidi="ar-SA"/>
        </w:rPr>
        <w:t xml:space="preserve"> Univariate and multivariate logistic regression analysis of factors associated with physical activity compliance among pregnant women (n = 335)</w:t>
      </w:r>
    </w:p>
    <w:p w14:paraId="25B813A7">
      <w:pPr>
        <w:spacing w:after="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en-US" w:bidi="ar-SA"/>
        </w:rPr>
      </w:pP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2745"/>
        <w:gridCol w:w="2586"/>
      </w:tblGrid>
      <w:tr w14:paraId="2D299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116" w:type="pct"/>
            <w:tcBorders>
              <w:top w:val="single" w:color="auto" w:sz="4" w:space="0"/>
              <w:bottom w:val="single" w:color="auto" w:sz="4" w:space="0"/>
            </w:tcBorders>
          </w:tcPr>
          <w:p w14:paraId="17BD5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Variable</w:t>
            </w:r>
          </w:p>
        </w:tc>
        <w:tc>
          <w:tcPr>
            <w:tcW w:w="1484" w:type="pct"/>
            <w:tcBorders>
              <w:top w:val="single" w:color="auto" w:sz="4" w:space="0"/>
              <w:bottom w:val="single" w:color="auto" w:sz="4" w:space="0"/>
            </w:tcBorders>
          </w:tcPr>
          <w:p w14:paraId="73607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Univariate Analysis</w:t>
            </w:r>
          </w:p>
        </w:tc>
        <w:tc>
          <w:tcPr>
            <w:tcW w:w="1398" w:type="pct"/>
            <w:tcBorders>
              <w:top w:val="single" w:color="auto" w:sz="4" w:space="0"/>
              <w:bottom w:val="single" w:color="auto" w:sz="4" w:space="0"/>
            </w:tcBorders>
          </w:tcPr>
          <w:p w14:paraId="34443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Multivariate Analysis</w:t>
            </w:r>
          </w:p>
        </w:tc>
      </w:tr>
      <w:tr w14:paraId="291AD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  <w:tcBorders>
              <w:top w:val="single" w:color="auto" w:sz="4" w:space="0"/>
            </w:tcBorders>
          </w:tcPr>
          <w:p w14:paraId="16991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84" w:type="pct"/>
            <w:tcBorders>
              <w:top w:val="single" w:color="auto" w:sz="4" w:space="0"/>
            </w:tcBorders>
          </w:tcPr>
          <w:p w14:paraId="44595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OR (95% CI), p</w:t>
            </w:r>
          </w:p>
        </w:tc>
        <w:tc>
          <w:tcPr>
            <w:tcW w:w="1398" w:type="pct"/>
            <w:tcBorders>
              <w:top w:val="single" w:color="auto" w:sz="4" w:space="0"/>
            </w:tcBorders>
          </w:tcPr>
          <w:p w14:paraId="58804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OR (95% CI), p</w:t>
            </w:r>
          </w:p>
        </w:tc>
      </w:tr>
      <w:tr w14:paraId="5841F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3BA8B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bookmarkStart w:id="0" w:name="_GoBack" w:colFirst="0" w:colLast="2"/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Demographic factors</w:t>
            </w:r>
          </w:p>
        </w:tc>
        <w:tc>
          <w:tcPr>
            <w:tcW w:w="1484" w:type="pct"/>
          </w:tcPr>
          <w:p w14:paraId="16014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3F839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31A42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5D910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Age (years)</w:t>
            </w:r>
          </w:p>
        </w:tc>
        <w:tc>
          <w:tcPr>
            <w:tcW w:w="1484" w:type="pct"/>
          </w:tcPr>
          <w:p w14:paraId="21B20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1.03 (0.96–1.10), 0.461</w:t>
            </w:r>
          </w:p>
        </w:tc>
        <w:tc>
          <w:tcPr>
            <w:tcW w:w="1398" w:type="pct"/>
          </w:tcPr>
          <w:p w14:paraId="6240B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1.02 (0.95–1.11), 0.552</w:t>
            </w:r>
          </w:p>
        </w:tc>
      </w:tr>
      <w:tr w14:paraId="38034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0C8E4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Education (Ref: Junior high and below)</w:t>
            </w:r>
          </w:p>
        </w:tc>
        <w:tc>
          <w:tcPr>
            <w:tcW w:w="1484" w:type="pct"/>
          </w:tcPr>
          <w:p w14:paraId="77150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3824F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6B1DB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71F33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High school/Technical secondary</w:t>
            </w:r>
          </w:p>
        </w:tc>
        <w:tc>
          <w:tcPr>
            <w:tcW w:w="1484" w:type="pct"/>
          </w:tcPr>
          <w:p w14:paraId="27717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1.03 (0.47–2.23), 0.951</w:t>
            </w:r>
          </w:p>
        </w:tc>
        <w:tc>
          <w:tcPr>
            <w:tcW w:w="1398" w:type="pct"/>
          </w:tcPr>
          <w:p w14:paraId="5625A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2.54 (0.43–14.89), 0.303</w:t>
            </w:r>
          </w:p>
        </w:tc>
      </w:tr>
      <w:tr w14:paraId="5D5F0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23ABB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College/Undergraduate</w:t>
            </w:r>
          </w:p>
        </w:tc>
        <w:tc>
          <w:tcPr>
            <w:tcW w:w="1484" w:type="pct"/>
          </w:tcPr>
          <w:p w14:paraId="6998A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0.85 (0.49–1.48), 0.567</w:t>
            </w:r>
          </w:p>
        </w:tc>
        <w:tc>
          <w:tcPr>
            <w:tcW w:w="1398" w:type="pct"/>
          </w:tcPr>
          <w:p w14:paraId="452A1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1.92 (0.36–10.12), 0.444</w:t>
            </w:r>
          </w:p>
        </w:tc>
      </w:tr>
      <w:tr w14:paraId="3034E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19CE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Graduate</w:t>
            </w:r>
          </w:p>
        </w:tc>
        <w:tc>
          <w:tcPr>
            <w:tcW w:w="1484" w:type="pct"/>
          </w:tcPr>
          <w:p w14:paraId="4E3C7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1.96 (0.89–4.31), 0.095</w:t>
            </w:r>
          </w:p>
        </w:tc>
        <w:tc>
          <w:tcPr>
            <w:tcW w:w="1398" w:type="pct"/>
          </w:tcPr>
          <w:p w14:paraId="3926A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2.40 (0.37–15.77), 0.362</w:t>
            </w:r>
          </w:p>
        </w:tc>
      </w:tr>
      <w:tr w14:paraId="0B6A2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00BD7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Employment status: Employed (Ref: Unemployed)</w:t>
            </w:r>
          </w:p>
        </w:tc>
        <w:tc>
          <w:tcPr>
            <w:tcW w:w="1484" w:type="pct"/>
          </w:tcPr>
          <w:p w14:paraId="3C0D6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0.89 (0.54–1.47), 0.656</w:t>
            </w:r>
          </w:p>
        </w:tc>
        <w:tc>
          <w:tcPr>
            <w:tcW w:w="1398" w:type="pct"/>
          </w:tcPr>
          <w:p w14:paraId="5953D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0.84 (0.48–1.47), 0.545</w:t>
            </w:r>
          </w:p>
        </w:tc>
      </w:tr>
      <w:tr w14:paraId="26CCC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2B101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Residence: Urban (Ref: Rural)</w:t>
            </w:r>
          </w:p>
        </w:tc>
        <w:tc>
          <w:tcPr>
            <w:tcW w:w="1484" w:type="pct"/>
          </w:tcPr>
          <w:p w14:paraId="05D38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0.67 (0.34–1.33), 0.252</w:t>
            </w:r>
          </w:p>
        </w:tc>
        <w:tc>
          <w:tcPr>
            <w:tcW w:w="1398" w:type="pct"/>
          </w:tcPr>
          <w:p w14:paraId="3CFF6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0.48 (0.22–1.06), 0.069</w:t>
            </w:r>
          </w:p>
        </w:tc>
      </w:tr>
      <w:tr w14:paraId="23D95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5164E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Living arrangement: Living separately (Ref: Living together)</w:t>
            </w:r>
          </w:p>
        </w:tc>
        <w:tc>
          <w:tcPr>
            <w:tcW w:w="1484" w:type="pct"/>
          </w:tcPr>
          <w:p w14:paraId="2CD58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1.11 (0.69–1.79), 0.680</w:t>
            </w:r>
          </w:p>
        </w:tc>
        <w:tc>
          <w:tcPr>
            <w:tcW w:w="1398" w:type="pct"/>
          </w:tcPr>
          <w:p w14:paraId="00556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1.07 (0.62–1.86), 0.799</w:t>
            </w:r>
          </w:p>
        </w:tc>
      </w:tr>
      <w:tr w14:paraId="48EB5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79881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Annual income (Ref: Below 100K CNY)</w:t>
            </w:r>
          </w:p>
        </w:tc>
        <w:tc>
          <w:tcPr>
            <w:tcW w:w="1484" w:type="pct"/>
          </w:tcPr>
          <w:p w14:paraId="548B6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4009A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1AD31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5893A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100-300K CNY</w:t>
            </w:r>
          </w:p>
        </w:tc>
        <w:tc>
          <w:tcPr>
            <w:tcW w:w="1484" w:type="pct"/>
          </w:tcPr>
          <w:p w14:paraId="61165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1.05 (0.65–1.70), 0.844</w:t>
            </w:r>
          </w:p>
        </w:tc>
        <w:tc>
          <w:tcPr>
            <w:tcW w:w="1398" w:type="pct"/>
          </w:tcPr>
          <w:p w14:paraId="76A71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1.04 (0.51–2.12), 0.907</w:t>
            </w:r>
          </w:p>
        </w:tc>
      </w:tr>
      <w:tr w14:paraId="32576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62A4B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Above 300K CNY</w:t>
            </w:r>
          </w:p>
        </w:tc>
        <w:tc>
          <w:tcPr>
            <w:tcW w:w="1484" w:type="pct"/>
          </w:tcPr>
          <w:p w14:paraId="6748A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1.21 (0.67–2.20), 0.526</w:t>
            </w:r>
          </w:p>
        </w:tc>
        <w:tc>
          <w:tcPr>
            <w:tcW w:w="1398" w:type="pct"/>
          </w:tcPr>
          <w:p w14:paraId="64B1C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0.98 (0.40–2.42), 0.968</w:t>
            </w:r>
          </w:p>
        </w:tc>
      </w:tr>
      <w:tr w14:paraId="4A5E7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1F97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Obstetric factors</w:t>
            </w:r>
          </w:p>
        </w:tc>
        <w:tc>
          <w:tcPr>
            <w:tcW w:w="1484" w:type="pct"/>
          </w:tcPr>
          <w:p w14:paraId="79D7D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0BF68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051D9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0C3A2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Gestational weeks</w:t>
            </w:r>
          </w:p>
        </w:tc>
        <w:tc>
          <w:tcPr>
            <w:tcW w:w="1484" w:type="pct"/>
          </w:tcPr>
          <w:p w14:paraId="68615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1.00 (0.95–1.05), 0.918</w:t>
            </w:r>
          </w:p>
        </w:tc>
        <w:tc>
          <w:tcPr>
            <w:tcW w:w="1398" w:type="pct"/>
          </w:tcPr>
          <w:p w14:paraId="2813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0.99 (0.90–1.09), 0.842</w:t>
            </w:r>
          </w:p>
        </w:tc>
      </w:tr>
      <w:tr w14:paraId="47560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085A3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Trimester (Ref: First trimester)</w:t>
            </w:r>
          </w:p>
        </w:tc>
        <w:tc>
          <w:tcPr>
            <w:tcW w:w="1484" w:type="pct"/>
          </w:tcPr>
          <w:p w14:paraId="2DE19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5122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13830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54D5E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Second trimester</w:t>
            </w:r>
          </w:p>
        </w:tc>
        <w:tc>
          <w:tcPr>
            <w:tcW w:w="1484" w:type="pct"/>
          </w:tcPr>
          <w:p w14:paraId="74AAD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1.79 (0.56–5.80), 0.329</w:t>
            </w:r>
          </w:p>
        </w:tc>
        <w:tc>
          <w:tcPr>
            <w:tcW w:w="1398" w:type="pct"/>
          </w:tcPr>
          <w:p w14:paraId="0D3BC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9.73 (0.55–171.99), 0.120</w:t>
            </w:r>
          </w:p>
        </w:tc>
      </w:tr>
      <w:tr w14:paraId="5BBBA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37EC8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Third trimester</w:t>
            </w:r>
          </w:p>
        </w:tc>
        <w:tc>
          <w:tcPr>
            <w:tcW w:w="1484" w:type="pct"/>
          </w:tcPr>
          <w:p w14:paraId="08D4A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0.81 (0.29–2.21), 0.674</w:t>
            </w:r>
          </w:p>
        </w:tc>
        <w:tc>
          <w:tcPr>
            <w:tcW w:w="1398" w:type="pct"/>
          </w:tcPr>
          <w:p w14:paraId="416E8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4.30 (0.17–110.22), 0.378</w:t>
            </w:r>
          </w:p>
        </w:tc>
      </w:tr>
      <w:tr w14:paraId="3700D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589F6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Parity: Multipara (Ref: Primipara)</w:t>
            </w:r>
          </w:p>
        </w:tc>
        <w:tc>
          <w:tcPr>
            <w:tcW w:w="1484" w:type="pct"/>
          </w:tcPr>
          <w:p w14:paraId="406B0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0.72 (0.41–1.25), 0.240</w:t>
            </w:r>
          </w:p>
        </w:tc>
        <w:tc>
          <w:tcPr>
            <w:tcW w:w="1398" w:type="pct"/>
          </w:tcPr>
          <w:p w14:paraId="2D9AA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0.73 (0.36–1.48), 0.383</w:t>
            </w:r>
          </w:p>
        </w:tc>
      </w:tr>
      <w:bookmarkEnd w:id="0"/>
      <w:tr w14:paraId="11030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1E9F2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Psychosocial factors</w:t>
            </w:r>
          </w:p>
        </w:tc>
        <w:tc>
          <w:tcPr>
            <w:tcW w:w="1484" w:type="pct"/>
          </w:tcPr>
          <w:p w14:paraId="04FA2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6051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2E60F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2718F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Exercise benefits score</w:t>
            </w:r>
          </w:p>
        </w:tc>
        <w:tc>
          <w:tcPr>
            <w:tcW w:w="1484" w:type="pct"/>
          </w:tcPr>
          <w:p w14:paraId="7C14A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1.03 (1.01–1.05), 0.007**</w:t>
            </w:r>
          </w:p>
        </w:tc>
        <w:tc>
          <w:tcPr>
            <w:tcW w:w="1398" w:type="pct"/>
          </w:tcPr>
          <w:p w14:paraId="2BC32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1.01 (0.98–1.04), 0.368</w:t>
            </w:r>
          </w:p>
        </w:tc>
      </w:tr>
      <w:tr w14:paraId="34FDA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2AD2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Exercise barriers score</w:t>
            </w:r>
          </w:p>
        </w:tc>
        <w:tc>
          <w:tcPr>
            <w:tcW w:w="1484" w:type="pct"/>
          </w:tcPr>
          <w:p w14:paraId="01D11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0.92(0.88–0.97), &lt;0.001***</w:t>
            </w:r>
          </w:p>
        </w:tc>
        <w:tc>
          <w:tcPr>
            <w:tcW w:w="1398" w:type="pct"/>
          </w:tcPr>
          <w:p w14:paraId="2D04B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0.93 (0.88–0.98), 0.004**</w:t>
            </w:r>
          </w:p>
        </w:tc>
      </w:tr>
      <w:tr w14:paraId="547B5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7A6FD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Self-efficacy score</w:t>
            </w:r>
          </w:p>
        </w:tc>
        <w:tc>
          <w:tcPr>
            <w:tcW w:w="1484" w:type="pct"/>
          </w:tcPr>
          <w:p w14:paraId="6B7B0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1.05 (1.01–1.10), 0.024*</w:t>
            </w:r>
          </w:p>
        </w:tc>
        <w:tc>
          <w:tcPr>
            <w:tcW w:w="1398" w:type="pct"/>
          </w:tcPr>
          <w:p w14:paraId="7FD8B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1.05 (0.99–1.11), 0.137</w:t>
            </w:r>
          </w:p>
        </w:tc>
      </w:tr>
      <w:tr w14:paraId="7F406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465AC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en-US" w:bidi="ar-SA"/>
              </w:rPr>
              <w:t>Regional factors</w:t>
            </w:r>
          </w:p>
        </w:tc>
        <w:tc>
          <w:tcPr>
            <w:tcW w:w="1484" w:type="pct"/>
          </w:tcPr>
          <w:p w14:paraId="56E75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08EB4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7745D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39849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Province (Ref: Guangdong)</w:t>
            </w:r>
          </w:p>
        </w:tc>
        <w:tc>
          <w:tcPr>
            <w:tcW w:w="1484" w:type="pct"/>
          </w:tcPr>
          <w:p w14:paraId="258F2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98" w:type="pct"/>
          </w:tcPr>
          <w:p w14:paraId="7BC10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</w:p>
        </w:tc>
      </w:tr>
      <w:tr w14:paraId="5A8B6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</w:tcPr>
          <w:p w14:paraId="4E607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Zhejiang</w:t>
            </w:r>
          </w:p>
        </w:tc>
        <w:tc>
          <w:tcPr>
            <w:tcW w:w="1484" w:type="pct"/>
          </w:tcPr>
          <w:p w14:paraId="6C0D9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0.94 (0.58–1.51), 0.782</w:t>
            </w:r>
          </w:p>
        </w:tc>
        <w:tc>
          <w:tcPr>
            <w:tcW w:w="1398" w:type="pct"/>
          </w:tcPr>
          <w:p w14:paraId="6B620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0.94 (0.48–1.82), 0.849</w:t>
            </w:r>
          </w:p>
        </w:tc>
      </w:tr>
      <w:tr w14:paraId="70DB2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pct"/>
            <w:tcBorders>
              <w:bottom w:val="single" w:color="auto" w:sz="4" w:space="0"/>
            </w:tcBorders>
          </w:tcPr>
          <w:p w14:paraId="5949D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Shanxi</w:t>
            </w:r>
          </w:p>
        </w:tc>
        <w:tc>
          <w:tcPr>
            <w:tcW w:w="1484" w:type="pct"/>
            <w:tcBorders>
              <w:bottom w:val="single" w:color="auto" w:sz="4" w:space="0"/>
            </w:tcBorders>
          </w:tcPr>
          <w:p w14:paraId="458C7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1.45 (0.84–2.50), 0.179</w:t>
            </w:r>
          </w:p>
        </w:tc>
        <w:tc>
          <w:tcPr>
            <w:tcW w:w="1398" w:type="pct"/>
            <w:tcBorders>
              <w:bottom w:val="single" w:color="auto" w:sz="4" w:space="0"/>
            </w:tcBorders>
          </w:tcPr>
          <w:p w14:paraId="4E000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en-US" w:bidi="ar-SA"/>
              </w:rPr>
              <w:t>1.48 (0.69–3.17), 0.308</w:t>
            </w:r>
          </w:p>
        </w:tc>
      </w:tr>
    </w:tbl>
    <w:p w14:paraId="4040AC50">
      <w:pPr>
        <w:spacing w:after="0" w:line="360" w:lineRule="auto"/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</w:pPr>
      <w:r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  <w:t>Abbreviations: OR = Odds Ratio; CI = Confidence Interval; Ref = Reference category.</w:t>
      </w:r>
    </w:p>
    <w:p w14:paraId="69E34703">
      <w:pPr>
        <w:spacing w:after="0" w:line="360" w:lineRule="auto"/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</w:pPr>
      <w:r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  <w:t>Note: Physical activity compliance was defined as ≥7.5 MET-hours per week. Variables with p &lt; 0.20 in univariate analysis were included in the multivariate model. Model fit statistics: -2 Log likelihood = 372.95; Cox &amp; Snell R² = 0.086; Nagelkerke R² = 0.129; Model χ² = 30.22 (df = 18), p = 0.035.</w:t>
      </w:r>
    </w:p>
    <w:p w14:paraId="48B45A42">
      <w:pPr>
        <w:numPr>
          <w:ilvl w:val="0"/>
          <w:numId w:val="0"/>
        </w:numPr>
        <w:spacing w:before="36" w:after="36" w:line="360" w:lineRule="auto"/>
        <w:ind w:left="240" w:leftChars="0"/>
        <w:rPr>
          <w:rFonts w:hint="default" w:ascii="Times New Roman" w:hAnsi="Times New Roman" w:eastAsia="宋体" w:cs="Times New Roman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  <w:t>*</w:t>
      </w:r>
      <w:r>
        <w:rPr>
          <w:rFonts w:hint="eastAsia" w:ascii="Times New Roman" w:hAnsi="Times New Roman" w:eastAsia="宋体" w:cs="Times New Roman"/>
          <w:sz w:val="22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sz w:val="22"/>
          <w:szCs w:val="22"/>
          <w:lang w:val="en-US" w:eastAsia="en-US" w:bidi="ar-SA"/>
        </w:rPr>
        <w:t>p &lt; 0.05, ** p &lt; 0.01, *** p &lt; 0.001.</w:t>
      </w:r>
    </w:p>
    <w:sectPr>
      <w:pgSz w:w="11906" w:h="16839"/>
      <w:pgMar w:top="1746" w:right="1440" w:bottom="1746" w:left="1440" w:header="964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D7DC1"/>
    <w:rsid w:val="0B3A5098"/>
    <w:rsid w:val="0E7A71BB"/>
    <w:rsid w:val="116974CF"/>
    <w:rsid w:val="1F0A5310"/>
    <w:rsid w:val="2C4324A4"/>
    <w:rsid w:val="300B73F6"/>
    <w:rsid w:val="41C1408C"/>
    <w:rsid w:val="44F25657"/>
    <w:rsid w:val="4F4E0311"/>
    <w:rsid w:val="58791752"/>
    <w:rsid w:val="596278A9"/>
    <w:rsid w:val="5D2469F6"/>
    <w:rsid w:val="677615E0"/>
    <w:rsid w:val="69211781"/>
    <w:rsid w:val="69B61007"/>
    <w:rsid w:val="6C6B706C"/>
    <w:rsid w:val="7A66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1861</Characters>
  <Lines>0</Lines>
  <Paragraphs>0</Paragraphs>
  <TotalTime>1</TotalTime>
  <ScaleCrop>false</ScaleCrop>
  <LinksUpToDate>false</LinksUpToDate>
  <CharactersWithSpaces>2085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2025-11-16T01:08:00Z</dcterms:created>
  <dc:creator>Administrator</dc:creator>
  <cp:lastModifiedBy>蓟兰心</cp:lastModifiedBy>
  <dcterms:modified xsi:type="dcterms:W3CDTF">2026-04-12T09:15:13Z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6C19B61576F247288F8A025CC45B95D3_13</vt:lpwstr>
  </property>
  <property fmtid="{D5CDD505-2E9C-101B-9397-08002B2CF9AE}" pid="4" name="KSOTemplateDocerSaveRecord">
    <vt:lpwstr>eyJoZGlkIjoiMjRhZGI2OWZhNmVmZGY5N2NiMTI4ZTVlMzZlOThjMjUiLCJ1c2VySWQiOiIzMTA3OTIyOTAifQ==</vt:lpwstr>
  </property>
</Properties>
</file>