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77F" w:rsidRDefault="00000000">
      <w:pPr>
        <w:ind w:firstLineChars="0" w:firstLine="0"/>
        <w:jc w:val="center"/>
        <w:rPr>
          <w:sz w:val="44"/>
          <w:szCs w:val="44"/>
        </w:rPr>
      </w:pPr>
      <w:r>
        <w:rPr>
          <w:b/>
          <w:bCs/>
          <w:sz w:val="44"/>
          <w:szCs w:val="44"/>
        </w:rPr>
        <w:t>Supplementary Materials</w:t>
      </w:r>
    </w:p>
    <w:p w:rsidR="00CA077F" w:rsidRDefault="00000000">
      <w:pPr>
        <w:ind w:firstLineChars="0" w:firstLine="0"/>
      </w:pPr>
      <w:r>
        <w:t xml:space="preserve">Table </w:t>
      </w:r>
      <w:r>
        <w:rPr>
          <w:rFonts w:hint="eastAsia"/>
        </w:rPr>
        <w:t>S1</w:t>
      </w:r>
      <w:r>
        <w:t>. Summary of soil physicochemical properties under different nitrogen treatments (</w:t>
      </w:r>
      <w:r>
        <w:rPr>
          <w:rFonts w:hint="eastAsia"/>
        </w:rPr>
        <w:t>N0</w:t>
      </w:r>
      <w:r>
        <w:t>, N1, N2).</w:t>
      </w:r>
    </w:p>
    <w:tbl>
      <w:tblPr>
        <w:tblW w:w="10632" w:type="dxa"/>
        <w:tblInd w:w="-709" w:type="dxa"/>
        <w:tblBorders>
          <w:top w:val="single" w:sz="4" w:space="0" w:color="auto"/>
          <w:bottom w:val="single" w:sz="4" w:space="0" w:color="auto"/>
        </w:tblBorders>
        <w:tblLayout w:type="fixed"/>
        <w:tblLook w:val="04A0" w:firstRow="1" w:lastRow="0" w:firstColumn="1" w:lastColumn="0" w:noHBand="0" w:noVBand="1"/>
      </w:tblPr>
      <w:tblGrid>
        <w:gridCol w:w="3544"/>
        <w:gridCol w:w="1134"/>
        <w:gridCol w:w="2268"/>
        <w:gridCol w:w="1134"/>
        <w:gridCol w:w="1276"/>
        <w:gridCol w:w="1276"/>
      </w:tblGrid>
      <w:tr w:rsidR="00CA077F" w:rsidTr="00950478">
        <w:trPr>
          <w:trHeight w:val="346"/>
        </w:trPr>
        <w:tc>
          <w:tcPr>
            <w:tcW w:w="3544" w:type="dxa"/>
            <w:tcBorders>
              <w:top w:val="single" w:sz="4" w:space="0" w:color="auto"/>
              <w:bottom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Soil variable</w:t>
            </w:r>
          </w:p>
        </w:tc>
        <w:tc>
          <w:tcPr>
            <w:tcW w:w="1134" w:type="dxa"/>
            <w:tcBorders>
              <w:top w:val="single" w:sz="4" w:space="0" w:color="auto"/>
              <w:bottom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Treatment</w:t>
            </w:r>
          </w:p>
        </w:tc>
        <w:tc>
          <w:tcPr>
            <w:tcW w:w="2268" w:type="dxa"/>
            <w:tcBorders>
              <w:top w:val="single" w:sz="4" w:space="0" w:color="auto"/>
              <w:bottom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Range</w:t>
            </w:r>
          </w:p>
        </w:tc>
        <w:tc>
          <w:tcPr>
            <w:tcW w:w="1134" w:type="dxa"/>
            <w:tcBorders>
              <w:top w:val="single" w:sz="4" w:space="0" w:color="auto"/>
              <w:bottom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CV (%)</w:t>
            </w:r>
          </w:p>
        </w:tc>
        <w:tc>
          <w:tcPr>
            <w:tcW w:w="1276" w:type="dxa"/>
            <w:tcBorders>
              <w:top w:val="single" w:sz="4" w:space="0" w:color="auto"/>
              <w:bottom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 vs N1</w:t>
            </w:r>
          </w:p>
        </w:tc>
        <w:tc>
          <w:tcPr>
            <w:tcW w:w="1276" w:type="dxa"/>
            <w:tcBorders>
              <w:top w:val="single" w:sz="4" w:space="0" w:color="auto"/>
              <w:bottom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 vs N2</w:t>
            </w:r>
          </w:p>
        </w:tc>
      </w:tr>
      <w:tr w:rsidR="00CA077F" w:rsidTr="00950478">
        <w:trPr>
          <w:trHeight w:val="346"/>
        </w:trPr>
        <w:tc>
          <w:tcPr>
            <w:tcW w:w="3544" w:type="dxa"/>
            <w:tcBorders>
              <w:top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Soil pH</w:t>
            </w:r>
          </w:p>
        </w:tc>
        <w:tc>
          <w:tcPr>
            <w:tcW w:w="1134" w:type="dxa"/>
            <w:tcBorders>
              <w:top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tcBorders>
              <w:top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4.94 - 5.52</w:t>
            </w:r>
          </w:p>
        </w:tc>
        <w:tc>
          <w:tcPr>
            <w:tcW w:w="1134" w:type="dxa"/>
            <w:tcBorders>
              <w:top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4.9</w:t>
            </w:r>
          </w:p>
        </w:tc>
        <w:tc>
          <w:tcPr>
            <w:tcW w:w="1276" w:type="dxa"/>
            <w:tcBorders>
              <w:top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tcBorders>
              <w:top w:val="single" w:sz="4" w:space="0" w:color="auto"/>
            </w:tcBorders>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Soil pH</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4.64 - 5.4</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6.1</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Soil pH</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4.7 - 5.21</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4</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carbon (SOC,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64.13 - 191.15</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62.3</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carbon (SOC,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86.57 - 154.34</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29.4</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carbon (SOC,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91.22 - 255.05</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46.5</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nitrogen (TN,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5780.05 - 7761.68</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10.7</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nitrogen (TN,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7067.68 - 8637.78</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7.9</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nitrogen (TN,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8095.75 - 12747.4</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18.7</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phosphorus (TP,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851.71 - 1696.16</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34.3</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phosphorus (TP,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983.22 - 1474.04</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17.1</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phosphorus (TP,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1020.22 - 1592.53</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21.6</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potassium (TK,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9866.08 - 13401.89</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11.8</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potassium (TK,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10648.68 - 13323.53</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8.7</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Total potassium (TK, mg/g)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7663.38 - 13511.85</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27.2</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Available nitrogen (AN, mg/kg)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522.38 - 906.94</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22.8</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Available nitrogen (AN, mg/kg)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480.51 - 796.35</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24.1</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Available nitrogen (AN, mg/kg)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515.48 - 1153.21</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33.7</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Available potassium (AK, mg/kg)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92.51 - 370.28</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80.8</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Available potassium (AK, mg/kg)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88.43 - 200.59</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37.4</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Available potassium (AK, mg/kg)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86.28 - 309.33</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45.1</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Available phosphorus (AP, mg/kg)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6.68 - 10.49</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18.9</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Available phosphorus (AP, mg/kg)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4.46 - 27.56</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77.8</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Available phosphorus (AP, mg/kg)</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10.92 - 24.57</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33.6</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Soil water content (WC, %)</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87.1 - 100</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5.8</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Soil water content (WC, %)</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73.9 - 100</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12.3</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Soil water content (WC, %)</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57.2 - 76.8</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11.7</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Electrical conductivity (EC, ds/m)</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N0</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1.18 - 1.78</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16.1</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Electrical conductivity (EC, ds/m)</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N1</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1.07 - 1.29</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9.4</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r w:rsidR="00CA077F" w:rsidTr="00950478">
        <w:trPr>
          <w:trHeight w:val="346"/>
        </w:trPr>
        <w:tc>
          <w:tcPr>
            <w:tcW w:w="354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Electrical conductivity (EC, ds/m)</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N2</w:t>
            </w:r>
          </w:p>
        </w:tc>
        <w:tc>
          <w:tcPr>
            <w:tcW w:w="2268"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0.73 - 1.29</w:t>
            </w:r>
          </w:p>
        </w:tc>
        <w:tc>
          <w:tcPr>
            <w:tcW w:w="1134"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20</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ns</w:t>
            </w:r>
          </w:p>
        </w:tc>
        <w:tc>
          <w:tcPr>
            <w:tcW w:w="1276" w:type="dxa"/>
            <w:shd w:val="clear" w:color="auto" w:fill="auto"/>
            <w:noWrap/>
            <w:vAlign w:val="center"/>
          </w:tcPr>
          <w:p w:rsidR="00CA077F" w:rsidRDefault="00000000" w:rsidP="00950478">
            <w:pPr>
              <w:adjustRightInd/>
              <w:ind w:firstLineChars="0" w:firstLine="0"/>
              <w:jc w:val="center"/>
              <w:rPr>
                <w:rFonts w:cs="Times New Roman"/>
                <w:color w:val="000000"/>
                <w:sz w:val="22"/>
                <w:szCs w:val="22"/>
              </w:rPr>
            </w:pPr>
            <w:r>
              <w:rPr>
                <w:rFonts w:cs="Times New Roman" w:hint="eastAsia"/>
                <w:color w:val="000000"/>
                <w:sz w:val="22"/>
                <w:szCs w:val="22"/>
              </w:rPr>
              <w:t>*</w:t>
            </w:r>
          </w:p>
        </w:tc>
      </w:tr>
    </w:tbl>
    <w:p w:rsidR="00CA077F" w:rsidRDefault="00000000">
      <w:pPr>
        <w:ind w:firstLineChars="0" w:firstLine="0"/>
      </w:pPr>
      <w:r>
        <w:t xml:space="preserve">Table </w:t>
      </w:r>
      <w:r>
        <w:rPr>
          <w:rFonts w:hint="eastAsia"/>
        </w:rPr>
        <w:t>S</w:t>
      </w:r>
      <w:r>
        <w:t>2. Summary of principal component analysis (PCA) of soil physicochemical properties.</w:t>
      </w:r>
    </w:p>
    <w:tbl>
      <w:tblPr>
        <w:tblW w:w="6350" w:type="dxa"/>
        <w:jc w:val="center"/>
        <w:tblBorders>
          <w:top w:val="single" w:sz="4" w:space="0" w:color="auto"/>
          <w:bottom w:val="single" w:sz="4" w:space="0" w:color="auto"/>
        </w:tblBorders>
        <w:tblLook w:val="04A0" w:firstRow="1" w:lastRow="0" w:firstColumn="1" w:lastColumn="0" w:noHBand="0" w:noVBand="1"/>
      </w:tblPr>
      <w:tblGrid>
        <w:gridCol w:w="3110"/>
        <w:gridCol w:w="1080"/>
        <w:gridCol w:w="1080"/>
        <w:gridCol w:w="1080"/>
      </w:tblGrid>
      <w:tr w:rsidR="00CA077F">
        <w:trPr>
          <w:trHeight w:val="346"/>
          <w:jc w:val="center"/>
        </w:trPr>
        <w:tc>
          <w:tcPr>
            <w:tcW w:w="3110" w:type="dxa"/>
            <w:tcBorders>
              <w:top w:val="single" w:sz="4" w:space="0" w:color="auto"/>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Metric</w:t>
            </w:r>
          </w:p>
        </w:tc>
        <w:tc>
          <w:tcPr>
            <w:tcW w:w="1080" w:type="dxa"/>
            <w:tcBorders>
              <w:top w:val="single" w:sz="4" w:space="0" w:color="auto"/>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Soil PC1</w:t>
            </w:r>
          </w:p>
        </w:tc>
        <w:tc>
          <w:tcPr>
            <w:tcW w:w="1080" w:type="dxa"/>
            <w:tcBorders>
              <w:top w:val="single" w:sz="4" w:space="0" w:color="auto"/>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Soil PC2</w:t>
            </w:r>
          </w:p>
        </w:tc>
        <w:tc>
          <w:tcPr>
            <w:tcW w:w="1080" w:type="dxa"/>
            <w:tcBorders>
              <w:top w:val="single" w:sz="4" w:space="0" w:color="auto"/>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Soil PC3</w:t>
            </w:r>
          </w:p>
        </w:tc>
      </w:tr>
      <w:tr w:rsidR="00CA077F">
        <w:trPr>
          <w:trHeight w:val="346"/>
          <w:jc w:val="center"/>
        </w:trPr>
        <w:tc>
          <w:tcPr>
            <w:tcW w:w="3110" w:type="dxa"/>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Eigenvalue</w:t>
            </w:r>
          </w:p>
        </w:tc>
        <w:tc>
          <w:tcPr>
            <w:tcW w:w="1080" w:type="dxa"/>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7.28</w:t>
            </w:r>
          </w:p>
        </w:tc>
        <w:tc>
          <w:tcPr>
            <w:tcW w:w="1080" w:type="dxa"/>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0.89</w:t>
            </w:r>
          </w:p>
        </w:tc>
        <w:tc>
          <w:tcPr>
            <w:tcW w:w="1080" w:type="dxa"/>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0.66</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Proportion Explained (%)</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72.8</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8.91</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6.56</w:t>
            </w:r>
          </w:p>
        </w:tc>
      </w:tr>
      <w:tr w:rsidR="00CA077F" w:rsidTr="00950478">
        <w:trPr>
          <w:trHeight w:val="346"/>
          <w:jc w:val="center"/>
        </w:trPr>
        <w:tc>
          <w:tcPr>
            <w:tcW w:w="3110" w:type="dxa"/>
            <w:tcBorders>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lastRenderedPageBreak/>
              <w:t>Cumulative Proportion (%)</w:t>
            </w:r>
          </w:p>
        </w:tc>
        <w:tc>
          <w:tcPr>
            <w:tcW w:w="1080" w:type="dxa"/>
            <w:tcBorders>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72.8</w:t>
            </w:r>
          </w:p>
        </w:tc>
        <w:tc>
          <w:tcPr>
            <w:tcW w:w="1080" w:type="dxa"/>
            <w:tcBorders>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81.72</w:t>
            </w:r>
          </w:p>
        </w:tc>
        <w:tc>
          <w:tcPr>
            <w:tcW w:w="1080" w:type="dxa"/>
            <w:tcBorders>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88.28</w:t>
            </w:r>
          </w:p>
        </w:tc>
      </w:tr>
      <w:tr w:rsidR="00CA077F" w:rsidTr="00950478">
        <w:trPr>
          <w:trHeight w:val="346"/>
          <w:jc w:val="center"/>
        </w:trPr>
        <w:tc>
          <w:tcPr>
            <w:tcW w:w="3110" w:type="dxa"/>
            <w:tcBorders>
              <w:top w:val="single" w:sz="4" w:space="0" w:color="auto"/>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Loading scores</w:t>
            </w:r>
          </w:p>
        </w:tc>
        <w:tc>
          <w:tcPr>
            <w:tcW w:w="1080" w:type="dxa"/>
            <w:tcBorders>
              <w:top w:val="single" w:sz="4" w:space="0" w:color="auto"/>
              <w:bottom w:val="single" w:sz="4" w:space="0" w:color="auto"/>
            </w:tcBorders>
            <w:shd w:val="clear" w:color="auto" w:fill="auto"/>
            <w:noWrap/>
            <w:vAlign w:val="center"/>
          </w:tcPr>
          <w:p w:rsidR="00CA077F" w:rsidRDefault="00CA077F">
            <w:pPr>
              <w:adjustRightInd/>
              <w:ind w:firstLineChars="0" w:firstLine="0"/>
              <w:jc w:val="center"/>
              <w:rPr>
                <w:rFonts w:cs="Times New Roman"/>
                <w:color w:val="000000"/>
                <w:sz w:val="22"/>
                <w:szCs w:val="22"/>
              </w:rPr>
            </w:pPr>
          </w:p>
        </w:tc>
        <w:tc>
          <w:tcPr>
            <w:tcW w:w="1080" w:type="dxa"/>
            <w:tcBorders>
              <w:top w:val="single" w:sz="4" w:space="0" w:color="auto"/>
              <w:bottom w:val="single" w:sz="4" w:space="0" w:color="auto"/>
            </w:tcBorders>
            <w:shd w:val="clear" w:color="auto" w:fill="auto"/>
            <w:noWrap/>
            <w:vAlign w:val="center"/>
          </w:tcPr>
          <w:p w:rsidR="00CA077F" w:rsidRDefault="00CA077F">
            <w:pPr>
              <w:adjustRightInd/>
              <w:ind w:firstLineChars="0" w:firstLine="0"/>
              <w:jc w:val="center"/>
              <w:rPr>
                <w:rFonts w:eastAsia="Times New Roman" w:cs="Times New Roman"/>
                <w:sz w:val="20"/>
                <w:szCs w:val="20"/>
              </w:rPr>
            </w:pPr>
          </w:p>
        </w:tc>
        <w:tc>
          <w:tcPr>
            <w:tcW w:w="1080" w:type="dxa"/>
            <w:tcBorders>
              <w:top w:val="single" w:sz="4" w:space="0" w:color="auto"/>
              <w:bottom w:val="single" w:sz="4" w:space="0" w:color="auto"/>
            </w:tcBorders>
            <w:shd w:val="clear" w:color="auto" w:fill="auto"/>
            <w:noWrap/>
            <w:vAlign w:val="center"/>
          </w:tcPr>
          <w:p w:rsidR="00CA077F" w:rsidRDefault="00CA077F">
            <w:pPr>
              <w:adjustRightInd/>
              <w:ind w:firstLineChars="0" w:firstLine="0"/>
              <w:jc w:val="center"/>
              <w:rPr>
                <w:rFonts w:eastAsia="Times New Roman" w:cs="Times New Roman"/>
                <w:sz w:val="20"/>
                <w:szCs w:val="20"/>
              </w:rPr>
            </w:pPr>
          </w:p>
        </w:tc>
      </w:tr>
      <w:tr w:rsidR="00CA077F" w:rsidTr="00950478">
        <w:trPr>
          <w:trHeight w:val="346"/>
          <w:jc w:val="center"/>
        </w:trPr>
        <w:tc>
          <w:tcPr>
            <w:tcW w:w="3110" w:type="dxa"/>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PH</w:t>
            </w:r>
          </w:p>
        </w:tc>
        <w:tc>
          <w:tcPr>
            <w:tcW w:w="1080" w:type="dxa"/>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0.27</w:t>
            </w:r>
          </w:p>
        </w:tc>
        <w:tc>
          <w:tcPr>
            <w:tcW w:w="1080" w:type="dxa"/>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0.27</w:t>
            </w:r>
          </w:p>
        </w:tc>
        <w:tc>
          <w:tcPr>
            <w:tcW w:w="1080" w:type="dxa"/>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-0.2</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Soil Organic Carbon (SOC)</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-0.36</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-0.06</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-0.07</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Total Nitrogen (TN)</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-0.34</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-0.09</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Total Phosphorus (TP)</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-0.34</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-0.27</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-0.13</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Total Potassium (TK)</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0.34</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0.21</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-0.06</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Available Nitrogen (AN)</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-0.34</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-0.27</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0.04</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Available Potassium (AK)</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-0.33</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-0.07</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Available Phosphorus (AP)</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-0.29</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0.36</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0.36</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Soil Moisture Content (WC)</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0.27</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-0.51</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-0.44</w:t>
            </w:r>
          </w:p>
        </w:tc>
      </w:tr>
      <w:tr w:rsidR="00CA077F">
        <w:trPr>
          <w:trHeight w:val="346"/>
          <w:jc w:val="center"/>
        </w:trPr>
        <w:tc>
          <w:tcPr>
            <w:tcW w:w="311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Electrical Conductivity (EC)</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0.25</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-0.4</w:t>
            </w:r>
          </w:p>
        </w:tc>
        <w:tc>
          <w:tcPr>
            <w:tcW w:w="1080" w:type="dxa"/>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0.77</w:t>
            </w:r>
          </w:p>
        </w:tc>
      </w:tr>
    </w:tbl>
    <w:p w:rsidR="00CA077F" w:rsidRDefault="00000000">
      <w:pPr>
        <w:ind w:firstLineChars="0" w:firstLine="0"/>
      </w:pPr>
      <w:r>
        <w:t xml:space="preserve">Table </w:t>
      </w:r>
      <w:r>
        <w:rPr>
          <w:rFonts w:hint="eastAsia"/>
        </w:rPr>
        <w:t>S3</w:t>
      </w:r>
      <w:r>
        <w:t xml:space="preserve">. Loadings of plant functional traits on the first two principal components (PC1 and PC2) derived from PCA of six traits of </w:t>
      </w:r>
      <w:r>
        <w:rPr>
          <w:i/>
          <w:iCs/>
        </w:rPr>
        <w:t>Deyeuxia angustifolia</w:t>
      </w:r>
      <w:r>
        <w:t>. PC1 and PC2 together explained 81.72% of the total trait variation. PC1 (56.88%) represents the fast–slow resource-use gradient, mainly driven by leaf and root C:N and N:P ratios. PC2 (28.62%) reflects the aboveground–belowground allocation gradient, dominated by trade-offs between root stoichiometry and biomass allocation (AGB/BGB).</w:t>
      </w:r>
    </w:p>
    <w:tbl>
      <w:tblPr>
        <w:tblW w:w="5491" w:type="dxa"/>
        <w:jc w:val="center"/>
        <w:tblLook w:val="04A0" w:firstRow="1" w:lastRow="0" w:firstColumn="1" w:lastColumn="0" w:noHBand="0" w:noVBand="1"/>
      </w:tblPr>
      <w:tblGrid>
        <w:gridCol w:w="2803"/>
        <w:gridCol w:w="1344"/>
        <w:gridCol w:w="1344"/>
      </w:tblGrid>
      <w:tr w:rsidR="00CA077F">
        <w:trPr>
          <w:trHeight w:val="352"/>
          <w:jc w:val="center"/>
        </w:trPr>
        <w:tc>
          <w:tcPr>
            <w:tcW w:w="2803" w:type="dxa"/>
            <w:tcBorders>
              <w:top w:val="single" w:sz="4" w:space="0" w:color="auto"/>
              <w:left w:val="nil"/>
              <w:bottom w:val="nil"/>
              <w:right w:val="nil"/>
            </w:tcBorders>
            <w:shd w:val="clear" w:color="auto" w:fill="auto"/>
            <w:noWrap/>
            <w:vAlign w:val="center"/>
          </w:tcPr>
          <w:p w:rsidR="00CA077F" w:rsidRDefault="00000000">
            <w:pPr>
              <w:adjustRightInd/>
              <w:ind w:firstLineChars="0" w:firstLine="0"/>
              <w:jc w:val="center"/>
              <w:rPr>
                <w:rFonts w:eastAsia="Times New Roman" w:cs="Times New Roman"/>
                <w:sz w:val="20"/>
                <w:szCs w:val="20"/>
              </w:rPr>
            </w:pPr>
            <w:r>
              <w:rPr>
                <w:rFonts w:cs="Times New Roman" w:hint="eastAsia"/>
                <w:color w:val="000000"/>
                <w:sz w:val="22"/>
                <w:szCs w:val="22"/>
              </w:rPr>
              <w:t>Loading scores</w:t>
            </w:r>
          </w:p>
        </w:tc>
        <w:tc>
          <w:tcPr>
            <w:tcW w:w="1344" w:type="dxa"/>
            <w:tcBorders>
              <w:top w:val="single" w:sz="4" w:space="0" w:color="auto"/>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PC1</w:t>
            </w:r>
          </w:p>
        </w:tc>
        <w:tc>
          <w:tcPr>
            <w:tcW w:w="1344" w:type="dxa"/>
            <w:tcBorders>
              <w:top w:val="single" w:sz="4" w:space="0" w:color="auto"/>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PC2</w:t>
            </w:r>
          </w:p>
        </w:tc>
      </w:tr>
      <w:tr w:rsidR="00CA077F">
        <w:trPr>
          <w:trHeight w:val="352"/>
          <w:jc w:val="center"/>
        </w:trPr>
        <w:tc>
          <w:tcPr>
            <w:tcW w:w="2803" w:type="dxa"/>
            <w:tcBorders>
              <w:top w:val="nil"/>
              <w:left w:val="nil"/>
              <w:bottom w:val="nil"/>
              <w:right w:val="nil"/>
            </w:tcBorders>
            <w:shd w:val="clear" w:color="auto" w:fill="auto"/>
            <w:noWrap/>
            <w:vAlign w:val="center"/>
          </w:tcPr>
          <w:p w:rsidR="00CA077F" w:rsidRDefault="00000000">
            <w:pPr>
              <w:adjustRightInd/>
              <w:ind w:firstLineChars="0" w:firstLine="0"/>
              <w:rPr>
                <w:rFonts w:cs="Times New Roman"/>
                <w:color w:val="000000"/>
                <w:sz w:val="22"/>
                <w:szCs w:val="22"/>
              </w:rPr>
            </w:pPr>
            <w:r>
              <w:rPr>
                <w:rFonts w:cs="Times New Roman" w:hint="eastAsia"/>
                <w:color w:val="000000"/>
                <w:sz w:val="22"/>
                <w:szCs w:val="22"/>
              </w:rPr>
              <w:t>Proportion Explained (%)</w:t>
            </w:r>
          </w:p>
        </w:tc>
        <w:tc>
          <w:tcPr>
            <w:tcW w:w="1344"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56.88</w:t>
            </w:r>
          </w:p>
        </w:tc>
        <w:tc>
          <w:tcPr>
            <w:tcW w:w="1344"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28.62</w:t>
            </w:r>
          </w:p>
        </w:tc>
      </w:tr>
      <w:tr w:rsidR="00CA077F" w:rsidTr="00950478">
        <w:trPr>
          <w:trHeight w:val="352"/>
          <w:jc w:val="center"/>
        </w:trPr>
        <w:tc>
          <w:tcPr>
            <w:tcW w:w="2803" w:type="dxa"/>
            <w:tcBorders>
              <w:top w:val="nil"/>
              <w:left w:val="nil"/>
              <w:bottom w:val="single" w:sz="4" w:space="0" w:color="auto"/>
              <w:right w:val="nil"/>
            </w:tcBorders>
            <w:shd w:val="clear" w:color="auto" w:fill="auto"/>
            <w:noWrap/>
            <w:vAlign w:val="center"/>
          </w:tcPr>
          <w:p w:rsidR="00CA077F" w:rsidRDefault="00000000">
            <w:pPr>
              <w:adjustRightInd/>
              <w:ind w:firstLineChars="0" w:firstLine="0"/>
              <w:rPr>
                <w:rFonts w:cs="Times New Roman"/>
                <w:color w:val="000000"/>
                <w:sz w:val="22"/>
                <w:szCs w:val="22"/>
              </w:rPr>
            </w:pPr>
            <w:r>
              <w:rPr>
                <w:rFonts w:cs="Times New Roman" w:hint="eastAsia"/>
                <w:color w:val="000000"/>
                <w:sz w:val="22"/>
                <w:szCs w:val="22"/>
              </w:rPr>
              <w:t>Cumulative Proportion (%)</w:t>
            </w:r>
          </w:p>
        </w:tc>
        <w:tc>
          <w:tcPr>
            <w:tcW w:w="1344" w:type="dxa"/>
            <w:tcBorders>
              <w:top w:val="nil"/>
              <w:left w:val="nil"/>
              <w:bottom w:val="single" w:sz="4" w:space="0" w:color="auto"/>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56.88</w:t>
            </w:r>
          </w:p>
        </w:tc>
        <w:tc>
          <w:tcPr>
            <w:tcW w:w="1344" w:type="dxa"/>
            <w:tcBorders>
              <w:top w:val="nil"/>
              <w:left w:val="nil"/>
              <w:bottom w:val="single" w:sz="4" w:space="0" w:color="auto"/>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85.50</w:t>
            </w:r>
          </w:p>
        </w:tc>
      </w:tr>
      <w:tr w:rsidR="00CA077F" w:rsidTr="00950478">
        <w:trPr>
          <w:trHeight w:val="352"/>
          <w:jc w:val="center"/>
        </w:trPr>
        <w:tc>
          <w:tcPr>
            <w:tcW w:w="2803" w:type="dxa"/>
            <w:tcBorders>
              <w:top w:val="single" w:sz="4" w:space="0" w:color="auto"/>
              <w:left w:val="nil"/>
              <w:bottom w:val="single" w:sz="4" w:space="0" w:color="auto"/>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Loading scores</w:t>
            </w:r>
          </w:p>
        </w:tc>
        <w:tc>
          <w:tcPr>
            <w:tcW w:w="1344" w:type="dxa"/>
            <w:tcBorders>
              <w:top w:val="single" w:sz="4" w:space="0" w:color="auto"/>
              <w:left w:val="nil"/>
              <w:bottom w:val="single" w:sz="4" w:space="0" w:color="auto"/>
              <w:right w:val="nil"/>
            </w:tcBorders>
            <w:shd w:val="clear" w:color="auto" w:fill="auto"/>
            <w:noWrap/>
            <w:vAlign w:val="center"/>
          </w:tcPr>
          <w:p w:rsidR="00CA077F" w:rsidRDefault="00CA077F">
            <w:pPr>
              <w:adjustRightInd/>
              <w:ind w:firstLineChars="0" w:firstLine="0"/>
              <w:jc w:val="center"/>
              <w:rPr>
                <w:rFonts w:cs="Times New Roman"/>
                <w:color w:val="000000"/>
                <w:sz w:val="22"/>
                <w:szCs w:val="22"/>
              </w:rPr>
            </w:pPr>
          </w:p>
        </w:tc>
        <w:tc>
          <w:tcPr>
            <w:tcW w:w="1344" w:type="dxa"/>
            <w:tcBorders>
              <w:top w:val="single" w:sz="4" w:space="0" w:color="auto"/>
              <w:left w:val="nil"/>
              <w:bottom w:val="single" w:sz="4" w:space="0" w:color="auto"/>
              <w:right w:val="nil"/>
            </w:tcBorders>
            <w:shd w:val="clear" w:color="auto" w:fill="auto"/>
            <w:noWrap/>
            <w:vAlign w:val="center"/>
          </w:tcPr>
          <w:p w:rsidR="00CA077F" w:rsidRDefault="00CA077F">
            <w:pPr>
              <w:adjustRightInd/>
              <w:ind w:firstLineChars="0" w:firstLine="0"/>
              <w:jc w:val="center"/>
              <w:rPr>
                <w:rFonts w:cs="Times New Roman"/>
                <w:color w:val="000000"/>
                <w:sz w:val="22"/>
                <w:szCs w:val="22"/>
              </w:rPr>
            </w:pPr>
          </w:p>
        </w:tc>
      </w:tr>
      <w:tr w:rsidR="00CA077F" w:rsidTr="00950478">
        <w:trPr>
          <w:trHeight w:val="336"/>
          <w:jc w:val="center"/>
        </w:trPr>
        <w:tc>
          <w:tcPr>
            <w:tcW w:w="2803" w:type="dxa"/>
            <w:tcBorders>
              <w:top w:val="single" w:sz="4" w:space="0" w:color="auto"/>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LCN</w:t>
            </w:r>
          </w:p>
        </w:tc>
        <w:tc>
          <w:tcPr>
            <w:tcW w:w="1344" w:type="dxa"/>
            <w:tcBorders>
              <w:top w:val="single" w:sz="4" w:space="0" w:color="auto"/>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0.53</w:t>
            </w:r>
          </w:p>
        </w:tc>
        <w:tc>
          <w:tcPr>
            <w:tcW w:w="1344" w:type="dxa"/>
            <w:tcBorders>
              <w:top w:val="single" w:sz="4" w:space="0" w:color="auto"/>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0.08</w:t>
            </w:r>
          </w:p>
        </w:tc>
      </w:tr>
      <w:tr w:rsidR="00CA077F">
        <w:trPr>
          <w:trHeight w:val="336"/>
          <w:jc w:val="center"/>
        </w:trPr>
        <w:tc>
          <w:tcPr>
            <w:tcW w:w="2803"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LNP</w:t>
            </w:r>
          </w:p>
        </w:tc>
        <w:tc>
          <w:tcPr>
            <w:tcW w:w="1344"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-0.53</w:t>
            </w:r>
          </w:p>
        </w:tc>
        <w:tc>
          <w:tcPr>
            <w:tcW w:w="1344"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-0.33</w:t>
            </w:r>
          </w:p>
        </w:tc>
      </w:tr>
      <w:tr w:rsidR="00CA077F">
        <w:trPr>
          <w:trHeight w:val="336"/>
          <w:jc w:val="center"/>
        </w:trPr>
        <w:tc>
          <w:tcPr>
            <w:tcW w:w="2803"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RCN</w:t>
            </w:r>
          </w:p>
        </w:tc>
        <w:tc>
          <w:tcPr>
            <w:tcW w:w="1344"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-0.44</w:t>
            </w:r>
          </w:p>
        </w:tc>
        <w:tc>
          <w:tcPr>
            <w:tcW w:w="1344"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0.48</w:t>
            </w:r>
          </w:p>
        </w:tc>
      </w:tr>
      <w:tr w:rsidR="00CA077F">
        <w:trPr>
          <w:trHeight w:val="336"/>
          <w:jc w:val="center"/>
        </w:trPr>
        <w:tc>
          <w:tcPr>
            <w:tcW w:w="2803"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RNP</w:t>
            </w:r>
          </w:p>
        </w:tc>
        <w:tc>
          <w:tcPr>
            <w:tcW w:w="1344"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0.38</w:t>
            </w:r>
          </w:p>
        </w:tc>
        <w:tc>
          <w:tcPr>
            <w:tcW w:w="1344" w:type="dxa"/>
            <w:tcBorders>
              <w:top w:val="nil"/>
              <w:left w:val="nil"/>
              <w:bottom w:val="nil"/>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-0.54</w:t>
            </w:r>
          </w:p>
        </w:tc>
      </w:tr>
      <w:tr w:rsidR="00CA077F">
        <w:trPr>
          <w:trHeight w:val="336"/>
          <w:jc w:val="center"/>
        </w:trPr>
        <w:tc>
          <w:tcPr>
            <w:tcW w:w="2803" w:type="dxa"/>
            <w:tcBorders>
              <w:top w:val="nil"/>
              <w:left w:val="nil"/>
              <w:bottom w:val="single" w:sz="4" w:space="0" w:color="auto"/>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AGB/BGB</w:t>
            </w:r>
          </w:p>
        </w:tc>
        <w:tc>
          <w:tcPr>
            <w:tcW w:w="1344" w:type="dxa"/>
            <w:tcBorders>
              <w:top w:val="nil"/>
              <w:left w:val="nil"/>
              <w:bottom w:val="single" w:sz="4" w:space="0" w:color="auto"/>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-0.33</w:t>
            </w:r>
          </w:p>
        </w:tc>
        <w:tc>
          <w:tcPr>
            <w:tcW w:w="1344" w:type="dxa"/>
            <w:tcBorders>
              <w:top w:val="nil"/>
              <w:left w:val="nil"/>
              <w:bottom w:val="single" w:sz="4" w:space="0" w:color="auto"/>
              <w:right w:val="nil"/>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hint="eastAsia"/>
                <w:color w:val="000000"/>
                <w:sz w:val="22"/>
                <w:szCs w:val="22"/>
              </w:rPr>
              <w:t>-0.61</w:t>
            </w:r>
          </w:p>
        </w:tc>
      </w:tr>
    </w:tbl>
    <w:p w:rsidR="00CA077F" w:rsidRDefault="00D948F5">
      <w:pPr>
        <w:ind w:firstLine="480"/>
        <w:jc w:val="center"/>
      </w:pPr>
      <w:r>
        <w:rPr>
          <w:noProof/>
        </w:rPr>
        <w:lastRenderedPageBreak/>
        <w:drawing>
          <wp:inline distT="0" distB="0" distL="0" distR="0">
            <wp:extent cx="3883231" cy="4050602"/>
            <wp:effectExtent l="0" t="0" r="3175" b="1270"/>
            <wp:docPr id="11683974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97498" name="图片 11683974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96732" cy="4064685"/>
                    </a:xfrm>
                    <a:prstGeom prst="rect">
                      <a:avLst/>
                    </a:prstGeom>
                  </pic:spPr>
                </pic:pic>
              </a:graphicData>
            </a:graphic>
          </wp:inline>
        </w:drawing>
      </w:r>
    </w:p>
    <w:p w:rsidR="00CA077F" w:rsidRDefault="00000000" w:rsidP="00D948F5">
      <w:pPr>
        <w:ind w:firstLineChars="0" w:firstLine="0"/>
        <w:jc w:val="both"/>
        <w:rPr>
          <w:rFonts w:cs="Times New Roman"/>
        </w:rPr>
      </w:pPr>
      <w:r>
        <w:t xml:space="preserve">Figure </w:t>
      </w:r>
      <w:r>
        <w:rPr>
          <w:rFonts w:hint="eastAsia"/>
        </w:rPr>
        <w:t>S</w:t>
      </w:r>
      <w:r>
        <w:t>1. Trait–trait correlation structure for the dominant sedge species across all nitrogen treatments. Ellipse orientation and color represent the direction and magnitude of Pearson correlations (n = 15 samples). Leaf and root C:N:P ratios formed two partially orthogonal clusters, whereas the whole‐plant allocation ratio (AGB/BGB) showed moderate associations with both leaf N:P and ro</w:t>
      </w:r>
      <w:r w:rsidR="00D948F5">
        <w:t>ot</w:t>
      </w:r>
      <w:r>
        <w:lastRenderedPageBreak/>
        <w:t xml:space="preserve">N:P, suggesting coordinated above–belowground nutrient adjustments. </w:t>
      </w:r>
      <w:r w:rsidR="00D948F5">
        <w:rPr>
          <w:rFonts w:cs="Times New Roman"/>
          <w:noProof/>
        </w:rPr>
        <w:drawing>
          <wp:inline distT="0" distB="0" distL="0" distR="0">
            <wp:extent cx="5274310" cy="4250055"/>
            <wp:effectExtent l="0" t="0" r="0" b="4445"/>
            <wp:docPr id="1457832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3290" name="图片 1457832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250055"/>
                    </a:xfrm>
                    <a:prstGeom prst="rect">
                      <a:avLst/>
                    </a:prstGeom>
                  </pic:spPr>
                </pic:pic>
              </a:graphicData>
            </a:graphic>
          </wp:inline>
        </w:drawing>
      </w:r>
    </w:p>
    <w:p w:rsidR="00353178" w:rsidRDefault="00000000">
      <w:pPr>
        <w:snapToGrid w:val="0"/>
        <w:ind w:firstLineChars="0" w:firstLine="0"/>
      </w:pPr>
      <w:r>
        <w:t xml:space="preserve">Figure </w:t>
      </w:r>
      <w:r>
        <w:rPr>
          <w:rFonts w:hint="eastAsia"/>
        </w:rPr>
        <w:t>S2</w:t>
      </w:r>
      <w:r>
        <w:t>.</w:t>
      </w:r>
      <w:r>
        <w:rPr>
          <w:rFonts w:hint="eastAsia"/>
        </w:rPr>
        <w:t xml:space="preserve"> </w:t>
      </w:r>
      <w:r>
        <w:t>(a–d) Relative abundance of dominant bacterial and fungal taxa at the phylum and class levels across treatments (</w:t>
      </w:r>
      <w:r>
        <w:rPr>
          <w:rFonts w:hint="eastAsia"/>
        </w:rPr>
        <w:t>N0</w:t>
      </w:r>
      <w:r>
        <w:t xml:space="preserve">, N1, N2). Nitrogen addition altered the proportional representation of several microbial groups, particularly within Proteobacteria, Actinobacteriota, and Ascomycota, although the direction and magnitude of responses varied among lineages.(e–f) Linear discriminant analysis effect size (LEfSe) identifies differentially enriched bacterial (e) and fungal (f) taxa among treatments. Taxa highlighted in yellow, green, and blue correspond to biomarkers significantly associated with </w:t>
      </w:r>
      <w:r>
        <w:rPr>
          <w:rFonts w:hint="eastAsia"/>
        </w:rPr>
        <w:t>N0</w:t>
      </w:r>
      <w:r>
        <w:t>, N1, and N2, respectively (LDA score &gt; 3.5). These biomarkers reflect treatment-specific shifts in microbial functional potentials and nutrient processing pathways.</w:t>
      </w:r>
    </w:p>
    <w:p w:rsidR="00353178" w:rsidRDefault="00353178" w:rsidP="00353178">
      <w:pPr>
        <w:wordWrap/>
        <w:adjustRightInd/>
        <w:ind w:firstLineChars="0" w:firstLine="0"/>
        <w:sectPr w:rsidR="00353178">
          <w:headerReference w:type="default" r:id="rId9"/>
          <w:footerReference w:type="default" r:id="rId10"/>
          <w:pgSz w:w="11906" w:h="16838"/>
          <w:pgMar w:top="1440" w:right="1800" w:bottom="1440" w:left="1800" w:header="851" w:footer="992" w:gutter="0"/>
          <w:lnNumType w:countBy="1" w:restart="continuous"/>
          <w:pgNumType w:start="1"/>
          <w:cols w:space="425"/>
          <w:docGrid w:type="lines" w:linePitch="312"/>
        </w:sectPr>
      </w:pPr>
    </w:p>
    <w:p w:rsidR="00CA077F" w:rsidRDefault="00000000">
      <w:pPr>
        <w:ind w:firstLine="480"/>
        <w:jc w:val="center"/>
      </w:pPr>
      <w:r>
        <w:rPr>
          <w:rFonts w:hint="eastAsia"/>
        </w:rPr>
        <w:lastRenderedPageBreak/>
        <w:t>Table S4</w:t>
      </w:r>
      <w:r>
        <w:t>.</w:t>
      </w:r>
      <w:r>
        <w:rPr>
          <w:rFonts w:ascii="宋体" w:hAnsi="宋体"/>
        </w:rPr>
        <w:t xml:space="preserve"> </w:t>
      </w:r>
      <w:r>
        <w:t xml:space="preserve">Divergent responses of bacterial communities to plant economic </w:t>
      </w:r>
    </w:p>
    <w:p w:rsidR="00353178" w:rsidRDefault="00000000" w:rsidP="00353178">
      <w:pPr>
        <w:ind w:firstLine="480"/>
        <w:jc w:val="center"/>
      </w:pPr>
      <w:r>
        <w:t>traits and soil gradients</w:t>
      </w:r>
    </w:p>
    <w:tbl>
      <w:tblPr>
        <w:tblW w:w="4824" w:type="pct"/>
        <w:jc w:val="center"/>
        <w:tblLayout w:type="fixed"/>
        <w:tblLook w:val="04A0" w:firstRow="1" w:lastRow="0" w:firstColumn="1" w:lastColumn="0" w:noHBand="0" w:noVBand="1"/>
      </w:tblPr>
      <w:tblGrid>
        <w:gridCol w:w="1135"/>
        <w:gridCol w:w="940"/>
        <w:gridCol w:w="8"/>
        <w:gridCol w:w="1045"/>
        <w:gridCol w:w="1217"/>
        <w:gridCol w:w="1401"/>
        <w:gridCol w:w="1236"/>
        <w:gridCol w:w="1228"/>
        <w:gridCol w:w="8"/>
        <w:gridCol w:w="1430"/>
        <w:gridCol w:w="1306"/>
        <w:gridCol w:w="991"/>
        <w:gridCol w:w="1522"/>
      </w:tblGrid>
      <w:tr w:rsidR="00353178" w:rsidTr="00353178">
        <w:trPr>
          <w:trHeight w:val="348"/>
          <w:jc w:val="center"/>
        </w:trPr>
        <w:tc>
          <w:tcPr>
            <w:tcW w:w="421" w:type="pct"/>
            <w:tcBorders>
              <w:top w:val="single" w:sz="4" w:space="0" w:color="auto"/>
              <w:left w:val="nil"/>
              <w:bottom w:val="nil"/>
              <w:right w:val="nil"/>
            </w:tcBorders>
            <w:shd w:val="clear" w:color="auto" w:fill="auto"/>
            <w:noWrap/>
            <w:vAlign w:val="center"/>
          </w:tcPr>
          <w:p w:rsidR="00CA077F" w:rsidRDefault="00CA077F" w:rsidP="00353178">
            <w:pPr>
              <w:adjustRightInd/>
              <w:ind w:firstLineChars="0" w:firstLine="0"/>
              <w:jc w:val="center"/>
              <w:rPr>
                <w:rFonts w:eastAsia="Times New Roman" w:cs="Times New Roman"/>
                <w:sz w:val="20"/>
                <w:szCs w:val="20"/>
              </w:rPr>
            </w:pPr>
          </w:p>
        </w:tc>
        <w:tc>
          <w:tcPr>
            <w:tcW w:w="740" w:type="pct"/>
            <w:gridSpan w:val="3"/>
            <w:tcBorders>
              <w:top w:val="single" w:sz="4" w:space="0" w:color="auto"/>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1"/>
                <w:szCs w:val="21"/>
              </w:rPr>
            </w:pPr>
            <w:r>
              <w:rPr>
                <w:rFonts w:cs="Times New Roman" w:hint="eastAsia"/>
                <w:color w:val="000000"/>
                <w:sz w:val="21"/>
                <w:szCs w:val="21"/>
              </w:rPr>
              <w:t>Overall bacteria</w:t>
            </w:r>
          </w:p>
        </w:tc>
        <w:tc>
          <w:tcPr>
            <w:tcW w:w="972" w:type="pct"/>
            <w:gridSpan w:val="2"/>
            <w:tcBorders>
              <w:top w:val="single" w:sz="4" w:space="0" w:color="auto"/>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Generalist bacteria</w:t>
            </w:r>
          </w:p>
        </w:tc>
        <w:tc>
          <w:tcPr>
            <w:tcW w:w="915" w:type="pct"/>
            <w:gridSpan w:val="2"/>
            <w:tcBorders>
              <w:top w:val="single" w:sz="4" w:space="0" w:color="auto"/>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Specialist bacteria</w:t>
            </w:r>
          </w:p>
        </w:tc>
        <w:tc>
          <w:tcPr>
            <w:tcW w:w="1019" w:type="pct"/>
            <w:gridSpan w:val="3"/>
            <w:tcBorders>
              <w:top w:val="single" w:sz="4" w:space="0" w:color="auto"/>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Putative N-cycling bacteria</w:t>
            </w:r>
          </w:p>
        </w:tc>
        <w:tc>
          <w:tcPr>
            <w:tcW w:w="934" w:type="pct"/>
            <w:gridSpan w:val="2"/>
            <w:tcBorders>
              <w:top w:val="single" w:sz="4" w:space="0" w:color="auto"/>
              <w:left w:val="nil"/>
              <w:bottom w:val="nil"/>
              <w:right w:val="nil"/>
            </w:tcBorders>
            <w:shd w:val="clear" w:color="auto" w:fill="auto"/>
            <w:noWrap/>
            <w:vAlign w:val="center"/>
          </w:tcPr>
          <w:p w:rsidR="00353178"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 xml:space="preserve">Putative redox-related </w:t>
            </w:r>
          </w:p>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bacteria</w:t>
            </w:r>
          </w:p>
        </w:tc>
      </w:tr>
      <w:tr w:rsidR="00353178" w:rsidTr="00353178">
        <w:trPr>
          <w:trHeight w:val="364"/>
          <w:jc w:val="center"/>
        </w:trPr>
        <w:tc>
          <w:tcPr>
            <w:tcW w:w="421" w:type="pct"/>
            <w:tcBorders>
              <w:top w:val="nil"/>
              <w:left w:val="nil"/>
              <w:bottom w:val="nil"/>
              <w:right w:val="nil"/>
            </w:tcBorders>
            <w:shd w:val="clear" w:color="auto" w:fill="auto"/>
            <w:noWrap/>
            <w:vAlign w:val="center"/>
          </w:tcPr>
          <w:p w:rsidR="00CA077F" w:rsidRDefault="00CA077F" w:rsidP="00353178">
            <w:pPr>
              <w:adjustRightInd/>
              <w:ind w:firstLineChars="0" w:firstLine="0"/>
              <w:jc w:val="center"/>
              <w:rPr>
                <w:rFonts w:cs="Times New Roman"/>
                <w:color w:val="000000"/>
                <w:sz w:val="22"/>
                <w:szCs w:val="22"/>
              </w:rPr>
            </w:pPr>
          </w:p>
        </w:tc>
        <w:tc>
          <w:tcPr>
            <w:tcW w:w="352" w:type="pct"/>
            <w:gridSpan w:val="2"/>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R</w:t>
            </w:r>
            <w:r>
              <w:rPr>
                <w:rFonts w:cs="Times New Roman" w:hint="eastAsia"/>
                <w:color w:val="000000"/>
                <w:sz w:val="21"/>
                <w:szCs w:val="21"/>
                <w:vertAlign w:val="superscript"/>
              </w:rPr>
              <w:t>2</w:t>
            </w:r>
          </w:p>
        </w:tc>
        <w:tc>
          <w:tcPr>
            <w:tcW w:w="388"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P</w:t>
            </w:r>
          </w:p>
        </w:tc>
        <w:tc>
          <w:tcPr>
            <w:tcW w:w="452"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R</w:t>
            </w:r>
            <w:r>
              <w:rPr>
                <w:rFonts w:cs="Times New Roman" w:hint="eastAsia"/>
                <w:color w:val="000000"/>
                <w:sz w:val="21"/>
                <w:szCs w:val="21"/>
                <w:vertAlign w:val="superscript"/>
              </w:rPr>
              <w:t>2</w:t>
            </w:r>
          </w:p>
        </w:tc>
        <w:tc>
          <w:tcPr>
            <w:tcW w:w="520"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P</w:t>
            </w:r>
          </w:p>
        </w:tc>
        <w:tc>
          <w:tcPr>
            <w:tcW w:w="459"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R</w:t>
            </w:r>
            <w:r>
              <w:rPr>
                <w:rFonts w:cs="Times New Roman" w:hint="eastAsia"/>
                <w:color w:val="000000"/>
                <w:sz w:val="21"/>
                <w:szCs w:val="21"/>
                <w:vertAlign w:val="superscript"/>
              </w:rPr>
              <w:t>2</w:t>
            </w:r>
          </w:p>
        </w:tc>
        <w:tc>
          <w:tcPr>
            <w:tcW w:w="459" w:type="pct"/>
            <w:gridSpan w:val="2"/>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P</w:t>
            </w:r>
          </w:p>
        </w:tc>
        <w:tc>
          <w:tcPr>
            <w:tcW w:w="531"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R</w:t>
            </w:r>
            <w:r>
              <w:rPr>
                <w:rFonts w:cs="Times New Roman" w:hint="eastAsia"/>
                <w:color w:val="000000"/>
                <w:sz w:val="21"/>
                <w:szCs w:val="21"/>
                <w:vertAlign w:val="superscript"/>
              </w:rPr>
              <w:t>2</w:t>
            </w:r>
          </w:p>
        </w:tc>
        <w:tc>
          <w:tcPr>
            <w:tcW w:w="485"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P</w:t>
            </w:r>
          </w:p>
        </w:tc>
        <w:tc>
          <w:tcPr>
            <w:tcW w:w="368"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R</w:t>
            </w:r>
            <w:r>
              <w:rPr>
                <w:rFonts w:cs="Times New Roman" w:hint="eastAsia"/>
                <w:color w:val="000000"/>
                <w:sz w:val="21"/>
                <w:szCs w:val="21"/>
                <w:vertAlign w:val="superscript"/>
              </w:rPr>
              <w:t>2</w:t>
            </w:r>
          </w:p>
        </w:tc>
        <w:tc>
          <w:tcPr>
            <w:tcW w:w="566"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P</w:t>
            </w:r>
          </w:p>
        </w:tc>
      </w:tr>
      <w:tr w:rsidR="00353178" w:rsidTr="00353178">
        <w:trPr>
          <w:trHeight w:val="348"/>
          <w:jc w:val="center"/>
        </w:trPr>
        <w:tc>
          <w:tcPr>
            <w:tcW w:w="42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Soil</w:t>
            </w:r>
            <w:r w:rsidR="00353178">
              <w:rPr>
                <w:rFonts w:cs="Times New Roman" w:hint="eastAsia"/>
                <w:color w:val="000000"/>
                <w:sz w:val="22"/>
                <w:szCs w:val="22"/>
              </w:rPr>
              <w:t xml:space="preserve"> </w:t>
            </w:r>
            <w:r>
              <w:rPr>
                <w:rFonts w:cs="Times New Roman" w:hint="eastAsia"/>
                <w:color w:val="000000"/>
                <w:sz w:val="22"/>
                <w:szCs w:val="22"/>
              </w:rPr>
              <w:t>PC1</w:t>
            </w:r>
          </w:p>
        </w:tc>
        <w:tc>
          <w:tcPr>
            <w:tcW w:w="352"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0.35</w:t>
            </w:r>
          </w:p>
        </w:tc>
        <w:tc>
          <w:tcPr>
            <w:tcW w:w="38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0.08</w:t>
            </w:r>
          </w:p>
        </w:tc>
        <w:tc>
          <w:tcPr>
            <w:tcW w:w="452"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520"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0.96</w:t>
            </w:r>
          </w:p>
        </w:tc>
        <w:tc>
          <w:tcPr>
            <w:tcW w:w="45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459"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0.89</w:t>
            </w:r>
          </w:p>
        </w:tc>
        <w:tc>
          <w:tcPr>
            <w:tcW w:w="53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0.08</w:t>
            </w:r>
          </w:p>
        </w:tc>
        <w:tc>
          <w:tcPr>
            <w:tcW w:w="48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0.29</w:t>
            </w:r>
          </w:p>
        </w:tc>
        <w:tc>
          <w:tcPr>
            <w:tcW w:w="36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0.08</w:t>
            </w:r>
          </w:p>
        </w:tc>
        <w:tc>
          <w:tcPr>
            <w:tcW w:w="56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0.29</w:t>
            </w:r>
          </w:p>
        </w:tc>
      </w:tr>
      <w:tr w:rsidR="00353178" w:rsidTr="00353178">
        <w:trPr>
          <w:trHeight w:val="348"/>
          <w:jc w:val="center"/>
        </w:trPr>
        <w:tc>
          <w:tcPr>
            <w:tcW w:w="42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Soil</w:t>
            </w:r>
            <w:r w:rsidR="00353178">
              <w:rPr>
                <w:rFonts w:cs="Times New Roman" w:hint="eastAsia"/>
                <w:color w:val="000000"/>
                <w:sz w:val="22"/>
                <w:szCs w:val="22"/>
              </w:rPr>
              <w:t xml:space="preserve"> </w:t>
            </w:r>
            <w:r>
              <w:rPr>
                <w:rFonts w:cs="Times New Roman" w:hint="eastAsia"/>
                <w:color w:val="000000"/>
                <w:sz w:val="22"/>
                <w:szCs w:val="22"/>
              </w:rPr>
              <w:t>PC2</w:t>
            </w:r>
          </w:p>
        </w:tc>
        <w:tc>
          <w:tcPr>
            <w:tcW w:w="34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0.08</w:t>
            </w:r>
          </w:p>
        </w:tc>
        <w:tc>
          <w:tcPr>
            <w:tcW w:w="391"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0.60</w:t>
            </w:r>
          </w:p>
        </w:tc>
        <w:tc>
          <w:tcPr>
            <w:tcW w:w="452"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b/>
                <w:bCs/>
                <w:color w:val="000000"/>
                <w:sz w:val="22"/>
                <w:szCs w:val="22"/>
              </w:rPr>
            </w:pPr>
            <w:r>
              <w:rPr>
                <w:rFonts w:cs="Times New Roman" w:hint="eastAsia"/>
                <w:b/>
                <w:bCs/>
                <w:color w:val="000000"/>
                <w:sz w:val="22"/>
                <w:szCs w:val="22"/>
              </w:rPr>
              <w:t>0.42</w:t>
            </w:r>
          </w:p>
        </w:tc>
        <w:tc>
          <w:tcPr>
            <w:tcW w:w="520"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b/>
                <w:bCs/>
                <w:color w:val="000000"/>
                <w:sz w:val="22"/>
                <w:szCs w:val="22"/>
              </w:rPr>
            </w:pPr>
            <w:r>
              <w:rPr>
                <w:rFonts w:cs="Times New Roman" w:hint="eastAsia"/>
                <w:b/>
                <w:bCs/>
                <w:color w:val="000000"/>
                <w:sz w:val="22"/>
                <w:szCs w:val="22"/>
              </w:rPr>
              <w:t>0.01*</w:t>
            </w:r>
          </w:p>
        </w:tc>
        <w:tc>
          <w:tcPr>
            <w:tcW w:w="45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0.21</w:t>
            </w:r>
          </w:p>
        </w:tc>
        <w:tc>
          <w:tcPr>
            <w:tcW w:w="45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0.06</w:t>
            </w:r>
          </w:p>
        </w:tc>
        <w:tc>
          <w:tcPr>
            <w:tcW w:w="534"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0.25</w:t>
            </w:r>
          </w:p>
        </w:tc>
        <w:tc>
          <w:tcPr>
            <w:tcW w:w="48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0.07</w:t>
            </w:r>
          </w:p>
        </w:tc>
        <w:tc>
          <w:tcPr>
            <w:tcW w:w="36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0.25</w:t>
            </w:r>
          </w:p>
        </w:tc>
        <w:tc>
          <w:tcPr>
            <w:tcW w:w="56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0.05</w:t>
            </w:r>
          </w:p>
        </w:tc>
      </w:tr>
      <w:tr w:rsidR="00353178" w:rsidTr="00353178">
        <w:trPr>
          <w:trHeight w:val="348"/>
          <w:jc w:val="center"/>
        </w:trPr>
        <w:tc>
          <w:tcPr>
            <w:tcW w:w="42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Soil</w:t>
            </w:r>
            <w:r w:rsidR="00353178">
              <w:rPr>
                <w:rFonts w:cs="Times New Roman" w:hint="eastAsia"/>
                <w:color w:val="000000"/>
                <w:sz w:val="22"/>
                <w:szCs w:val="22"/>
              </w:rPr>
              <w:t xml:space="preserve"> </w:t>
            </w:r>
            <w:r>
              <w:rPr>
                <w:rFonts w:cs="Times New Roman" w:hint="eastAsia"/>
                <w:color w:val="000000"/>
                <w:sz w:val="22"/>
                <w:szCs w:val="22"/>
              </w:rPr>
              <w:t>PC3</w:t>
            </w:r>
          </w:p>
        </w:tc>
        <w:tc>
          <w:tcPr>
            <w:tcW w:w="34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0.14</w:t>
            </w:r>
          </w:p>
        </w:tc>
        <w:tc>
          <w:tcPr>
            <w:tcW w:w="391"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0.42</w:t>
            </w:r>
          </w:p>
        </w:tc>
        <w:tc>
          <w:tcPr>
            <w:tcW w:w="452"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520"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1.00</w:t>
            </w:r>
          </w:p>
        </w:tc>
        <w:tc>
          <w:tcPr>
            <w:tcW w:w="45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45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0.99</w:t>
            </w:r>
          </w:p>
        </w:tc>
        <w:tc>
          <w:tcPr>
            <w:tcW w:w="534"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0.03</w:t>
            </w:r>
          </w:p>
        </w:tc>
        <w:tc>
          <w:tcPr>
            <w:tcW w:w="48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0.51</w:t>
            </w:r>
          </w:p>
        </w:tc>
        <w:tc>
          <w:tcPr>
            <w:tcW w:w="36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0.03</w:t>
            </w:r>
          </w:p>
        </w:tc>
        <w:tc>
          <w:tcPr>
            <w:tcW w:w="56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0.54</w:t>
            </w:r>
          </w:p>
        </w:tc>
      </w:tr>
      <w:tr w:rsidR="00353178" w:rsidTr="00353178">
        <w:trPr>
          <w:trHeight w:val="348"/>
          <w:jc w:val="center"/>
        </w:trPr>
        <w:tc>
          <w:tcPr>
            <w:tcW w:w="42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LN</w:t>
            </w:r>
          </w:p>
        </w:tc>
        <w:tc>
          <w:tcPr>
            <w:tcW w:w="34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0.02</w:t>
            </w:r>
          </w:p>
        </w:tc>
        <w:tc>
          <w:tcPr>
            <w:tcW w:w="391"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0.84</w:t>
            </w:r>
          </w:p>
        </w:tc>
        <w:tc>
          <w:tcPr>
            <w:tcW w:w="452"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0.10</w:t>
            </w:r>
          </w:p>
        </w:tc>
        <w:tc>
          <w:tcPr>
            <w:tcW w:w="520"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0.25</w:t>
            </w:r>
          </w:p>
        </w:tc>
        <w:tc>
          <w:tcPr>
            <w:tcW w:w="45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0.03</w:t>
            </w:r>
          </w:p>
        </w:tc>
        <w:tc>
          <w:tcPr>
            <w:tcW w:w="45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0.48</w:t>
            </w:r>
          </w:p>
        </w:tc>
        <w:tc>
          <w:tcPr>
            <w:tcW w:w="534"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0.18</w:t>
            </w:r>
          </w:p>
        </w:tc>
        <w:tc>
          <w:tcPr>
            <w:tcW w:w="48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0.12</w:t>
            </w:r>
          </w:p>
        </w:tc>
        <w:tc>
          <w:tcPr>
            <w:tcW w:w="36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0.18</w:t>
            </w:r>
          </w:p>
        </w:tc>
        <w:tc>
          <w:tcPr>
            <w:tcW w:w="56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0.13</w:t>
            </w:r>
          </w:p>
        </w:tc>
      </w:tr>
      <w:tr w:rsidR="00353178" w:rsidTr="00353178">
        <w:trPr>
          <w:trHeight w:val="348"/>
          <w:jc w:val="center"/>
        </w:trPr>
        <w:tc>
          <w:tcPr>
            <w:tcW w:w="42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RN</w:t>
            </w:r>
          </w:p>
        </w:tc>
        <w:tc>
          <w:tcPr>
            <w:tcW w:w="34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0.06</w:t>
            </w:r>
          </w:p>
        </w:tc>
        <w:tc>
          <w:tcPr>
            <w:tcW w:w="391"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0.67</w:t>
            </w:r>
          </w:p>
        </w:tc>
        <w:tc>
          <w:tcPr>
            <w:tcW w:w="452"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520"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0.76</w:t>
            </w:r>
          </w:p>
        </w:tc>
        <w:tc>
          <w:tcPr>
            <w:tcW w:w="45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45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0.79</w:t>
            </w:r>
          </w:p>
        </w:tc>
        <w:tc>
          <w:tcPr>
            <w:tcW w:w="534"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0.10</w:t>
            </w:r>
          </w:p>
        </w:tc>
        <w:tc>
          <w:tcPr>
            <w:tcW w:w="48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0.24</w:t>
            </w:r>
          </w:p>
        </w:tc>
        <w:tc>
          <w:tcPr>
            <w:tcW w:w="36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0.10</w:t>
            </w:r>
          </w:p>
        </w:tc>
        <w:tc>
          <w:tcPr>
            <w:tcW w:w="56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0.27</w:t>
            </w:r>
          </w:p>
        </w:tc>
      </w:tr>
      <w:tr w:rsidR="00353178" w:rsidTr="00353178">
        <w:trPr>
          <w:trHeight w:val="348"/>
          <w:jc w:val="center"/>
        </w:trPr>
        <w:tc>
          <w:tcPr>
            <w:tcW w:w="42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LC</w:t>
            </w:r>
          </w:p>
        </w:tc>
        <w:tc>
          <w:tcPr>
            <w:tcW w:w="34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b/>
                <w:bCs/>
                <w:color w:val="000000"/>
                <w:sz w:val="22"/>
                <w:szCs w:val="22"/>
              </w:rPr>
            </w:pPr>
            <w:r>
              <w:rPr>
                <w:rFonts w:cs="Times New Roman" w:hint="eastAsia"/>
                <w:b/>
                <w:bCs/>
                <w:color w:val="000000"/>
                <w:sz w:val="22"/>
                <w:szCs w:val="22"/>
              </w:rPr>
              <w:t>0.53</w:t>
            </w:r>
          </w:p>
        </w:tc>
        <w:tc>
          <w:tcPr>
            <w:tcW w:w="391"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b/>
                <w:bCs/>
                <w:color w:val="000000"/>
                <w:sz w:val="22"/>
                <w:szCs w:val="22"/>
              </w:rPr>
            </w:pPr>
            <w:r>
              <w:rPr>
                <w:rFonts w:cs="Times New Roman" w:hint="eastAsia"/>
                <w:b/>
                <w:bCs/>
                <w:color w:val="000000"/>
                <w:sz w:val="22"/>
                <w:szCs w:val="22"/>
              </w:rPr>
              <w:t>0.01*</w:t>
            </w:r>
          </w:p>
        </w:tc>
        <w:tc>
          <w:tcPr>
            <w:tcW w:w="452"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520"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0.48</w:t>
            </w:r>
          </w:p>
        </w:tc>
        <w:tc>
          <w:tcPr>
            <w:tcW w:w="45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45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0.83</w:t>
            </w:r>
          </w:p>
        </w:tc>
        <w:tc>
          <w:tcPr>
            <w:tcW w:w="534"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0.11</w:t>
            </w:r>
          </w:p>
        </w:tc>
        <w:tc>
          <w:tcPr>
            <w:tcW w:w="48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0.23</w:t>
            </w:r>
          </w:p>
        </w:tc>
        <w:tc>
          <w:tcPr>
            <w:tcW w:w="36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0.11</w:t>
            </w:r>
          </w:p>
        </w:tc>
        <w:tc>
          <w:tcPr>
            <w:tcW w:w="56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0.25</w:t>
            </w:r>
          </w:p>
        </w:tc>
      </w:tr>
      <w:tr w:rsidR="00353178" w:rsidTr="00353178">
        <w:trPr>
          <w:trHeight w:val="348"/>
          <w:jc w:val="center"/>
        </w:trPr>
        <w:tc>
          <w:tcPr>
            <w:tcW w:w="42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RC</w:t>
            </w:r>
          </w:p>
        </w:tc>
        <w:tc>
          <w:tcPr>
            <w:tcW w:w="34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391"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0.97</w:t>
            </w:r>
          </w:p>
        </w:tc>
        <w:tc>
          <w:tcPr>
            <w:tcW w:w="452"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0.08</w:t>
            </w:r>
          </w:p>
        </w:tc>
        <w:tc>
          <w:tcPr>
            <w:tcW w:w="520"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0.31</w:t>
            </w:r>
          </w:p>
        </w:tc>
        <w:tc>
          <w:tcPr>
            <w:tcW w:w="45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0.03</w:t>
            </w:r>
          </w:p>
        </w:tc>
        <w:tc>
          <w:tcPr>
            <w:tcW w:w="45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0.55</w:t>
            </w:r>
          </w:p>
        </w:tc>
        <w:tc>
          <w:tcPr>
            <w:tcW w:w="534"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0.23</w:t>
            </w:r>
          </w:p>
        </w:tc>
        <w:tc>
          <w:tcPr>
            <w:tcW w:w="48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0.08</w:t>
            </w:r>
          </w:p>
        </w:tc>
        <w:tc>
          <w:tcPr>
            <w:tcW w:w="36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0.23</w:t>
            </w:r>
          </w:p>
        </w:tc>
        <w:tc>
          <w:tcPr>
            <w:tcW w:w="56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0.08</w:t>
            </w:r>
          </w:p>
        </w:tc>
      </w:tr>
      <w:tr w:rsidR="00353178" w:rsidTr="00353178">
        <w:trPr>
          <w:trHeight w:val="348"/>
          <w:jc w:val="center"/>
        </w:trPr>
        <w:tc>
          <w:tcPr>
            <w:tcW w:w="42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LP</w:t>
            </w:r>
          </w:p>
        </w:tc>
        <w:tc>
          <w:tcPr>
            <w:tcW w:w="34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391"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0.75</w:t>
            </w:r>
          </w:p>
        </w:tc>
        <w:tc>
          <w:tcPr>
            <w:tcW w:w="452"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520"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0.83</w:t>
            </w:r>
          </w:p>
        </w:tc>
        <w:tc>
          <w:tcPr>
            <w:tcW w:w="45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45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0.77</w:t>
            </w:r>
          </w:p>
        </w:tc>
        <w:tc>
          <w:tcPr>
            <w:tcW w:w="534"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0.02</w:t>
            </w:r>
          </w:p>
        </w:tc>
        <w:tc>
          <w:tcPr>
            <w:tcW w:w="48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0.65</w:t>
            </w:r>
          </w:p>
        </w:tc>
        <w:tc>
          <w:tcPr>
            <w:tcW w:w="36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0.02</w:t>
            </w:r>
          </w:p>
        </w:tc>
        <w:tc>
          <w:tcPr>
            <w:tcW w:w="56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0.64</w:t>
            </w:r>
          </w:p>
        </w:tc>
      </w:tr>
      <w:tr w:rsidR="00353178" w:rsidTr="00353178">
        <w:trPr>
          <w:trHeight w:val="348"/>
          <w:jc w:val="center"/>
        </w:trPr>
        <w:tc>
          <w:tcPr>
            <w:tcW w:w="42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RP</w:t>
            </w:r>
          </w:p>
        </w:tc>
        <w:tc>
          <w:tcPr>
            <w:tcW w:w="34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391"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0.81</w:t>
            </w:r>
          </w:p>
        </w:tc>
        <w:tc>
          <w:tcPr>
            <w:tcW w:w="452"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520"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0.84</w:t>
            </w:r>
          </w:p>
        </w:tc>
        <w:tc>
          <w:tcPr>
            <w:tcW w:w="459"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45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0.98</w:t>
            </w:r>
          </w:p>
        </w:tc>
        <w:tc>
          <w:tcPr>
            <w:tcW w:w="534" w:type="pct"/>
            <w:gridSpan w:val="2"/>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48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0.49</w:t>
            </w:r>
          </w:p>
        </w:tc>
        <w:tc>
          <w:tcPr>
            <w:tcW w:w="36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566"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0.53</w:t>
            </w:r>
          </w:p>
        </w:tc>
      </w:tr>
      <w:tr w:rsidR="00353178" w:rsidTr="00353178">
        <w:trPr>
          <w:trHeight w:val="348"/>
          <w:jc w:val="center"/>
        </w:trPr>
        <w:tc>
          <w:tcPr>
            <w:tcW w:w="421" w:type="pct"/>
            <w:tcBorders>
              <w:top w:val="nil"/>
              <w:left w:val="nil"/>
              <w:bottom w:val="single" w:sz="4" w:space="0" w:color="auto"/>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AGB/BGB</w:t>
            </w:r>
          </w:p>
        </w:tc>
        <w:tc>
          <w:tcPr>
            <w:tcW w:w="349"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0.15</w:t>
            </w:r>
          </w:p>
        </w:tc>
        <w:tc>
          <w:tcPr>
            <w:tcW w:w="391" w:type="pct"/>
            <w:gridSpan w:val="2"/>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0.36</w:t>
            </w:r>
          </w:p>
        </w:tc>
        <w:tc>
          <w:tcPr>
            <w:tcW w:w="452"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520"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0.98</w:t>
            </w:r>
          </w:p>
        </w:tc>
        <w:tc>
          <w:tcPr>
            <w:tcW w:w="459"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456"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0.91</w:t>
            </w:r>
          </w:p>
        </w:tc>
        <w:tc>
          <w:tcPr>
            <w:tcW w:w="534" w:type="pct"/>
            <w:gridSpan w:val="2"/>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485"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0.45</w:t>
            </w:r>
          </w:p>
        </w:tc>
        <w:tc>
          <w:tcPr>
            <w:tcW w:w="368"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566"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0.47</w:t>
            </w:r>
          </w:p>
        </w:tc>
      </w:tr>
    </w:tbl>
    <w:p w:rsidR="00CA077F" w:rsidRDefault="00000000">
      <w:pPr>
        <w:ind w:firstLine="480"/>
        <w:jc w:val="center"/>
      </w:pPr>
      <w:r>
        <w:t>T</w:t>
      </w:r>
      <w:r>
        <w:rPr>
          <w:rFonts w:hint="eastAsia"/>
        </w:rPr>
        <w:t>able S5</w:t>
      </w:r>
      <w:r>
        <w:t xml:space="preserve">. Divergent responses of fungal communities to plant economic </w:t>
      </w:r>
    </w:p>
    <w:p w:rsidR="00CA077F" w:rsidRDefault="00000000">
      <w:pPr>
        <w:ind w:firstLine="480"/>
        <w:jc w:val="center"/>
      </w:pPr>
      <w:r>
        <w:t>traits and soil gradients</w:t>
      </w:r>
    </w:p>
    <w:tbl>
      <w:tblPr>
        <w:tblW w:w="4875" w:type="pct"/>
        <w:jc w:val="center"/>
        <w:tblLook w:val="04A0" w:firstRow="1" w:lastRow="0" w:firstColumn="1" w:lastColumn="0" w:noHBand="0" w:noVBand="1"/>
      </w:tblPr>
      <w:tblGrid>
        <w:gridCol w:w="2397"/>
        <w:gridCol w:w="1301"/>
        <w:gridCol w:w="1541"/>
        <w:gridCol w:w="1301"/>
        <w:gridCol w:w="1304"/>
        <w:gridCol w:w="1301"/>
        <w:gridCol w:w="1304"/>
        <w:gridCol w:w="1418"/>
        <w:gridCol w:w="1742"/>
      </w:tblGrid>
      <w:tr w:rsidR="00CA077F" w:rsidTr="00353178">
        <w:trPr>
          <w:trHeight w:val="346"/>
          <w:jc w:val="center"/>
        </w:trPr>
        <w:tc>
          <w:tcPr>
            <w:tcW w:w="881" w:type="pct"/>
            <w:tcBorders>
              <w:top w:val="single" w:sz="4" w:space="0" w:color="auto"/>
              <w:left w:val="nil"/>
              <w:bottom w:val="nil"/>
              <w:right w:val="nil"/>
            </w:tcBorders>
            <w:shd w:val="clear" w:color="auto" w:fill="auto"/>
            <w:noWrap/>
            <w:vAlign w:val="center"/>
          </w:tcPr>
          <w:p w:rsidR="00CA077F" w:rsidRDefault="00CA077F" w:rsidP="00353178">
            <w:pPr>
              <w:adjustRightInd/>
              <w:ind w:firstLineChars="0" w:firstLine="0"/>
              <w:jc w:val="center"/>
              <w:rPr>
                <w:rFonts w:eastAsia="Times New Roman" w:cs="Times New Roman"/>
                <w:sz w:val="20"/>
                <w:szCs w:val="20"/>
              </w:rPr>
            </w:pPr>
          </w:p>
        </w:tc>
        <w:tc>
          <w:tcPr>
            <w:tcW w:w="1044" w:type="pct"/>
            <w:gridSpan w:val="2"/>
            <w:tcBorders>
              <w:top w:val="single" w:sz="4" w:space="0" w:color="auto"/>
              <w:left w:val="nil"/>
              <w:bottom w:val="nil"/>
              <w:right w:val="nil"/>
            </w:tcBorders>
            <w:shd w:val="clear" w:color="auto" w:fill="auto"/>
            <w:noWrap/>
            <w:vAlign w:val="center"/>
          </w:tcPr>
          <w:p w:rsidR="00353178"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Overall</w:t>
            </w:r>
          </w:p>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fungi</w:t>
            </w:r>
          </w:p>
        </w:tc>
        <w:tc>
          <w:tcPr>
            <w:tcW w:w="957" w:type="pct"/>
            <w:gridSpan w:val="2"/>
            <w:tcBorders>
              <w:top w:val="single" w:sz="4" w:space="0" w:color="auto"/>
              <w:left w:val="nil"/>
              <w:bottom w:val="nil"/>
              <w:right w:val="nil"/>
            </w:tcBorders>
            <w:shd w:val="clear" w:color="auto" w:fill="auto"/>
            <w:noWrap/>
            <w:vAlign w:val="center"/>
          </w:tcPr>
          <w:p w:rsidR="00353178"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Generalist</w:t>
            </w:r>
          </w:p>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fungi</w:t>
            </w:r>
          </w:p>
        </w:tc>
        <w:tc>
          <w:tcPr>
            <w:tcW w:w="957" w:type="pct"/>
            <w:gridSpan w:val="2"/>
            <w:tcBorders>
              <w:top w:val="single" w:sz="4" w:space="0" w:color="auto"/>
              <w:left w:val="nil"/>
              <w:bottom w:val="nil"/>
              <w:right w:val="nil"/>
            </w:tcBorders>
            <w:shd w:val="clear" w:color="auto" w:fill="auto"/>
            <w:noWrap/>
            <w:vAlign w:val="center"/>
          </w:tcPr>
          <w:p w:rsidR="00353178"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Specialist</w:t>
            </w:r>
          </w:p>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fungi</w:t>
            </w:r>
          </w:p>
        </w:tc>
        <w:tc>
          <w:tcPr>
            <w:tcW w:w="1161" w:type="pct"/>
            <w:gridSpan w:val="2"/>
            <w:tcBorders>
              <w:top w:val="single" w:sz="4" w:space="0" w:color="auto"/>
              <w:left w:val="nil"/>
              <w:bottom w:val="nil"/>
              <w:right w:val="nil"/>
            </w:tcBorders>
            <w:shd w:val="clear" w:color="auto" w:fill="auto"/>
            <w:noWrap/>
            <w:vAlign w:val="center"/>
          </w:tcPr>
          <w:p w:rsidR="00353178"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Putative P-cycling</w:t>
            </w:r>
          </w:p>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fungi</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CA077F" w:rsidP="00353178">
            <w:pPr>
              <w:adjustRightInd/>
              <w:ind w:firstLineChars="0" w:firstLine="0"/>
              <w:jc w:val="center"/>
              <w:rPr>
                <w:rFonts w:cs="Times New Roman"/>
                <w:color w:val="000000"/>
                <w:sz w:val="22"/>
                <w:szCs w:val="22"/>
              </w:rPr>
            </w:pPr>
          </w:p>
        </w:tc>
        <w:tc>
          <w:tcPr>
            <w:tcW w:w="478"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R</w:t>
            </w:r>
            <w:r>
              <w:rPr>
                <w:rFonts w:cs="Times New Roman" w:hint="eastAsia"/>
                <w:color w:val="000000"/>
                <w:sz w:val="21"/>
                <w:szCs w:val="21"/>
                <w:vertAlign w:val="superscript"/>
              </w:rPr>
              <w:t>2</w:t>
            </w:r>
          </w:p>
        </w:tc>
        <w:tc>
          <w:tcPr>
            <w:tcW w:w="565"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P</w:t>
            </w:r>
          </w:p>
        </w:tc>
        <w:tc>
          <w:tcPr>
            <w:tcW w:w="478"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R</w:t>
            </w:r>
            <w:r>
              <w:rPr>
                <w:rFonts w:cs="Times New Roman" w:hint="eastAsia"/>
                <w:color w:val="000000"/>
                <w:sz w:val="21"/>
                <w:szCs w:val="21"/>
                <w:vertAlign w:val="superscript"/>
              </w:rPr>
              <w:t>2</w:t>
            </w:r>
          </w:p>
        </w:tc>
        <w:tc>
          <w:tcPr>
            <w:tcW w:w="478"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P</w:t>
            </w:r>
          </w:p>
        </w:tc>
        <w:tc>
          <w:tcPr>
            <w:tcW w:w="478"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R</w:t>
            </w:r>
            <w:r>
              <w:rPr>
                <w:rFonts w:cs="Times New Roman" w:hint="eastAsia"/>
                <w:color w:val="000000"/>
                <w:sz w:val="21"/>
                <w:szCs w:val="21"/>
                <w:vertAlign w:val="superscript"/>
              </w:rPr>
              <w:t>2</w:t>
            </w:r>
          </w:p>
        </w:tc>
        <w:tc>
          <w:tcPr>
            <w:tcW w:w="478"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P</w:t>
            </w:r>
          </w:p>
        </w:tc>
        <w:tc>
          <w:tcPr>
            <w:tcW w:w="521"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R</w:t>
            </w:r>
            <w:r>
              <w:rPr>
                <w:rFonts w:cs="Times New Roman" w:hint="eastAsia"/>
                <w:color w:val="000000"/>
                <w:sz w:val="21"/>
                <w:szCs w:val="21"/>
                <w:vertAlign w:val="superscript"/>
              </w:rPr>
              <w:t>2</w:t>
            </w:r>
          </w:p>
        </w:tc>
        <w:tc>
          <w:tcPr>
            <w:tcW w:w="641" w:type="pct"/>
            <w:tcBorders>
              <w:top w:val="nil"/>
              <w:left w:val="nil"/>
              <w:bottom w:val="single" w:sz="8" w:space="0" w:color="000000"/>
              <w:right w:val="nil"/>
            </w:tcBorders>
            <w:shd w:val="clear" w:color="auto" w:fill="auto"/>
            <w:noWrap/>
          </w:tcPr>
          <w:p w:rsidR="00CA077F" w:rsidRDefault="00000000" w:rsidP="00353178">
            <w:pPr>
              <w:adjustRightInd/>
              <w:ind w:firstLineChars="0" w:firstLine="0"/>
              <w:jc w:val="center"/>
              <w:rPr>
                <w:rFonts w:cs="Times New Roman"/>
                <w:i/>
                <w:iCs/>
                <w:color w:val="000000"/>
                <w:sz w:val="21"/>
                <w:szCs w:val="21"/>
              </w:rPr>
            </w:pPr>
            <w:r>
              <w:rPr>
                <w:rFonts w:cs="Times New Roman" w:hint="eastAsia"/>
                <w:i/>
                <w:iCs/>
                <w:color w:val="000000"/>
                <w:sz w:val="21"/>
                <w:szCs w:val="21"/>
              </w:rPr>
              <w:t>P</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Soil</w:t>
            </w:r>
            <w:r w:rsidR="00353178">
              <w:rPr>
                <w:rFonts w:cs="Times New Roman" w:hint="eastAsia"/>
                <w:color w:val="000000"/>
                <w:sz w:val="22"/>
                <w:szCs w:val="22"/>
              </w:rPr>
              <w:t xml:space="preserve"> </w:t>
            </w:r>
            <w:r>
              <w:rPr>
                <w:rFonts w:cs="Times New Roman" w:hint="eastAsia"/>
                <w:color w:val="000000"/>
                <w:sz w:val="22"/>
                <w:szCs w:val="22"/>
              </w:rPr>
              <w:t>PC1</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0.33</w:t>
            </w:r>
          </w:p>
        </w:tc>
        <w:tc>
          <w:tcPr>
            <w:tcW w:w="56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0.10</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0.74</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0.76</w:t>
            </w:r>
          </w:p>
        </w:tc>
        <w:tc>
          <w:tcPr>
            <w:tcW w:w="52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64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0.79</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Soil</w:t>
            </w:r>
            <w:r w:rsidR="00353178">
              <w:rPr>
                <w:rFonts w:cs="Times New Roman" w:hint="eastAsia"/>
                <w:color w:val="000000"/>
                <w:sz w:val="22"/>
                <w:szCs w:val="22"/>
              </w:rPr>
              <w:t xml:space="preserve"> </w:t>
            </w:r>
            <w:r>
              <w:rPr>
                <w:rFonts w:cs="Times New Roman" w:hint="eastAsia"/>
                <w:color w:val="000000"/>
                <w:sz w:val="22"/>
                <w:szCs w:val="22"/>
              </w:rPr>
              <w:t>PC2</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0.29</w:t>
            </w:r>
          </w:p>
        </w:tc>
        <w:tc>
          <w:tcPr>
            <w:tcW w:w="56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0.12</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0.45</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0.08</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0.32</w:t>
            </w:r>
          </w:p>
        </w:tc>
        <w:tc>
          <w:tcPr>
            <w:tcW w:w="52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0.11</w:t>
            </w:r>
          </w:p>
        </w:tc>
        <w:tc>
          <w:tcPr>
            <w:tcW w:w="64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0.24</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Soil</w:t>
            </w:r>
            <w:r w:rsidR="00353178">
              <w:rPr>
                <w:rFonts w:cs="Times New Roman" w:hint="eastAsia"/>
                <w:color w:val="000000"/>
                <w:sz w:val="22"/>
                <w:szCs w:val="22"/>
              </w:rPr>
              <w:t xml:space="preserve"> </w:t>
            </w:r>
            <w:r>
              <w:rPr>
                <w:rFonts w:cs="Times New Roman" w:hint="eastAsia"/>
                <w:color w:val="000000"/>
                <w:sz w:val="22"/>
                <w:szCs w:val="22"/>
              </w:rPr>
              <w:t>PC3</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0.13</w:t>
            </w:r>
          </w:p>
        </w:tc>
        <w:tc>
          <w:tcPr>
            <w:tcW w:w="56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0.42</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0.03</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0.56</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0.02</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0.63</w:t>
            </w:r>
          </w:p>
        </w:tc>
        <w:tc>
          <w:tcPr>
            <w:tcW w:w="52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0.13</w:t>
            </w:r>
          </w:p>
        </w:tc>
        <w:tc>
          <w:tcPr>
            <w:tcW w:w="64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0.19</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lastRenderedPageBreak/>
              <w:t>LN</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0.26</w:t>
            </w:r>
          </w:p>
        </w:tc>
        <w:tc>
          <w:tcPr>
            <w:tcW w:w="56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0.14</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0.08</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0.30</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0.09</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0.28</w:t>
            </w:r>
          </w:p>
        </w:tc>
        <w:tc>
          <w:tcPr>
            <w:tcW w:w="52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0.00</w:t>
            </w:r>
          </w:p>
        </w:tc>
        <w:tc>
          <w:tcPr>
            <w:tcW w:w="64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0.96</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RN</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0.20</w:t>
            </w:r>
          </w:p>
        </w:tc>
        <w:tc>
          <w:tcPr>
            <w:tcW w:w="56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0.25</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0.66</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0.07</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0.35</w:t>
            </w:r>
          </w:p>
        </w:tc>
        <w:tc>
          <w:tcPr>
            <w:tcW w:w="52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64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0.67</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LC</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0.18</w:t>
            </w:r>
          </w:p>
        </w:tc>
        <w:tc>
          <w:tcPr>
            <w:tcW w:w="56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0.30</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0.01</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0.74</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0.02</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0.67</w:t>
            </w:r>
          </w:p>
        </w:tc>
        <w:tc>
          <w:tcPr>
            <w:tcW w:w="52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0.06</w:t>
            </w:r>
          </w:p>
        </w:tc>
        <w:tc>
          <w:tcPr>
            <w:tcW w:w="64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0.37</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RC</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56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0.76</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0.07</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0.31</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0.46</w:t>
            </w:r>
          </w:p>
        </w:tc>
        <w:tc>
          <w:tcPr>
            <w:tcW w:w="52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b/>
                <w:bCs/>
                <w:color w:val="000000"/>
                <w:sz w:val="22"/>
                <w:szCs w:val="22"/>
              </w:rPr>
            </w:pPr>
            <w:r>
              <w:rPr>
                <w:rFonts w:cs="Times New Roman" w:hint="eastAsia"/>
                <w:b/>
                <w:bCs/>
                <w:color w:val="000000"/>
                <w:sz w:val="22"/>
                <w:szCs w:val="22"/>
              </w:rPr>
              <w:t>0.35</w:t>
            </w:r>
          </w:p>
        </w:tc>
        <w:tc>
          <w:tcPr>
            <w:tcW w:w="64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b/>
                <w:bCs/>
                <w:color w:val="000000"/>
                <w:sz w:val="22"/>
                <w:szCs w:val="22"/>
              </w:rPr>
            </w:pPr>
            <w:r>
              <w:rPr>
                <w:rFonts w:cs="Times New Roman" w:hint="eastAsia"/>
                <w:b/>
                <w:bCs/>
                <w:color w:val="000000"/>
                <w:sz w:val="22"/>
                <w:szCs w:val="22"/>
              </w:rPr>
              <w:t>0.02*</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LP</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0.16</w:t>
            </w:r>
          </w:p>
        </w:tc>
        <w:tc>
          <w:tcPr>
            <w:tcW w:w="56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0.36</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0.11</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0.23</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0.09</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0.30</w:t>
            </w:r>
          </w:p>
        </w:tc>
        <w:tc>
          <w:tcPr>
            <w:tcW w:w="52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0.25</w:t>
            </w:r>
          </w:p>
        </w:tc>
        <w:tc>
          <w:tcPr>
            <w:tcW w:w="64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0.05</w:t>
            </w:r>
          </w:p>
        </w:tc>
      </w:tr>
      <w:tr w:rsidR="00CA077F" w:rsidTr="00353178">
        <w:trPr>
          <w:trHeight w:val="346"/>
          <w:jc w:val="center"/>
        </w:trPr>
        <w:tc>
          <w:tcPr>
            <w:tcW w:w="881" w:type="pct"/>
            <w:tcBorders>
              <w:top w:val="nil"/>
              <w:left w:val="nil"/>
              <w:bottom w:val="nil"/>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RP</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0.10</w:t>
            </w:r>
          </w:p>
        </w:tc>
        <w:tc>
          <w:tcPr>
            <w:tcW w:w="565"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0.48</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0.46</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0.04</w:t>
            </w:r>
          </w:p>
        </w:tc>
        <w:tc>
          <w:tcPr>
            <w:tcW w:w="478"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0.49</w:t>
            </w:r>
          </w:p>
        </w:tc>
        <w:tc>
          <w:tcPr>
            <w:tcW w:w="52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0.03</w:t>
            </w:r>
          </w:p>
        </w:tc>
        <w:tc>
          <w:tcPr>
            <w:tcW w:w="641" w:type="pct"/>
            <w:tcBorders>
              <w:top w:val="nil"/>
              <w:left w:val="nil"/>
              <w:bottom w:val="nil"/>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0.55</w:t>
            </w:r>
          </w:p>
        </w:tc>
      </w:tr>
      <w:tr w:rsidR="00CA077F" w:rsidTr="00353178">
        <w:trPr>
          <w:trHeight w:val="346"/>
          <w:jc w:val="center"/>
        </w:trPr>
        <w:tc>
          <w:tcPr>
            <w:tcW w:w="881" w:type="pct"/>
            <w:tcBorders>
              <w:top w:val="nil"/>
              <w:left w:val="nil"/>
              <w:bottom w:val="single" w:sz="4" w:space="0" w:color="auto"/>
              <w:right w:val="nil"/>
            </w:tcBorders>
            <w:shd w:val="clear" w:color="auto" w:fill="auto"/>
            <w:noWrap/>
            <w:vAlign w:val="center"/>
          </w:tcPr>
          <w:p w:rsidR="00CA077F" w:rsidRDefault="00000000" w:rsidP="00353178">
            <w:pPr>
              <w:adjustRightInd/>
              <w:ind w:firstLineChars="0" w:firstLine="0"/>
              <w:jc w:val="center"/>
              <w:rPr>
                <w:rFonts w:cs="Times New Roman"/>
                <w:color w:val="000000"/>
                <w:sz w:val="22"/>
                <w:szCs w:val="22"/>
              </w:rPr>
            </w:pPr>
            <w:bookmarkStart w:id="0" w:name="_Hlk214745693"/>
            <w:r>
              <w:rPr>
                <w:rFonts w:cs="Times New Roman" w:hint="eastAsia"/>
                <w:color w:val="000000"/>
                <w:sz w:val="22"/>
                <w:szCs w:val="22"/>
              </w:rPr>
              <w:t>AGB/BGB</w:t>
            </w:r>
          </w:p>
        </w:tc>
        <w:tc>
          <w:tcPr>
            <w:tcW w:w="478"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b/>
                <w:bCs/>
                <w:color w:val="000000"/>
                <w:sz w:val="22"/>
                <w:szCs w:val="22"/>
              </w:rPr>
            </w:pPr>
            <w:r>
              <w:rPr>
                <w:rFonts w:cs="Times New Roman" w:hint="eastAsia"/>
                <w:b/>
                <w:bCs/>
                <w:color w:val="000000"/>
                <w:sz w:val="22"/>
                <w:szCs w:val="22"/>
              </w:rPr>
              <w:t>0.49</w:t>
            </w:r>
          </w:p>
        </w:tc>
        <w:tc>
          <w:tcPr>
            <w:tcW w:w="565"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b/>
                <w:bCs/>
                <w:color w:val="000000"/>
                <w:sz w:val="22"/>
                <w:szCs w:val="22"/>
              </w:rPr>
            </w:pPr>
            <w:r>
              <w:rPr>
                <w:rFonts w:cs="Times New Roman" w:hint="eastAsia"/>
                <w:b/>
                <w:bCs/>
                <w:color w:val="000000"/>
                <w:sz w:val="22"/>
                <w:szCs w:val="22"/>
              </w:rPr>
              <w:t>0.02*</w:t>
            </w:r>
          </w:p>
        </w:tc>
        <w:tc>
          <w:tcPr>
            <w:tcW w:w="478"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0.13</w:t>
            </w:r>
          </w:p>
        </w:tc>
        <w:tc>
          <w:tcPr>
            <w:tcW w:w="478"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0.19</w:t>
            </w:r>
          </w:p>
        </w:tc>
        <w:tc>
          <w:tcPr>
            <w:tcW w:w="478"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0.25</w:t>
            </w:r>
          </w:p>
        </w:tc>
        <w:tc>
          <w:tcPr>
            <w:tcW w:w="478"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0.06</w:t>
            </w:r>
          </w:p>
        </w:tc>
        <w:tc>
          <w:tcPr>
            <w:tcW w:w="521"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0.17</w:t>
            </w:r>
          </w:p>
        </w:tc>
        <w:tc>
          <w:tcPr>
            <w:tcW w:w="641" w:type="pct"/>
            <w:tcBorders>
              <w:top w:val="nil"/>
              <w:left w:val="nil"/>
              <w:bottom w:val="single" w:sz="4" w:space="0" w:color="auto"/>
              <w:right w:val="nil"/>
            </w:tcBorders>
            <w:shd w:val="clear" w:color="auto" w:fill="auto"/>
            <w:noWrap/>
          </w:tcPr>
          <w:p w:rsidR="00CA077F" w:rsidRDefault="00000000" w:rsidP="00353178">
            <w:pPr>
              <w:adjustRightInd/>
              <w:ind w:firstLineChars="0" w:firstLine="0"/>
              <w:jc w:val="center"/>
              <w:rPr>
                <w:rFonts w:cs="Times New Roman"/>
                <w:color w:val="000000"/>
                <w:sz w:val="22"/>
                <w:szCs w:val="22"/>
              </w:rPr>
            </w:pPr>
            <w:r>
              <w:rPr>
                <w:rFonts w:cs="Times New Roman" w:hint="eastAsia"/>
                <w:color w:val="000000"/>
                <w:sz w:val="22"/>
                <w:szCs w:val="22"/>
              </w:rPr>
              <w:t>0.14</w:t>
            </w:r>
          </w:p>
        </w:tc>
      </w:tr>
      <w:bookmarkEnd w:id="0"/>
    </w:tbl>
    <w:p w:rsidR="00353178" w:rsidRDefault="00353178">
      <w:pPr>
        <w:adjustRightInd/>
        <w:ind w:firstLineChars="0" w:firstLine="0"/>
        <w:rPr>
          <w:lang w:bidi="ar"/>
        </w:rPr>
        <w:sectPr w:rsidR="00353178" w:rsidSect="00353178">
          <w:pgSz w:w="16838" w:h="11906" w:orient="landscape"/>
          <w:pgMar w:top="1800" w:right="1440" w:bottom="1800" w:left="1440" w:header="851" w:footer="992" w:gutter="0"/>
          <w:lnNumType w:countBy="1" w:restart="continuous"/>
          <w:pgNumType w:start="1"/>
          <w:cols w:space="425"/>
          <w:docGrid w:type="lines" w:linePitch="326"/>
        </w:sectPr>
      </w:pPr>
    </w:p>
    <w:p w:rsidR="00353178" w:rsidRDefault="00353178">
      <w:pPr>
        <w:adjustRightInd/>
        <w:ind w:firstLineChars="0" w:firstLine="0"/>
        <w:rPr>
          <w:lang w:bidi="ar"/>
        </w:rPr>
      </w:pPr>
    </w:p>
    <w:p w:rsidR="00CA077F" w:rsidRDefault="00000000">
      <w:pPr>
        <w:adjustRightInd/>
        <w:ind w:firstLineChars="0" w:firstLine="0"/>
      </w:pPr>
      <w:r>
        <w:rPr>
          <w:lang w:bidi="ar"/>
        </w:rPr>
        <w:t xml:space="preserve">Table </w:t>
      </w:r>
      <w:r>
        <w:rPr>
          <w:rFonts w:hint="eastAsia"/>
          <w:lang w:bidi="ar"/>
        </w:rPr>
        <w:t>S6</w:t>
      </w:r>
      <w:r>
        <w:rPr>
          <w:lang w:bidi="ar"/>
        </w:rPr>
        <w:t>. Best predictors explaining the variation in the relative abundance of specific functional groups of bacteria and fungi across nitrogen treatments.The table reports the coefficient of determination (adjusted R</w:t>
      </w:r>
      <w:r>
        <w:rPr>
          <w:vertAlign w:val="superscript"/>
          <w:lang w:bidi="ar"/>
        </w:rPr>
        <w:t>2</w:t>
      </w:r>
      <w:r>
        <w:rPr>
          <w:lang w:bidi="ar"/>
        </w:rPr>
        <w:t>) of the best-fitting model (lowest AICc), together with the regression coefficients (Estimate) and t-values for the predictors selected. Only the functional groups whose relative abundances were significantly explained by at least one predictor namely Generalist bacteria, Specialist bacteria, N-cycling bacteria, Putative redox-related bacteria, and P-cycling fungi are presented here. The relative abundance of P-cycling fungi was natural log-transformed prior to the regression analysis.</w:t>
      </w:r>
    </w:p>
    <w:tbl>
      <w:tblPr>
        <w:tblW w:w="4778" w:type="pct"/>
        <w:jc w:val="center"/>
        <w:tblLook w:val="04A0" w:firstRow="1" w:lastRow="0" w:firstColumn="1" w:lastColumn="0" w:noHBand="0" w:noVBand="1"/>
      </w:tblPr>
      <w:tblGrid>
        <w:gridCol w:w="3148"/>
        <w:gridCol w:w="2257"/>
        <w:gridCol w:w="1449"/>
        <w:gridCol w:w="1083"/>
      </w:tblGrid>
      <w:tr w:rsidR="00CA077F" w:rsidTr="00353178">
        <w:trPr>
          <w:trHeight w:val="346"/>
          <w:jc w:val="center"/>
        </w:trPr>
        <w:tc>
          <w:tcPr>
            <w:tcW w:w="1983" w:type="pct"/>
            <w:tcBorders>
              <w:top w:val="single" w:sz="4" w:space="0" w:color="auto"/>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Response</w:t>
            </w:r>
          </w:p>
        </w:tc>
        <w:tc>
          <w:tcPr>
            <w:tcW w:w="1422" w:type="pct"/>
            <w:tcBorders>
              <w:top w:val="single" w:sz="4" w:space="0" w:color="auto"/>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Best predictors</w:t>
            </w:r>
          </w:p>
        </w:tc>
        <w:tc>
          <w:tcPr>
            <w:tcW w:w="913" w:type="pct"/>
            <w:tcBorders>
              <w:top w:val="single" w:sz="4" w:space="0" w:color="auto"/>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R</w:t>
            </w:r>
            <w:r>
              <w:rPr>
                <w:rFonts w:cs="Times New Roman"/>
                <w:color w:val="000000"/>
                <w:sz w:val="22"/>
                <w:szCs w:val="22"/>
                <w:vertAlign w:val="superscript"/>
                <w:lang w:bidi="ar"/>
              </w:rPr>
              <w:t>2</w:t>
            </w:r>
          </w:p>
        </w:tc>
        <w:tc>
          <w:tcPr>
            <w:tcW w:w="682" w:type="pct"/>
            <w:tcBorders>
              <w:top w:val="single" w:sz="4" w:space="0" w:color="auto"/>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AICc</w:t>
            </w:r>
          </w:p>
        </w:tc>
      </w:tr>
      <w:tr w:rsidR="00CA077F" w:rsidTr="00353178">
        <w:trPr>
          <w:trHeight w:val="346"/>
          <w:jc w:val="center"/>
        </w:trPr>
        <w:tc>
          <w:tcPr>
            <w:tcW w:w="1983" w:type="pct"/>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Generalist bacteria</w:t>
            </w:r>
          </w:p>
        </w:tc>
        <w:tc>
          <w:tcPr>
            <w:tcW w:w="1422" w:type="pct"/>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Plant PC2</w:t>
            </w:r>
          </w:p>
        </w:tc>
        <w:tc>
          <w:tcPr>
            <w:tcW w:w="913" w:type="pct"/>
            <w:tcBorders>
              <w:top w:val="single" w:sz="4" w:space="0" w:color="auto"/>
            </w:tcBorders>
            <w:shd w:val="clear" w:color="auto" w:fill="auto"/>
            <w:noWrap/>
            <w:vAlign w:val="center"/>
          </w:tcPr>
          <w:p w:rsidR="00CA077F" w:rsidRDefault="00000000">
            <w:pPr>
              <w:adjustRightInd/>
              <w:ind w:firstLineChars="0" w:firstLine="0"/>
              <w:jc w:val="center"/>
              <w:rPr>
                <w:rFonts w:cs="Times New Roman"/>
                <w:b/>
                <w:bCs/>
                <w:color w:val="000000"/>
                <w:sz w:val="22"/>
                <w:szCs w:val="22"/>
              </w:rPr>
            </w:pPr>
            <w:r>
              <w:rPr>
                <w:rFonts w:cs="Times New Roman"/>
                <w:b/>
                <w:bCs/>
                <w:color w:val="000000"/>
                <w:sz w:val="22"/>
                <w:szCs w:val="22"/>
                <w:lang w:bidi="ar"/>
              </w:rPr>
              <w:t>0.513**</w:t>
            </w:r>
          </w:p>
        </w:tc>
        <w:tc>
          <w:tcPr>
            <w:tcW w:w="682" w:type="pct"/>
            <w:tcBorders>
              <w:top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-44.56</w:t>
            </w:r>
          </w:p>
        </w:tc>
      </w:tr>
      <w:tr w:rsidR="00CA077F" w:rsidTr="00353178">
        <w:trPr>
          <w:trHeight w:val="346"/>
          <w:jc w:val="center"/>
        </w:trPr>
        <w:tc>
          <w:tcPr>
            <w:tcW w:w="1983"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Specialist bacteria</w:t>
            </w:r>
          </w:p>
        </w:tc>
        <w:tc>
          <w:tcPr>
            <w:tcW w:w="142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Plant PC2</w:t>
            </w:r>
          </w:p>
        </w:tc>
        <w:tc>
          <w:tcPr>
            <w:tcW w:w="913" w:type="pct"/>
            <w:shd w:val="clear" w:color="auto" w:fill="auto"/>
            <w:noWrap/>
            <w:vAlign w:val="center"/>
          </w:tcPr>
          <w:p w:rsidR="00CA077F" w:rsidRDefault="00000000">
            <w:pPr>
              <w:adjustRightInd/>
              <w:ind w:firstLineChars="0" w:firstLine="0"/>
              <w:jc w:val="center"/>
              <w:rPr>
                <w:rFonts w:cs="Times New Roman"/>
                <w:b/>
                <w:bCs/>
                <w:color w:val="000000"/>
                <w:sz w:val="22"/>
                <w:szCs w:val="22"/>
              </w:rPr>
            </w:pPr>
            <w:r>
              <w:rPr>
                <w:rFonts w:cs="Times New Roman"/>
                <w:b/>
                <w:bCs/>
                <w:color w:val="000000"/>
                <w:sz w:val="22"/>
                <w:szCs w:val="22"/>
                <w:lang w:bidi="ar"/>
              </w:rPr>
              <w:t>0.395*</w:t>
            </w:r>
          </w:p>
        </w:tc>
        <w:tc>
          <w:tcPr>
            <w:tcW w:w="68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-52.34</w:t>
            </w:r>
          </w:p>
        </w:tc>
      </w:tr>
      <w:tr w:rsidR="00CA077F" w:rsidTr="00353178">
        <w:trPr>
          <w:trHeight w:val="346"/>
          <w:jc w:val="center"/>
        </w:trPr>
        <w:tc>
          <w:tcPr>
            <w:tcW w:w="1983"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Generalist fungi</w:t>
            </w:r>
          </w:p>
        </w:tc>
        <w:tc>
          <w:tcPr>
            <w:tcW w:w="142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None</w:t>
            </w:r>
          </w:p>
        </w:tc>
        <w:tc>
          <w:tcPr>
            <w:tcW w:w="913"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0</w:t>
            </w:r>
          </w:p>
        </w:tc>
        <w:tc>
          <w:tcPr>
            <w:tcW w:w="68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-72.4</w:t>
            </w:r>
          </w:p>
        </w:tc>
      </w:tr>
      <w:tr w:rsidR="00CA077F" w:rsidTr="00353178">
        <w:trPr>
          <w:trHeight w:val="346"/>
          <w:jc w:val="center"/>
        </w:trPr>
        <w:tc>
          <w:tcPr>
            <w:tcW w:w="1983"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Specialist fungi</w:t>
            </w:r>
          </w:p>
        </w:tc>
        <w:tc>
          <w:tcPr>
            <w:tcW w:w="142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None</w:t>
            </w:r>
          </w:p>
        </w:tc>
        <w:tc>
          <w:tcPr>
            <w:tcW w:w="913"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0</w:t>
            </w:r>
          </w:p>
        </w:tc>
        <w:tc>
          <w:tcPr>
            <w:tcW w:w="68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-20.26</w:t>
            </w:r>
          </w:p>
        </w:tc>
      </w:tr>
      <w:tr w:rsidR="00CA077F" w:rsidTr="00353178">
        <w:trPr>
          <w:trHeight w:val="346"/>
          <w:jc w:val="center"/>
        </w:trPr>
        <w:tc>
          <w:tcPr>
            <w:tcW w:w="1983"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Putative N-cycling bacteria</w:t>
            </w:r>
          </w:p>
        </w:tc>
        <w:tc>
          <w:tcPr>
            <w:tcW w:w="142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Plant PC2</w:t>
            </w:r>
          </w:p>
        </w:tc>
        <w:tc>
          <w:tcPr>
            <w:tcW w:w="913" w:type="pct"/>
            <w:shd w:val="clear" w:color="auto" w:fill="auto"/>
            <w:noWrap/>
            <w:vAlign w:val="center"/>
          </w:tcPr>
          <w:p w:rsidR="00CA077F" w:rsidRDefault="00000000">
            <w:pPr>
              <w:adjustRightInd/>
              <w:ind w:firstLineChars="0" w:firstLine="0"/>
              <w:jc w:val="center"/>
              <w:rPr>
                <w:rFonts w:cs="Times New Roman"/>
                <w:b/>
                <w:bCs/>
                <w:color w:val="000000"/>
                <w:sz w:val="22"/>
                <w:szCs w:val="22"/>
              </w:rPr>
            </w:pPr>
            <w:r>
              <w:rPr>
                <w:rFonts w:cs="Times New Roman"/>
                <w:b/>
                <w:bCs/>
                <w:color w:val="000000"/>
                <w:sz w:val="22"/>
                <w:szCs w:val="22"/>
                <w:lang w:bidi="ar"/>
              </w:rPr>
              <w:t>0.419**</w:t>
            </w:r>
          </w:p>
        </w:tc>
        <w:tc>
          <w:tcPr>
            <w:tcW w:w="68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-5.67</w:t>
            </w:r>
          </w:p>
        </w:tc>
      </w:tr>
      <w:tr w:rsidR="00CA077F" w:rsidTr="00353178">
        <w:trPr>
          <w:trHeight w:val="346"/>
          <w:jc w:val="center"/>
        </w:trPr>
        <w:tc>
          <w:tcPr>
            <w:tcW w:w="1983"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Putative redox-related bacteria</w:t>
            </w:r>
          </w:p>
        </w:tc>
        <w:tc>
          <w:tcPr>
            <w:tcW w:w="142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Plant PC2</w:t>
            </w:r>
          </w:p>
        </w:tc>
        <w:tc>
          <w:tcPr>
            <w:tcW w:w="913" w:type="pct"/>
            <w:shd w:val="clear" w:color="auto" w:fill="auto"/>
            <w:noWrap/>
            <w:vAlign w:val="center"/>
          </w:tcPr>
          <w:p w:rsidR="00CA077F" w:rsidRDefault="00000000">
            <w:pPr>
              <w:adjustRightInd/>
              <w:ind w:firstLineChars="0" w:firstLine="0"/>
              <w:jc w:val="center"/>
              <w:rPr>
                <w:rFonts w:cs="Times New Roman"/>
                <w:b/>
                <w:bCs/>
                <w:color w:val="000000"/>
                <w:sz w:val="22"/>
                <w:szCs w:val="22"/>
              </w:rPr>
            </w:pPr>
            <w:r>
              <w:rPr>
                <w:rFonts w:cs="Times New Roman"/>
                <w:b/>
                <w:bCs/>
                <w:color w:val="000000"/>
                <w:sz w:val="22"/>
                <w:szCs w:val="22"/>
                <w:lang w:bidi="ar"/>
              </w:rPr>
              <w:t>0.419**</w:t>
            </w:r>
          </w:p>
        </w:tc>
        <w:tc>
          <w:tcPr>
            <w:tcW w:w="682" w:type="pct"/>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-5.67</w:t>
            </w:r>
          </w:p>
        </w:tc>
      </w:tr>
      <w:tr w:rsidR="00CA077F" w:rsidTr="00353178">
        <w:trPr>
          <w:trHeight w:val="418"/>
          <w:jc w:val="center"/>
        </w:trPr>
        <w:tc>
          <w:tcPr>
            <w:tcW w:w="1983" w:type="pct"/>
            <w:tcBorders>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Putative P-cycling fungi</w:t>
            </w:r>
          </w:p>
        </w:tc>
        <w:tc>
          <w:tcPr>
            <w:tcW w:w="1422" w:type="pct"/>
            <w:tcBorders>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Plant PC2</w:t>
            </w:r>
          </w:p>
        </w:tc>
        <w:tc>
          <w:tcPr>
            <w:tcW w:w="913" w:type="pct"/>
            <w:tcBorders>
              <w:bottom w:val="single" w:sz="4" w:space="0" w:color="auto"/>
            </w:tcBorders>
            <w:shd w:val="clear" w:color="auto" w:fill="auto"/>
            <w:noWrap/>
            <w:vAlign w:val="center"/>
          </w:tcPr>
          <w:p w:rsidR="00CA077F" w:rsidRDefault="00000000">
            <w:pPr>
              <w:adjustRightInd/>
              <w:ind w:firstLineChars="0" w:firstLine="0"/>
              <w:jc w:val="center"/>
              <w:rPr>
                <w:rFonts w:cs="Times New Roman"/>
                <w:b/>
                <w:bCs/>
                <w:color w:val="000000"/>
                <w:sz w:val="22"/>
                <w:szCs w:val="22"/>
              </w:rPr>
            </w:pPr>
            <w:r>
              <w:rPr>
                <w:rFonts w:cs="Times New Roman"/>
                <w:b/>
                <w:bCs/>
                <w:color w:val="000000"/>
                <w:sz w:val="22"/>
                <w:szCs w:val="22"/>
                <w:lang w:bidi="ar"/>
              </w:rPr>
              <w:t>0.365*</w:t>
            </w:r>
          </w:p>
        </w:tc>
        <w:tc>
          <w:tcPr>
            <w:tcW w:w="682" w:type="pct"/>
            <w:tcBorders>
              <w:bottom w:val="single" w:sz="4" w:space="0" w:color="auto"/>
            </w:tcBorders>
            <w:shd w:val="clear" w:color="auto" w:fill="auto"/>
            <w:noWrap/>
            <w:vAlign w:val="center"/>
          </w:tcPr>
          <w:p w:rsidR="00CA077F" w:rsidRDefault="00000000">
            <w:pPr>
              <w:adjustRightInd/>
              <w:ind w:firstLineChars="0" w:firstLine="0"/>
              <w:jc w:val="center"/>
              <w:rPr>
                <w:rFonts w:cs="Times New Roman"/>
                <w:color w:val="000000"/>
                <w:sz w:val="22"/>
                <w:szCs w:val="22"/>
              </w:rPr>
            </w:pPr>
            <w:r>
              <w:rPr>
                <w:rFonts w:cs="Times New Roman"/>
                <w:color w:val="000000"/>
                <w:sz w:val="22"/>
                <w:szCs w:val="22"/>
                <w:lang w:bidi="ar"/>
              </w:rPr>
              <w:t>53.53</w:t>
            </w:r>
          </w:p>
        </w:tc>
      </w:tr>
    </w:tbl>
    <w:p w:rsidR="00CA077F" w:rsidRDefault="00D948F5">
      <w:pPr>
        <w:ind w:firstLineChars="0" w:firstLine="0"/>
        <w:rPr>
          <w:b/>
          <w:bCs/>
        </w:rPr>
      </w:pPr>
      <w:r>
        <w:rPr>
          <w:b/>
          <w:bCs/>
          <w:noProof/>
        </w:rPr>
        <w:drawing>
          <wp:inline distT="0" distB="0" distL="0" distR="0">
            <wp:extent cx="5274310" cy="3255645"/>
            <wp:effectExtent l="0" t="0" r="0" b="0"/>
            <wp:docPr id="18973425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42509" name="图片 18973425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255645"/>
                    </a:xfrm>
                    <a:prstGeom prst="rect">
                      <a:avLst/>
                    </a:prstGeom>
                  </pic:spPr>
                </pic:pic>
              </a:graphicData>
            </a:graphic>
          </wp:inline>
        </w:drawing>
      </w:r>
    </w:p>
    <w:p w:rsidR="00CA077F" w:rsidRDefault="00000000">
      <w:pPr>
        <w:ind w:firstLineChars="0" w:firstLine="0"/>
        <w:rPr>
          <w:lang w:bidi="ar"/>
        </w:rPr>
      </w:pPr>
      <w:r>
        <w:rPr>
          <w:lang w:bidi="ar"/>
        </w:rPr>
        <w:t xml:space="preserve">Figure S3. Distribution of habitat niche breadth for soil bacterial (a–c) and fungal (d–f) communities under different nitrogen addition treatments.The donut plots illustrate the proportions of generalists (blue), specialists (yellow), and non-significant taxa (green) </w:t>
      </w:r>
      <w:r>
        <w:rPr>
          <w:rFonts w:hint="eastAsia"/>
          <w:lang w:bidi="ar"/>
        </w:rPr>
        <w:t>N0</w:t>
      </w:r>
      <w:r>
        <w:rPr>
          <w:lang w:bidi="ar"/>
        </w:rPr>
        <w:t>, N1, N2 treatments. The classification is based on the Levins’ niche breadth model. </w:t>
      </w:r>
    </w:p>
    <w:p w:rsidR="00CA077F" w:rsidRDefault="00CA077F">
      <w:pPr>
        <w:ind w:firstLineChars="0" w:firstLine="0"/>
      </w:pPr>
    </w:p>
    <w:sectPr w:rsidR="00CA077F" w:rsidSect="00353178">
      <w:pgSz w:w="11906" w:h="16838"/>
      <w:pgMar w:top="1440" w:right="1800" w:bottom="1440" w:left="1800" w:header="851" w:footer="992" w:gutter="0"/>
      <w:lnNumType w:countBy="1" w:restart="continuous"/>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61D" w:rsidRDefault="000A361D">
      <w:pPr>
        <w:ind w:firstLine="480"/>
      </w:pPr>
      <w:r>
        <w:separator/>
      </w:r>
    </w:p>
  </w:endnote>
  <w:endnote w:type="continuationSeparator" w:id="0">
    <w:p w:rsidR="000A361D" w:rsidRDefault="000A361D">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Bold">
    <w:altName w:val="Times New Roman"/>
    <w:panose1 w:val="020B0604020202020204"/>
    <w:charset w:val="00"/>
    <w:family w:val="auto"/>
    <w:pitch w:val="default"/>
    <w:sig w:usb0="E0000AFF" w:usb1="00007843" w:usb2="00000001" w:usb3="00000000" w:csb0="400001BF" w:csb1="DFF7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7F" w:rsidRDefault="00000000">
    <w:pPr>
      <w:pStyle w:val="a3"/>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A077F" w:rsidRDefault="00000000">
                          <w:pPr>
                            <w:pStyle w:val="a3"/>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" filled="f" stroked="f" strokeweight=".5pt">
              <v:textbox style="mso-fit-shape-to-text:t" inset="0,0,0,0">
                <w:txbxContent>
                  <w:p w:rsidR="00CA077F" w:rsidRDefault="00000000">
                    <w:pPr>
                      <w:pStyle w:val="a3"/>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61D" w:rsidRDefault="000A361D">
      <w:pPr>
        <w:ind w:firstLine="480"/>
      </w:pPr>
      <w:r>
        <w:separator/>
      </w:r>
    </w:p>
  </w:footnote>
  <w:footnote w:type="continuationSeparator" w:id="0">
    <w:p w:rsidR="000A361D" w:rsidRDefault="000A361D">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7F" w:rsidRDefault="00CA077F">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JiMmVmMTUyYTczNDYxYTljN2U0ZTNlZWRiYmU0OGUifQ=="/>
  </w:docVars>
  <w:rsids>
    <w:rsidRoot w:val="004E6F78"/>
    <w:rsid w:val="DF374430"/>
    <w:rsid w:val="F3FDCC21"/>
    <w:rsid w:val="00007362"/>
    <w:rsid w:val="000202EE"/>
    <w:rsid w:val="00036FB4"/>
    <w:rsid w:val="00046826"/>
    <w:rsid w:val="0007481C"/>
    <w:rsid w:val="000A361D"/>
    <w:rsid w:val="000B0BE8"/>
    <w:rsid w:val="000C0C66"/>
    <w:rsid w:val="000D2154"/>
    <w:rsid w:val="000D3E3D"/>
    <w:rsid w:val="000E1929"/>
    <w:rsid w:val="00106692"/>
    <w:rsid w:val="00151721"/>
    <w:rsid w:val="001737E1"/>
    <w:rsid w:val="00176692"/>
    <w:rsid w:val="00185E98"/>
    <w:rsid w:val="001A1561"/>
    <w:rsid w:val="001C41D5"/>
    <w:rsid w:val="002346E1"/>
    <w:rsid w:val="00246374"/>
    <w:rsid w:val="0028529D"/>
    <w:rsid w:val="002E1E67"/>
    <w:rsid w:val="00312387"/>
    <w:rsid w:val="00324D03"/>
    <w:rsid w:val="00327C2D"/>
    <w:rsid w:val="00335D74"/>
    <w:rsid w:val="0034075C"/>
    <w:rsid w:val="00353178"/>
    <w:rsid w:val="00357A43"/>
    <w:rsid w:val="00364F08"/>
    <w:rsid w:val="003D2B26"/>
    <w:rsid w:val="00404D4D"/>
    <w:rsid w:val="00411356"/>
    <w:rsid w:val="00433FC1"/>
    <w:rsid w:val="004A75BD"/>
    <w:rsid w:val="004B4F8F"/>
    <w:rsid w:val="004C21E5"/>
    <w:rsid w:val="004E6F78"/>
    <w:rsid w:val="00535E07"/>
    <w:rsid w:val="005B36E8"/>
    <w:rsid w:val="005F17EA"/>
    <w:rsid w:val="005F2F08"/>
    <w:rsid w:val="006817CB"/>
    <w:rsid w:val="006A6D6B"/>
    <w:rsid w:val="006B3127"/>
    <w:rsid w:val="006E5275"/>
    <w:rsid w:val="006F7C5D"/>
    <w:rsid w:val="00715F8F"/>
    <w:rsid w:val="00741BFC"/>
    <w:rsid w:val="007533ED"/>
    <w:rsid w:val="00784F68"/>
    <w:rsid w:val="007D4959"/>
    <w:rsid w:val="00814A86"/>
    <w:rsid w:val="008252DD"/>
    <w:rsid w:val="00857558"/>
    <w:rsid w:val="00867AF5"/>
    <w:rsid w:val="008A410A"/>
    <w:rsid w:val="008A7DAF"/>
    <w:rsid w:val="008B2C42"/>
    <w:rsid w:val="008B613C"/>
    <w:rsid w:val="008B728A"/>
    <w:rsid w:val="008D11F3"/>
    <w:rsid w:val="008E3D28"/>
    <w:rsid w:val="008F2C45"/>
    <w:rsid w:val="009429C3"/>
    <w:rsid w:val="00950478"/>
    <w:rsid w:val="009F1EB0"/>
    <w:rsid w:val="00A16A44"/>
    <w:rsid w:val="00A443B0"/>
    <w:rsid w:val="00A5700F"/>
    <w:rsid w:val="00AA694E"/>
    <w:rsid w:val="00AE0A3F"/>
    <w:rsid w:val="00B31C2B"/>
    <w:rsid w:val="00B84B23"/>
    <w:rsid w:val="00B900A5"/>
    <w:rsid w:val="00B90D07"/>
    <w:rsid w:val="00BB66FA"/>
    <w:rsid w:val="00BE29F7"/>
    <w:rsid w:val="00BF2D12"/>
    <w:rsid w:val="00C25AD7"/>
    <w:rsid w:val="00C35A37"/>
    <w:rsid w:val="00C4142F"/>
    <w:rsid w:val="00C54E60"/>
    <w:rsid w:val="00C810AD"/>
    <w:rsid w:val="00CA077F"/>
    <w:rsid w:val="00CA3091"/>
    <w:rsid w:val="00CB2818"/>
    <w:rsid w:val="00CB3281"/>
    <w:rsid w:val="00CC43D4"/>
    <w:rsid w:val="00D05246"/>
    <w:rsid w:val="00D3723E"/>
    <w:rsid w:val="00D675A2"/>
    <w:rsid w:val="00D71A6C"/>
    <w:rsid w:val="00D71C7A"/>
    <w:rsid w:val="00D929DE"/>
    <w:rsid w:val="00D948F5"/>
    <w:rsid w:val="00DA6391"/>
    <w:rsid w:val="00DB21CF"/>
    <w:rsid w:val="00DD1DD8"/>
    <w:rsid w:val="00DE0BFF"/>
    <w:rsid w:val="00E520E4"/>
    <w:rsid w:val="00E57EA1"/>
    <w:rsid w:val="00E827C1"/>
    <w:rsid w:val="00ED6FE8"/>
    <w:rsid w:val="00F03748"/>
    <w:rsid w:val="00F56726"/>
    <w:rsid w:val="00FB7101"/>
    <w:rsid w:val="00FC6CFF"/>
    <w:rsid w:val="00FD6C22"/>
    <w:rsid w:val="00FE58BC"/>
    <w:rsid w:val="00FF2693"/>
    <w:rsid w:val="3CFD7090"/>
    <w:rsid w:val="3FFDE453"/>
    <w:rsid w:val="67F5F242"/>
    <w:rsid w:val="79EF44EE"/>
    <w:rsid w:val="7D7CC521"/>
    <w:rsid w:val="7FFE6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D7940"/>
  <w15:docId w15:val="{8E565AA9-240E-6248-995E-789022ED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ordWrap w:val="0"/>
      <w:adjustRightInd w:val="0"/>
      <w:ind w:firstLineChars="200" w:firstLine="200"/>
    </w:pPr>
    <w:rPr>
      <w:rFonts w:cs="宋体"/>
      <w:sz w:val="24"/>
      <w:szCs w:val="24"/>
    </w:rPr>
  </w:style>
  <w:style w:type="paragraph" w:styleId="1">
    <w:name w:val="heading 1"/>
    <w:basedOn w:val="a"/>
    <w:next w:val="a"/>
    <w:link w:val="10"/>
    <w:qFormat/>
    <w:pPr>
      <w:keepNext/>
      <w:keepLines/>
      <w:jc w:val="distribute"/>
      <w:outlineLvl w:val="0"/>
    </w:pPr>
    <w:rPr>
      <w:rFonts w:ascii="Times New Roman Bold" w:eastAsia="Times New Roman" w:hAnsi="Times New Roman Bold"/>
      <w:b/>
      <w:kern w:val="44"/>
      <w:sz w:val="36"/>
    </w:rPr>
  </w:style>
  <w:style w:type="paragraph" w:styleId="3">
    <w:name w:val="heading 3"/>
    <w:basedOn w:val="a"/>
    <w:next w:val="a"/>
    <w:link w:val="30"/>
    <w:uiPriority w:val="9"/>
    <w:unhideWhenUsed/>
    <w:qFormat/>
    <w:pPr>
      <w:keepNext/>
      <w:keepLines/>
      <w:snapToGrid w:val="0"/>
      <w:ind w:firstLineChars="0" w:firstLine="0"/>
      <w:outlineLvl w:val="2"/>
    </w:pPr>
    <w:rPr>
      <w:b/>
      <w:bCs/>
      <w:sz w:val="32"/>
      <w:szCs w:val="32"/>
    </w:rPr>
  </w:style>
  <w:style w:type="paragraph" w:styleId="4">
    <w:name w:val="heading 4"/>
    <w:basedOn w:val="a"/>
    <w:next w:val="a"/>
    <w:uiPriority w:val="9"/>
    <w:semiHidden/>
    <w:unhideWhenUsed/>
    <w:qFormat/>
    <w:pPr>
      <w:spacing w:beforeAutospacing="1" w:afterAutospacing="1"/>
      <w:outlineLvl w:val="3"/>
    </w:pPr>
    <w:rPr>
      <w:rFonts w:ascii="宋体" w:hAnsi="宋体" w:cs="Times New Roman" w:hint="eastAs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pPr>
    <w:rPr>
      <w:sz w:val="18"/>
    </w:rPr>
  </w:style>
  <w:style w:type="paragraph" w:styleId="a4">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Normal (Web)"/>
    <w:basedOn w:val="a"/>
    <w:uiPriority w:val="99"/>
    <w:semiHidden/>
    <w:unhideWhenUsed/>
  </w:style>
  <w:style w:type="character" w:styleId="a6">
    <w:name w:val="Hyperlink"/>
    <w:basedOn w:val="a0"/>
    <w:uiPriority w:val="99"/>
    <w:semiHidden/>
    <w:unhideWhenUsed/>
    <w:rPr>
      <w:color w:val="0000FF"/>
      <w:u w:val="single"/>
    </w:rPr>
  </w:style>
  <w:style w:type="character" w:customStyle="1" w:styleId="10">
    <w:name w:val="标题 1 字符"/>
    <w:basedOn w:val="a0"/>
    <w:link w:val="1"/>
    <w:rPr>
      <w:rFonts w:ascii="Times New Roman Bold" w:eastAsia="Times New Roman" w:hAnsi="Times New Roman Bold"/>
      <w:b/>
      <w:kern w:val="44"/>
      <w:sz w:val="36"/>
      <w14:ligatures w14:val="none"/>
    </w:rPr>
  </w:style>
  <w:style w:type="character" w:customStyle="1" w:styleId="30">
    <w:name w:val="标题 3 字符"/>
    <w:basedOn w:val="a0"/>
    <w:link w:val="3"/>
    <w:uiPriority w:val="9"/>
    <w:rPr>
      <w:rFonts w:ascii="Times New Roman" w:eastAsia="宋体" w:hAnsi="Times New Roman" w:cs="宋体"/>
      <w:b/>
      <w:bCs/>
      <w:kern w:val="0"/>
      <w:sz w:val="32"/>
      <w:szCs w:val="32"/>
      <w14:ligatures w14:val="none"/>
    </w:rPr>
  </w:style>
  <w:style w:type="character" w:styleId="a7">
    <w:name w:val="line number"/>
    <w:basedOn w:val="a0"/>
    <w:uiPriority w:val="99"/>
    <w:semiHidden/>
    <w:unhideWhenUsed/>
    <w:rsid w:val="00353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7</Pages>
  <Words>1027</Words>
  <Characters>6330</Characters>
  <Application>Microsoft Office Word</Application>
  <DocSecurity>0</DocSecurity>
  <Lines>111</Lines>
  <Paragraphs>33</Paragraphs>
  <ScaleCrop>false</ScaleCrop>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小崔</dc:creator>
  <cp:lastModifiedBy>小崔</cp:lastModifiedBy>
  <cp:revision>8</cp:revision>
  <dcterms:created xsi:type="dcterms:W3CDTF">2025-12-23T05:29:00Z</dcterms:created>
  <dcterms:modified xsi:type="dcterms:W3CDTF">2026-04-17T15:24:00Z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0FC841D5047C2D6B001D5F69F9849C22_42</vt:lpwstr>
  </property>
</Properties>
</file>