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FC59" w14:textId="77777777" w:rsidR="00784226" w:rsidRPr="00666F73" w:rsidRDefault="00784226" w:rsidP="00784226">
      <w:pPr>
        <w:pStyle w:val="Articletitle"/>
        <w:jc w:val="both"/>
        <w:rPr>
          <w:rFonts w:ascii="Helvetica" w:hAnsi="Helvetica"/>
          <w:sz w:val="24"/>
          <w:szCs w:val="22"/>
        </w:rPr>
      </w:pPr>
      <w:r w:rsidRPr="00666F73">
        <w:rPr>
          <w:rFonts w:ascii="Helvetica" w:hAnsi="Helvetica"/>
          <w:sz w:val="24"/>
          <w:szCs w:val="22"/>
        </w:rPr>
        <w:t>Asking the Pros - an assessment of hydroponics professionals’ attitudes towards aquaponics food production</w:t>
      </w:r>
    </w:p>
    <w:p w14:paraId="555F5A9A" w14:textId="039EA86D" w:rsidR="00784226" w:rsidRPr="003C5C49" w:rsidRDefault="00784226" w:rsidP="003C5C49">
      <w:pPr>
        <w:pStyle w:val="Authornames"/>
        <w:spacing w:line="240" w:lineRule="auto"/>
        <w:jc w:val="both"/>
        <w:rPr>
          <w:rFonts w:ascii="Helvetica" w:hAnsi="Helvetica"/>
          <w:sz w:val="24"/>
          <w:szCs w:val="22"/>
        </w:rPr>
      </w:pPr>
      <w:r w:rsidRPr="00AD331F">
        <w:rPr>
          <w:rFonts w:ascii="Helvetica" w:hAnsi="Helvetica"/>
          <w:sz w:val="24"/>
          <w:szCs w:val="22"/>
        </w:rPr>
        <w:t>Anıl Axel Tellbüscher</w:t>
      </w:r>
      <w:proofErr w:type="gramStart"/>
      <w:r w:rsidRPr="00AD331F">
        <w:rPr>
          <w:rFonts w:ascii="Helvetica" w:hAnsi="Helvetica"/>
          <w:sz w:val="24"/>
          <w:szCs w:val="22"/>
          <w:vertAlign w:val="superscript"/>
        </w:rPr>
        <w:t>1,*</w:t>
      </w:r>
      <w:proofErr w:type="gramEnd"/>
      <w:r w:rsidRPr="00AD331F">
        <w:rPr>
          <w:rFonts w:ascii="Helvetica" w:hAnsi="Helvetica"/>
          <w:sz w:val="24"/>
          <w:szCs w:val="22"/>
          <w:vertAlign w:val="superscript"/>
        </w:rPr>
        <w:t xml:space="preserve"> </w:t>
      </w:r>
      <w:r w:rsidRPr="00AD331F">
        <w:rPr>
          <w:rFonts w:ascii="Helvetica" w:hAnsi="Helvetica"/>
          <w:sz w:val="24"/>
          <w:szCs w:val="22"/>
        </w:rPr>
        <w:t>(ORCID: 0000-0002-6065-9494)</w:t>
      </w:r>
      <w:r>
        <w:rPr>
          <w:rFonts w:ascii="Helvetica" w:hAnsi="Helvetica"/>
          <w:sz w:val="24"/>
          <w:szCs w:val="22"/>
        </w:rPr>
        <w:t xml:space="preserve">, </w:t>
      </w:r>
      <w:r w:rsidRPr="00AD331F">
        <w:rPr>
          <w:rFonts w:ascii="Helvetica" w:hAnsi="Helvetica"/>
          <w:sz w:val="24"/>
          <w:szCs w:val="22"/>
        </w:rPr>
        <w:t>Christian Rudeloff</w:t>
      </w:r>
      <w:r w:rsidRPr="00AD331F">
        <w:rPr>
          <w:rFonts w:ascii="Helvetica" w:hAnsi="Helvetica"/>
          <w:sz w:val="24"/>
          <w:szCs w:val="22"/>
          <w:vertAlign w:val="superscript"/>
        </w:rPr>
        <w:t>2</w:t>
      </w:r>
      <w:r w:rsidRPr="00AD331F">
        <w:rPr>
          <w:rFonts w:ascii="Helvetica" w:hAnsi="Helvetica"/>
          <w:sz w:val="24"/>
          <w:szCs w:val="22"/>
        </w:rPr>
        <w:t xml:space="preserve"> (ORCID: 0000-0002-3707-3647)</w:t>
      </w:r>
      <w:r>
        <w:rPr>
          <w:rFonts w:ascii="Helvetica" w:hAnsi="Helvetica"/>
          <w:sz w:val="24"/>
          <w:szCs w:val="22"/>
        </w:rPr>
        <w:t xml:space="preserve">, </w:t>
      </w:r>
      <w:r w:rsidRPr="00AD331F">
        <w:rPr>
          <w:rFonts w:ascii="Helvetica" w:hAnsi="Helvetica"/>
          <w:sz w:val="24"/>
          <w:szCs w:val="22"/>
        </w:rPr>
        <w:t>Radek Gebauer</w:t>
      </w:r>
      <w:r w:rsidRPr="00AD331F">
        <w:rPr>
          <w:rFonts w:ascii="Helvetica" w:hAnsi="Helvetica"/>
          <w:sz w:val="24"/>
          <w:szCs w:val="22"/>
          <w:vertAlign w:val="superscript"/>
        </w:rPr>
        <w:t>1</w:t>
      </w:r>
      <w:r w:rsidRPr="00AD331F">
        <w:rPr>
          <w:rFonts w:ascii="Helvetica" w:hAnsi="Helvetica"/>
          <w:sz w:val="24"/>
          <w:szCs w:val="22"/>
        </w:rPr>
        <w:t xml:space="preserve"> (ORCID: 0000-0003-0894-0577)</w:t>
      </w:r>
    </w:p>
    <w:p w14:paraId="18E15325" w14:textId="77777777" w:rsidR="003C5C49" w:rsidRPr="000C62C8" w:rsidRDefault="003C5C49" w:rsidP="003C5C49">
      <w:pPr>
        <w:pStyle w:val="Affiliation"/>
        <w:jc w:val="both"/>
        <w:rPr>
          <w:rFonts w:ascii="Helvetica" w:hAnsi="Helvetica"/>
          <w:i w:val="0"/>
          <w:iCs/>
        </w:rPr>
      </w:pPr>
      <w:r w:rsidRPr="000C62C8">
        <w:rPr>
          <w:rFonts w:ascii="Helvetica" w:hAnsi="Helvetica"/>
          <w:i w:val="0"/>
          <w:iCs/>
          <w:vertAlign w:val="superscript"/>
        </w:rPr>
        <w:t>1</w:t>
      </w:r>
      <w:r w:rsidRPr="003B2273">
        <w:rPr>
          <w:rFonts w:ascii="Helvetica" w:hAnsi="Helvetica"/>
          <w:i w:val="0"/>
        </w:rPr>
        <w:t>University</w:t>
      </w:r>
      <w:r w:rsidRPr="00F7647D">
        <w:rPr>
          <w:rFonts w:ascii="Helvetica" w:hAnsi="Helvetica"/>
          <w:i w:val="0"/>
        </w:rPr>
        <w:t xml:space="preserve"> of South Bohemia in </w:t>
      </w:r>
      <w:r w:rsidRPr="00F7647D">
        <w:rPr>
          <w:rFonts w:ascii="Helvetica" w:hAnsi="Helvetica"/>
          <w:i w:val="0"/>
          <w:lang w:val="cs-CZ"/>
        </w:rPr>
        <w:t xml:space="preserve">České Budějovice, FFPW USB, CENAKVA, Institute </w:t>
      </w:r>
      <w:proofErr w:type="spellStart"/>
      <w:r w:rsidRPr="00F7647D">
        <w:rPr>
          <w:rFonts w:ascii="Helvetica" w:hAnsi="Helvetica"/>
          <w:i w:val="0"/>
          <w:lang w:val="cs-CZ"/>
        </w:rPr>
        <w:t>of</w:t>
      </w:r>
      <w:proofErr w:type="spellEnd"/>
      <w:r w:rsidRPr="00F7647D">
        <w:rPr>
          <w:rFonts w:ascii="Helvetica" w:hAnsi="Helvetica"/>
          <w:i w:val="0"/>
          <w:lang w:val="cs-CZ"/>
        </w:rPr>
        <w:t xml:space="preserve"> </w:t>
      </w:r>
      <w:proofErr w:type="spellStart"/>
      <w:r w:rsidRPr="00F7647D">
        <w:rPr>
          <w:rFonts w:ascii="Helvetica" w:hAnsi="Helvetica"/>
          <w:i w:val="0"/>
          <w:lang w:val="cs-CZ"/>
        </w:rPr>
        <w:t>Aquaculture</w:t>
      </w:r>
      <w:proofErr w:type="spellEnd"/>
      <w:r w:rsidRPr="00F7647D">
        <w:rPr>
          <w:rFonts w:ascii="Helvetica" w:hAnsi="Helvetica"/>
          <w:i w:val="0"/>
          <w:lang w:val="cs-CZ"/>
        </w:rPr>
        <w:t xml:space="preserve"> and </w:t>
      </w:r>
      <w:proofErr w:type="spellStart"/>
      <w:r w:rsidRPr="00F7647D">
        <w:rPr>
          <w:rFonts w:ascii="Helvetica" w:hAnsi="Helvetica"/>
          <w:i w:val="0"/>
          <w:lang w:val="cs-CZ"/>
        </w:rPr>
        <w:t>Protection</w:t>
      </w:r>
      <w:proofErr w:type="spellEnd"/>
      <w:r w:rsidRPr="00F7647D">
        <w:rPr>
          <w:rFonts w:ascii="Helvetica" w:hAnsi="Helvetica"/>
          <w:i w:val="0"/>
          <w:lang w:val="cs-CZ"/>
        </w:rPr>
        <w:t xml:space="preserve"> </w:t>
      </w:r>
      <w:proofErr w:type="spellStart"/>
      <w:r w:rsidRPr="00F7647D">
        <w:rPr>
          <w:rFonts w:ascii="Helvetica" w:hAnsi="Helvetica"/>
          <w:i w:val="0"/>
          <w:lang w:val="cs-CZ"/>
        </w:rPr>
        <w:t>of</w:t>
      </w:r>
      <w:proofErr w:type="spellEnd"/>
      <w:r w:rsidRPr="00F7647D">
        <w:rPr>
          <w:rFonts w:ascii="Helvetica" w:hAnsi="Helvetica"/>
          <w:i w:val="0"/>
          <w:lang w:val="cs-CZ"/>
        </w:rPr>
        <w:t xml:space="preserve"> </w:t>
      </w:r>
      <w:proofErr w:type="spellStart"/>
      <w:r w:rsidRPr="00F7647D">
        <w:rPr>
          <w:rFonts w:ascii="Helvetica" w:hAnsi="Helvetica"/>
          <w:i w:val="0"/>
          <w:lang w:val="cs-CZ"/>
        </w:rPr>
        <w:t>Waters</w:t>
      </w:r>
      <w:proofErr w:type="spellEnd"/>
      <w:r w:rsidRPr="00F7647D">
        <w:rPr>
          <w:rFonts w:ascii="Helvetica" w:hAnsi="Helvetica"/>
          <w:i w:val="0"/>
          <w:lang w:val="cs-CZ"/>
        </w:rPr>
        <w:t>, Na Sádkách 1780, 37005 České Budějovice, Czech Republic</w:t>
      </w:r>
    </w:p>
    <w:p w14:paraId="173F6B77" w14:textId="77777777" w:rsidR="003C5C49" w:rsidRPr="000C62C8" w:rsidRDefault="003C5C49" w:rsidP="003C5C49">
      <w:pPr>
        <w:pStyle w:val="Affiliation"/>
        <w:jc w:val="both"/>
        <w:rPr>
          <w:rFonts w:ascii="Helvetica" w:hAnsi="Helvetica"/>
          <w:i w:val="0"/>
          <w:iCs/>
        </w:rPr>
      </w:pPr>
      <w:r w:rsidRPr="000C62C8">
        <w:rPr>
          <w:rFonts w:ascii="Helvetica" w:hAnsi="Helvetica"/>
          <w:i w:val="0"/>
          <w:iCs/>
          <w:vertAlign w:val="superscript"/>
        </w:rPr>
        <w:t>2</w:t>
      </w:r>
      <w:r w:rsidRPr="000C62C8">
        <w:rPr>
          <w:rFonts w:ascii="Helvetica" w:hAnsi="Helvetica"/>
          <w:i w:val="0"/>
          <w:iCs/>
        </w:rPr>
        <w:t xml:space="preserve">Macromedia University of Applied Sciences, Faculty for Culture, Media and Psychology, </w:t>
      </w:r>
      <w:proofErr w:type="spellStart"/>
      <w:r w:rsidRPr="000C62C8">
        <w:rPr>
          <w:rFonts w:ascii="Helvetica" w:hAnsi="Helvetica"/>
          <w:i w:val="0"/>
          <w:iCs/>
        </w:rPr>
        <w:t>Gertrudenstraße</w:t>
      </w:r>
      <w:proofErr w:type="spellEnd"/>
      <w:r w:rsidRPr="000C62C8">
        <w:rPr>
          <w:rFonts w:ascii="Helvetica" w:hAnsi="Helvetica"/>
          <w:i w:val="0"/>
          <w:iCs/>
        </w:rPr>
        <w:t xml:space="preserve"> 3, 200 95 Hamburg, Germany</w:t>
      </w:r>
    </w:p>
    <w:p w14:paraId="0154489F" w14:textId="77777777" w:rsidR="00784226" w:rsidRPr="00784226" w:rsidRDefault="00784226" w:rsidP="00784226"/>
    <w:p w14:paraId="503C3E21" w14:textId="23079694" w:rsidR="005B437F" w:rsidRPr="005B437F" w:rsidRDefault="005B437F" w:rsidP="005B437F">
      <w:pPr>
        <w:pStyle w:val="Heading1"/>
        <w:rPr>
          <w:rFonts w:ascii="Times New Roman" w:hAnsi="Times New Roman" w:cs="Times New Roman"/>
          <w:color w:val="auto"/>
          <w:lang w:val="en-US"/>
        </w:rPr>
      </w:pPr>
      <w:r w:rsidRPr="005B437F">
        <w:rPr>
          <w:rFonts w:ascii="Times New Roman" w:hAnsi="Times New Roman" w:cs="Times New Roman"/>
          <w:color w:val="auto"/>
          <w:lang w:val="en-US"/>
        </w:rPr>
        <w:t>Supplementary material</w:t>
      </w:r>
    </w:p>
    <w:p w14:paraId="32286A8E" w14:textId="7A735023" w:rsidR="005B437F" w:rsidRPr="006C1011" w:rsidRDefault="005B437F" w:rsidP="005B437F">
      <w:pPr>
        <w:pStyle w:val="Tabletitle"/>
      </w:pPr>
      <w:bookmarkStart w:id="0" w:name="_Ref158112202"/>
      <w:r w:rsidRPr="006C1011">
        <w:rPr>
          <w:b/>
          <w:bCs/>
        </w:rPr>
        <w:t xml:space="preserve">Table </w:t>
      </w:r>
      <w:r w:rsidRPr="006C1011">
        <w:rPr>
          <w:b/>
          <w:bCs/>
        </w:rPr>
        <w:fldChar w:fldCharType="begin"/>
      </w:r>
      <w:r w:rsidRPr="006C1011">
        <w:rPr>
          <w:b/>
          <w:bCs/>
        </w:rPr>
        <w:instrText xml:space="preserve"> SEQ Table \* ARABIC </w:instrText>
      </w:r>
      <w:r w:rsidRPr="006C1011">
        <w:rPr>
          <w:b/>
          <w:bCs/>
        </w:rPr>
        <w:fldChar w:fldCharType="separate"/>
      </w:r>
      <w:r w:rsidRPr="006C1011">
        <w:rPr>
          <w:b/>
          <w:bCs/>
          <w:noProof/>
        </w:rPr>
        <w:t>3</w:t>
      </w:r>
      <w:r w:rsidRPr="006C1011">
        <w:rPr>
          <w:b/>
          <w:bCs/>
        </w:rPr>
        <w:fldChar w:fldCharType="end"/>
      </w:r>
      <w:bookmarkEnd w:id="0"/>
      <w:r w:rsidRPr="006C1011">
        <w:rPr>
          <w:b/>
          <w:bCs/>
        </w:rPr>
        <w:t>:</w:t>
      </w:r>
      <w:r w:rsidRPr="006C1011">
        <w:t xml:space="preserve"> Overview of constructs and their corresponding items, including references for those items derived from literature. The means and standard deviations were calculated based on five-point Likert scales and correspond to the cleaned dataset after inversion of the items.</w:t>
      </w:r>
      <w:r>
        <w:t xml:space="preserve"> Loadings correspond to the final model.</w:t>
      </w:r>
      <w:r w:rsidR="00C232AF">
        <w:t xml:space="preserve"> I= inverted; R= removed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816"/>
        <w:gridCol w:w="1434"/>
        <w:gridCol w:w="7920"/>
        <w:gridCol w:w="1957"/>
        <w:gridCol w:w="832"/>
        <w:gridCol w:w="999"/>
      </w:tblGrid>
      <w:tr w:rsidR="00BD7256" w:rsidRPr="006C1011" w14:paraId="7025D8CA" w14:textId="77777777" w:rsidTr="00BD72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</w:trPr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C9902" w14:textId="77777777" w:rsidR="00BD7256" w:rsidRPr="00E37F24" w:rsidRDefault="00BD7256" w:rsidP="00BF4985">
            <w:pPr>
              <w:pStyle w:val="Compact"/>
              <w:rPr>
                <w:b/>
                <w:bCs/>
                <w:sz w:val="22"/>
                <w:szCs w:val="22"/>
                <w:lang w:val="en-US"/>
              </w:rPr>
            </w:pPr>
            <w:r w:rsidRPr="00E37F24">
              <w:rPr>
                <w:b/>
                <w:bCs/>
                <w:sz w:val="22"/>
                <w:szCs w:val="22"/>
                <w:lang w:val="en-US"/>
              </w:rPr>
              <w:t>Item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</w:tcPr>
          <w:p w14:paraId="14ECADE9" w14:textId="77777777" w:rsidR="00BD7256" w:rsidRPr="00E37F24" w:rsidRDefault="00BD7256" w:rsidP="00BF4985">
            <w:pPr>
              <w:pStyle w:val="Compact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6D03F" w14:textId="32237282" w:rsidR="00BD7256" w:rsidRPr="00E37F24" w:rsidRDefault="00BD7256" w:rsidP="00BF4985">
            <w:pPr>
              <w:pStyle w:val="Compact"/>
              <w:rPr>
                <w:b/>
                <w:bCs/>
                <w:sz w:val="22"/>
                <w:szCs w:val="22"/>
                <w:lang w:val="en-US"/>
              </w:rPr>
            </w:pPr>
            <w:r w:rsidRPr="00E37F24">
              <w:rPr>
                <w:b/>
                <w:bCs/>
                <w:sz w:val="22"/>
                <w:szCs w:val="22"/>
                <w:lang w:val="en-US"/>
              </w:rPr>
              <w:t>Question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FD7A7" w14:textId="77777777" w:rsidR="00BD7256" w:rsidRPr="00E37F24" w:rsidRDefault="00BD7256" w:rsidP="00BF4985">
            <w:pPr>
              <w:pStyle w:val="Compact"/>
              <w:rPr>
                <w:b/>
                <w:bCs/>
                <w:sz w:val="22"/>
                <w:szCs w:val="22"/>
                <w:lang w:val="en-US"/>
              </w:rPr>
            </w:pPr>
            <w:r w:rsidRPr="00E37F24">
              <w:rPr>
                <w:b/>
                <w:bCs/>
                <w:sz w:val="22"/>
                <w:szCs w:val="22"/>
                <w:lang w:val="en-US"/>
              </w:rPr>
              <w:t>Comment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1088B" w14:textId="77777777" w:rsidR="00BD7256" w:rsidRPr="00E37F24" w:rsidRDefault="00BD7256" w:rsidP="00BF4985">
            <w:pPr>
              <w:pStyle w:val="Compact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37F24">
              <w:rPr>
                <w:b/>
                <w:bCs/>
                <w:sz w:val="22"/>
                <w:szCs w:val="22"/>
                <w:lang w:val="en-US"/>
              </w:rPr>
              <w:t>Mean ± SD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1A579" w14:textId="77777777" w:rsidR="00BD7256" w:rsidRPr="00E37F24" w:rsidRDefault="00BD7256" w:rsidP="00BF4985">
            <w:pPr>
              <w:pStyle w:val="Compact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37F24">
              <w:rPr>
                <w:b/>
                <w:bCs/>
                <w:sz w:val="22"/>
                <w:szCs w:val="22"/>
                <w:lang w:val="en-US"/>
              </w:rPr>
              <w:t>Loading</w:t>
            </w:r>
          </w:p>
        </w:tc>
      </w:tr>
      <w:tr w:rsidR="00BD7256" w:rsidRPr="006C1011" w14:paraId="3137663E" w14:textId="77777777" w:rsidTr="00BD7256">
        <w:trPr>
          <w:trHeight w:val="454"/>
        </w:trPr>
        <w:tc>
          <w:tcPr>
            <w:tcW w:w="292" w:type="pct"/>
            <w:tcBorders>
              <w:top w:val="single" w:sz="4" w:space="0" w:color="auto"/>
            </w:tcBorders>
            <w:vAlign w:val="center"/>
          </w:tcPr>
          <w:p w14:paraId="76FAA24F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Env1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14:paraId="360ACE72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tcBorders>
              <w:top w:val="single" w:sz="4" w:space="0" w:color="auto"/>
            </w:tcBorders>
            <w:vAlign w:val="center"/>
          </w:tcPr>
          <w:p w14:paraId="0831A451" w14:textId="5DB64F3D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The developments in the natural environment affect our firm’s business activities.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14:paraId="73797563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15995F7D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3.44 ± 1.17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37F0F017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0.619</w:t>
            </w:r>
          </w:p>
        </w:tc>
      </w:tr>
      <w:tr w:rsidR="00BD7256" w:rsidRPr="006C1011" w14:paraId="0E60DBE0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355A21BB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Env2</w:t>
            </w:r>
          </w:p>
        </w:tc>
        <w:tc>
          <w:tcPr>
            <w:tcW w:w="514" w:type="pct"/>
          </w:tcPr>
          <w:p w14:paraId="59306FB7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5DCCC82A" w14:textId="31D1D04A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The financial well-being of our firm depends on the state of the natural environment.</w:t>
            </w:r>
          </w:p>
        </w:tc>
        <w:tc>
          <w:tcPr>
            <w:tcW w:w="701" w:type="pct"/>
            <w:vAlign w:val="center"/>
          </w:tcPr>
          <w:p w14:paraId="1427ED2B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vAlign w:val="center"/>
          </w:tcPr>
          <w:p w14:paraId="5AC25267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3.46 ± 1.04</w:t>
            </w:r>
          </w:p>
        </w:tc>
        <w:tc>
          <w:tcPr>
            <w:tcW w:w="358" w:type="pct"/>
            <w:vAlign w:val="center"/>
          </w:tcPr>
          <w:p w14:paraId="6BE013B4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0.889</w:t>
            </w:r>
          </w:p>
        </w:tc>
      </w:tr>
      <w:tr w:rsidR="00BD7256" w:rsidRPr="006C1011" w14:paraId="4EA12D5C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34DFE10A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Env3</w:t>
            </w:r>
          </w:p>
        </w:tc>
        <w:tc>
          <w:tcPr>
            <w:tcW w:w="514" w:type="pct"/>
          </w:tcPr>
          <w:p w14:paraId="543D0A38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0BC90D1C" w14:textId="0EF1259F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Environmental preservation is vital to our firm’s survival.</w:t>
            </w:r>
          </w:p>
        </w:tc>
        <w:tc>
          <w:tcPr>
            <w:tcW w:w="701" w:type="pct"/>
            <w:vAlign w:val="center"/>
          </w:tcPr>
          <w:p w14:paraId="3B08A1CC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vAlign w:val="center"/>
          </w:tcPr>
          <w:p w14:paraId="5533D28B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3.65 ± 1.20</w:t>
            </w:r>
          </w:p>
        </w:tc>
        <w:tc>
          <w:tcPr>
            <w:tcW w:w="358" w:type="pct"/>
            <w:vAlign w:val="center"/>
          </w:tcPr>
          <w:p w14:paraId="40210A9E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0.898</w:t>
            </w:r>
          </w:p>
        </w:tc>
      </w:tr>
      <w:tr w:rsidR="00BD7256" w:rsidRPr="006C1011" w14:paraId="4537E7B3" w14:textId="77777777" w:rsidTr="00BD7256">
        <w:trPr>
          <w:trHeight w:val="454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1855F3B9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lastRenderedPageBreak/>
              <w:t>Env4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02E56C10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tcBorders>
              <w:bottom w:val="single" w:sz="4" w:space="0" w:color="auto"/>
            </w:tcBorders>
            <w:vAlign w:val="center"/>
          </w:tcPr>
          <w:p w14:paraId="3473B6C2" w14:textId="2B1FED75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External stakeholders such as customers or investors expect our firm to preserve the environment.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5636ECF1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14:paraId="142CC9CC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3.82 ± 1.11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15464E56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0.576</w:t>
            </w:r>
          </w:p>
        </w:tc>
      </w:tr>
      <w:tr w:rsidR="00BD7256" w:rsidRPr="006C1011" w14:paraId="43C85BDE" w14:textId="77777777" w:rsidTr="00BD7256">
        <w:trPr>
          <w:trHeight w:val="454"/>
        </w:trPr>
        <w:tc>
          <w:tcPr>
            <w:tcW w:w="292" w:type="pct"/>
            <w:tcBorders>
              <w:top w:val="single" w:sz="4" w:space="0" w:color="auto"/>
            </w:tcBorders>
            <w:vAlign w:val="center"/>
          </w:tcPr>
          <w:p w14:paraId="0CC0892F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Sust1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14:paraId="64954290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tcBorders>
              <w:top w:val="single" w:sz="4" w:space="0" w:color="auto"/>
            </w:tcBorders>
            <w:vAlign w:val="center"/>
          </w:tcPr>
          <w:p w14:paraId="515B8AAB" w14:textId="55BD91F5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 xml:space="preserve">Aquaponics </w:t>
            </w:r>
            <w:proofErr w:type="gramStart"/>
            <w:r w:rsidRPr="00E37F24">
              <w:rPr>
                <w:sz w:val="22"/>
                <w:szCs w:val="22"/>
                <w:lang w:val="en-US"/>
              </w:rPr>
              <w:t>is</w:t>
            </w:r>
            <w:proofErr w:type="gramEnd"/>
            <w:r w:rsidRPr="00E37F24">
              <w:rPr>
                <w:sz w:val="22"/>
                <w:szCs w:val="22"/>
                <w:lang w:val="en-US"/>
              </w:rPr>
              <w:t xml:space="preserve"> more sustainable than hydroponics.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14:paraId="3FE39D9C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1A223B32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3.20 ± 0.98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2E45B89E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0.805</w:t>
            </w:r>
          </w:p>
        </w:tc>
      </w:tr>
      <w:tr w:rsidR="00BD7256" w:rsidRPr="006C1011" w14:paraId="0BD6DDFF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78791EA6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Sust2</w:t>
            </w:r>
          </w:p>
        </w:tc>
        <w:tc>
          <w:tcPr>
            <w:tcW w:w="514" w:type="pct"/>
          </w:tcPr>
          <w:p w14:paraId="52A2B45D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5999BFB0" w14:textId="4E37ED98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 xml:space="preserve">Aquaponics </w:t>
            </w:r>
            <w:proofErr w:type="gramStart"/>
            <w:r w:rsidRPr="00E37F24">
              <w:rPr>
                <w:sz w:val="22"/>
                <w:szCs w:val="22"/>
                <w:lang w:val="en-US"/>
              </w:rPr>
              <w:t>reduces</w:t>
            </w:r>
            <w:proofErr w:type="gramEnd"/>
            <w:r w:rsidRPr="00E37F24">
              <w:rPr>
                <w:sz w:val="22"/>
                <w:szCs w:val="22"/>
                <w:lang w:val="en-US"/>
              </w:rPr>
              <w:t xml:space="preserve"> fertilizer consumption compared with hydroponics.</w:t>
            </w:r>
          </w:p>
        </w:tc>
        <w:tc>
          <w:tcPr>
            <w:tcW w:w="701" w:type="pct"/>
            <w:vAlign w:val="center"/>
          </w:tcPr>
          <w:p w14:paraId="7A5BA6AA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vAlign w:val="center"/>
          </w:tcPr>
          <w:p w14:paraId="2915BEE5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3.68 ± 0.89</w:t>
            </w:r>
          </w:p>
        </w:tc>
        <w:tc>
          <w:tcPr>
            <w:tcW w:w="358" w:type="pct"/>
            <w:vAlign w:val="center"/>
          </w:tcPr>
          <w:p w14:paraId="424929D6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0.720</w:t>
            </w:r>
          </w:p>
        </w:tc>
      </w:tr>
      <w:tr w:rsidR="00BD7256" w:rsidRPr="006C1011" w14:paraId="0631D273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4D0F3EA7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Sust3</w:t>
            </w:r>
          </w:p>
        </w:tc>
        <w:tc>
          <w:tcPr>
            <w:tcW w:w="514" w:type="pct"/>
          </w:tcPr>
          <w:p w14:paraId="49AA4DE6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5CE35D4A" w14:textId="286BC67C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 xml:space="preserve">Aquaponics </w:t>
            </w:r>
            <w:proofErr w:type="gramStart"/>
            <w:r w:rsidRPr="00E37F24">
              <w:rPr>
                <w:sz w:val="22"/>
                <w:szCs w:val="22"/>
                <w:lang w:val="en-US"/>
              </w:rPr>
              <w:t>has</w:t>
            </w:r>
            <w:proofErr w:type="gramEnd"/>
            <w:r w:rsidRPr="00E37F24">
              <w:rPr>
                <w:sz w:val="22"/>
                <w:szCs w:val="22"/>
                <w:lang w:val="en-US"/>
              </w:rPr>
              <w:t xml:space="preserve"> a smaller environmental footprint than hydroponics.</w:t>
            </w:r>
          </w:p>
        </w:tc>
        <w:tc>
          <w:tcPr>
            <w:tcW w:w="701" w:type="pct"/>
            <w:vAlign w:val="center"/>
          </w:tcPr>
          <w:p w14:paraId="197ECACF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vAlign w:val="center"/>
          </w:tcPr>
          <w:p w14:paraId="30372265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3.17 ± 1.04</w:t>
            </w:r>
          </w:p>
        </w:tc>
        <w:tc>
          <w:tcPr>
            <w:tcW w:w="358" w:type="pct"/>
            <w:vAlign w:val="center"/>
          </w:tcPr>
          <w:p w14:paraId="4E2F4333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0.660</w:t>
            </w:r>
          </w:p>
        </w:tc>
      </w:tr>
      <w:tr w:rsidR="00BD7256" w:rsidRPr="006C1011" w14:paraId="45B9F867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40632DDD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Sust4</w:t>
            </w:r>
          </w:p>
        </w:tc>
        <w:tc>
          <w:tcPr>
            <w:tcW w:w="514" w:type="pct"/>
          </w:tcPr>
          <w:p w14:paraId="78013738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37E357F2" w14:textId="7E8CBB7A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 xml:space="preserve">Hydroponics </w:t>
            </w:r>
            <w:proofErr w:type="gramStart"/>
            <w:r w:rsidRPr="00E37F24">
              <w:rPr>
                <w:sz w:val="22"/>
                <w:szCs w:val="22"/>
                <w:lang w:val="en-US"/>
              </w:rPr>
              <w:t>is</w:t>
            </w:r>
            <w:proofErr w:type="gramEnd"/>
            <w:r w:rsidRPr="00E37F24">
              <w:rPr>
                <w:sz w:val="22"/>
                <w:szCs w:val="22"/>
                <w:lang w:val="en-US"/>
              </w:rPr>
              <w:t xml:space="preserve"> more environmentally friendly than aquaponics.</w:t>
            </w:r>
          </w:p>
        </w:tc>
        <w:tc>
          <w:tcPr>
            <w:tcW w:w="701" w:type="pct"/>
            <w:vAlign w:val="center"/>
          </w:tcPr>
          <w:p w14:paraId="27B19E88" w14:textId="52668442" w:rsidR="00BD7256" w:rsidRPr="00E37F24" w:rsidRDefault="00C232AF" w:rsidP="00BF4985">
            <w:pPr>
              <w:pStyle w:val="Compac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BD7256" w:rsidRPr="00E37F24">
              <w:rPr>
                <w:sz w:val="22"/>
                <w:szCs w:val="22"/>
                <w:lang w:val="en-US"/>
              </w:rPr>
              <w:t xml:space="preserve">; </w:t>
            </w:r>
            <w:r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298" w:type="pct"/>
            <w:vAlign w:val="center"/>
          </w:tcPr>
          <w:p w14:paraId="641B830C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3.13 ± 0.91</w:t>
            </w:r>
          </w:p>
        </w:tc>
        <w:tc>
          <w:tcPr>
            <w:tcW w:w="358" w:type="pct"/>
            <w:vAlign w:val="center"/>
          </w:tcPr>
          <w:p w14:paraId="0E7F53AE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7256" w:rsidRPr="006C1011" w14:paraId="09275444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0A7B581F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Sust5</w:t>
            </w:r>
          </w:p>
        </w:tc>
        <w:tc>
          <w:tcPr>
            <w:tcW w:w="514" w:type="pct"/>
          </w:tcPr>
          <w:p w14:paraId="3178E9B7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38F0426D" w14:textId="0E1E0A2C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 xml:space="preserve">Aquaponics </w:t>
            </w:r>
            <w:proofErr w:type="gramStart"/>
            <w:r w:rsidRPr="00E37F24">
              <w:rPr>
                <w:sz w:val="22"/>
                <w:szCs w:val="22"/>
                <w:lang w:val="en-US"/>
              </w:rPr>
              <w:t>is</w:t>
            </w:r>
            <w:proofErr w:type="gramEnd"/>
            <w:r w:rsidRPr="00E37F24">
              <w:rPr>
                <w:sz w:val="22"/>
                <w:szCs w:val="22"/>
                <w:lang w:val="en-US"/>
              </w:rPr>
              <w:t xml:space="preserve"> how we should produce our food in the future.</w:t>
            </w:r>
          </w:p>
        </w:tc>
        <w:tc>
          <w:tcPr>
            <w:tcW w:w="701" w:type="pct"/>
            <w:vAlign w:val="center"/>
          </w:tcPr>
          <w:p w14:paraId="74312D08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vAlign w:val="center"/>
          </w:tcPr>
          <w:p w14:paraId="1D997927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3.07 ± 0.96</w:t>
            </w:r>
          </w:p>
        </w:tc>
        <w:tc>
          <w:tcPr>
            <w:tcW w:w="358" w:type="pct"/>
            <w:vAlign w:val="center"/>
          </w:tcPr>
          <w:p w14:paraId="23C9A0B7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0.850</w:t>
            </w:r>
          </w:p>
        </w:tc>
      </w:tr>
      <w:tr w:rsidR="00BD7256" w:rsidRPr="006C1011" w14:paraId="35DFC108" w14:textId="77777777" w:rsidTr="00BD7256">
        <w:trPr>
          <w:trHeight w:val="454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44D868A1" w14:textId="4474CC54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Sust6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59EE9595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tcBorders>
              <w:bottom w:val="single" w:sz="4" w:space="0" w:color="auto"/>
            </w:tcBorders>
            <w:vAlign w:val="center"/>
          </w:tcPr>
          <w:p w14:paraId="3D32BD9B" w14:textId="626864C4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Aquaponics delivers the right answers for sustainable food production.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5EA0CA55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14:paraId="597F15B7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3.17 ± 0.89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7B70EA77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0.877</w:t>
            </w:r>
          </w:p>
        </w:tc>
      </w:tr>
      <w:tr w:rsidR="00BD7256" w:rsidRPr="006C1011" w14:paraId="5B6E3DCB" w14:textId="77777777" w:rsidTr="00BD7256">
        <w:trPr>
          <w:trHeight w:val="454"/>
        </w:trPr>
        <w:tc>
          <w:tcPr>
            <w:tcW w:w="292" w:type="pct"/>
            <w:tcBorders>
              <w:top w:val="single" w:sz="4" w:space="0" w:color="auto"/>
            </w:tcBorders>
            <w:vAlign w:val="center"/>
          </w:tcPr>
          <w:p w14:paraId="63FD15AA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Man1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14:paraId="2954C9BF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tcBorders>
              <w:top w:val="single" w:sz="4" w:space="0" w:color="auto"/>
            </w:tcBorders>
            <w:vAlign w:val="center"/>
          </w:tcPr>
          <w:p w14:paraId="7F34F8B7" w14:textId="32134BEE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Treating fish diseases in aquaponics is problematic.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14:paraId="2E367C24" w14:textId="4184EF77" w:rsidR="00BD7256" w:rsidRPr="00E37F24" w:rsidRDefault="00C232AF" w:rsidP="00BF4985">
            <w:pPr>
              <w:pStyle w:val="Compac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7B454E10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2.46 ± 0.88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2CD0A59D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0.665</w:t>
            </w:r>
          </w:p>
        </w:tc>
      </w:tr>
      <w:tr w:rsidR="00BD7256" w:rsidRPr="006C1011" w14:paraId="6BC5DDB9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2F4572B5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Man2</w:t>
            </w:r>
          </w:p>
        </w:tc>
        <w:tc>
          <w:tcPr>
            <w:tcW w:w="514" w:type="pct"/>
          </w:tcPr>
          <w:p w14:paraId="7B44154B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164E5B0E" w14:textId="0D83258C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 xml:space="preserve">Aquaponics </w:t>
            </w:r>
            <w:proofErr w:type="gramStart"/>
            <w:r w:rsidRPr="00E37F24">
              <w:rPr>
                <w:sz w:val="22"/>
                <w:szCs w:val="22"/>
                <w:lang w:val="en-US"/>
              </w:rPr>
              <w:t>is</w:t>
            </w:r>
            <w:proofErr w:type="gramEnd"/>
            <w:r w:rsidRPr="00E37F24">
              <w:rPr>
                <w:sz w:val="22"/>
                <w:szCs w:val="22"/>
                <w:lang w:val="en-US"/>
              </w:rPr>
              <w:t xml:space="preserve"> more susceptible to human error than hydroponics.</w:t>
            </w:r>
          </w:p>
        </w:tc>
        <w:tc>
          <w:tcPr>
            <w:tcW w:w="701" w:type="pct"/>
            <w:vAlign w:val="center"/>
          </w:tcPr>
          <w:p w14:paraId="5707DEA2" w14:textId="6866B0B4" w:rsidR="00BD7256" w:rsidRPr="00E37F24" w:rsidRDefault="00C232AF" w:rsidP="00BF4985">
            <w:pPr>
              <w:pStyle w:val="Compac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298" w:type="pct"/>
            <w:vAlign w:val="center"/>
          </w:tcPr>
          <w:p w14:paraId="63F4CFAE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2.61 ± 0.98</w:t>
            </w:r>
          </w:p>
        </w:tc>
        <w:tc>
          <w:tcPr>
            <w:tcW w:w="358" w:type="pct"/>
            <w:vAlign w:val="center"/>
          </w:tcPr>
          <w:p w14:paraId="41D03674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0.829</w:t>
            </w:r>
          </w:p>
        </w:tc>
      </w:tr>
      <w:tr w:rsidR="00BD7256" w:rsidRPr="006C1011" w14:paraId="40B5C97B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20D7FD64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Man3</w:t>
            </w:r>
          </w:p>
        </w:tc>
        <w:tc>
          <w:tcPr>
            <w:tcW w:w="514" w:type="pct"/>
          </w:tcPr>
          <w:p w14:paraId="591FA255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1920B07C" w14:textId="18ED0D30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Treating plant pests such as aphids is more challenging in aquaponics than in hydroponics.</w:t>
            </w:r>
          </w:p>
        </w:tc>
        <w:tc>
          <w:tcPr>
            <w:tcW w:w="701" w:type="pct"/>
            <w:vAlign w:val="center"/>
          </w:tcPr>
          <w:p w14:paraId="161F3FA5" w14:textId="7DFBCEE0" w:rsidR="00BD7256" w:rsidRPr="00E37F24" w:rsidRDefault="00C232AF" w:rsidP="00BF4985">
            <w:pPr>
              <w:pStyle w:val="Compac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BD7256" w:rsidRPr="00E37F24">
              <w:rPr>
                <w:sz w:val="22"/>
                <w:szCs w:val="22"/>
                <w:lang w:val="en-US"/>
              </w:rPr>
              <w:t xml:space="preserve">; </w:t>
            </w:r>
            <w:r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298" w:type="pct"/>
            <w:vAlign w:val="center"/>
          </w:tcPr>
          <w:p w14:paraId="47D95211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2.79 ± 1.00</w:t>
            </w:r>
          </w:p>
        </w:tc>
        <w:tc>
          <w:tcPr>
            <w:tcW w:w="358" w:type="pct"/>
            <w:vAlign w:val="center"/>
          </w:tcPr>
          <w:p w14:paraId="772E27B2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7256" w:rsidRPr="006C1011" w14:paraId="4425A22D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18FF4A3A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Man4</w:t>
            </w:r>
          </w:p>
        </w:tc>
        <w:tc>
          <w:tcPr>
            <w:tcW w:w="514" w:type="pct"/>
          </w:tcPr>
          <w:p w14:paraId="44FF0395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14CF650B" w14:textId="299E9D23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Finding qualified staff for aquaponics is more challenging than in hydroponics.</w:t>
            </w:r>
          </w:p>
        </w:tc>
        <w:tc>
          <w:tcPr>
            <w:tcW w:w="701" w:type="pct"/>
            <w:vAlign w:val="center"/>
          </w:tcPr>
          <w:p w14:paraId="736425E5" w14:textId="339D380C" w:rsidR="00BD7256" w:rsidRPr="00E37F24" w:rsidRDefault="00C232AF" w:rsidP="00BF4985">
            <w:pPr>
              <w:pStyle w:val="Compac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298" w:type="pct"/>
            <w:vAlign w:val="center"/>
          </w:tcPr>
          <w:p w14:paraId="640EA64B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2.56 ± 1.14</w:t>
            </w:r>
          </w:p>
        </w:tc>
        <w:tc>
          <w:tcPr>
            <w:tcW w:w="358" w:type="pct"/>
            <w:vAlign w:val="center"/>
          </w:tcPr>
          <w:p w14:paraId="210E7EDD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0.533</w:t>
            </w:r>
          </w:p>
        </w:tc>
      </w:tr>
      <w:tr w:rsidR="00BD7256" w:rsidRPr="006C1011" w14:paraId="72D3180D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72CB7388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Man5</w:t>
            </w:r>
          </w:p>
        </w:tc>
        <w:tc>
          <w:tcPr>
            <w:tcW w:w="514" w:type="pct"/>
          </w:tcPr>
          <w:p w14:paraId="088E5208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021C2AC9" w14:textId="2A2C8245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proofErr w:type="gramStart"/>
            <w:r w:rsidRPr="00E37F24">
              <w:rPr>
                <w:sz w:val="22"/>
                <w:szCs w:val="22"/>
                <w:lang w:val="en-US"/>
              </w:rPr>
              <w:t>Plant</w:t>
            </w:r>
            <w:proofErr w:type="gramEnd"/>
            <w:r w:rsidRPr="00E37F24">
              <w:rPr>
                <w:sz w:val="22"/>
                <w:szCs w:val="22"/>
                <w:lang w:val="en-US"/>
              </w:rPr>
              <w:t xml:space="preserve"> nutrient management in aquaponics is more difficult than in hydroponics.</w:t>
            </w:r>
          </w:p>
        </w:tc>
        <w:tc>
          <w:tcPr>
            <w:tcW w:w="701" w:type="pct"/>
            <w:vAlign w:val="center"/>
          </w:tcPr>
          <w:p w14:paraId="0DA21699" w14:textId="245C57AC" w:rsidR="00BD7256" w:rsidRPr="00E37F24" w:rsidRDefault="00C232AF" w:rsidP="00BF4985">
            <w:pPr>
              <w:pStyle w:val="Compac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298" w:type="pct"/>
            <w:vAlign w:val="center"/>
          </w:tcPr>
          <w:p w14:paraId="1E499A31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2.35 ± 1.00</w:t>
            </w:r>
          </w:p>
        </w:tc>
        <w:tc>
          <w:tcPr>
            <w:tcW w:w="358" w:type="pct"/>
            <w:vAlign w:val="center"/>
          </w:tcPr>
          <w:p w14:paraId="08AD1389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0.742</w:t>
            </w:r>
          </w:p>
        </w:tc>
      </w:tr>
      <w:tr w:rsidR="00BD7256" w:rsidRPr="006C1011" w14:paraId="173E0A14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274EAE26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Man6</w:t>
            </w:r>
          </w:p>
        </w:tc>
        <w:tc>
          <w:tcPr>
            <w:tcW w:w="514" w:type="pct"/>
          </w:tcPr>
          <w:p w14:paraId="62059F99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107BB25D" w14:textId="7ABA8ECF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 xml:space="preserve">Aquaponics </w:t>
            </w:r>
            <w:proofErr w:type="gramStart"/>
            <w:r w:rsidRPr="00E37F24">
              <w:rPr>
                <w:sz w:val="22"/>
                <w:szCs w:val="22"/>
                <w:lang w:val="en-US"/>
              </w:rPr>
              <w:t>is</w:t>
            </w:r>
            <w:proofErr w:type="gramEnd"/>
            <w:r w:rsidRPr="00E37F24">
              <w:rPr>
                <w:sz w:val="22"/>
                <w:szCs w:val="22"/>
                <w:lang w:val="en-US"/>
              </w:rPr>
              <w:t xml:space="preserve"> more susceptible to technical </w:t>
            </w:r>
            <w:proofErr w:type="gramStart"/>
            <w:r w:rsidRPr="00E37F24">
              <w:rPr>
                <w:sz w:val="22"/>
                <w:szCs w:val="22"/>
                <w:lang w:val="en-US"/>
              </w:rPr>
              <w:t>error</w:t>
            </w:r>
            <w:proofErr w:type="gramEnd"/>
            <w:r w:rsidRPr="00E37F24">
              <w:rPr>
                <w:sz w:val="22"/>
                <w:szCs w:val="22"/>
                <w:lang w:val="en-US"/>
              </w:rPr>
              <w:t xml:space="preserve"> than hydroponics.</w:t>
            </w:r>
          </w:p>
        </w:tc>
        <w:tc>
          <w:tcPr>
            <w:tcW w:w="701" w:type="pct"/>
            <w:vAlign w:val="center"/>
          </w:tcPr>
          <w:p w14:paraId="747642FE" w14:textId="517AE06A" w:rsidR="00BD7256" w:rsidRPr="00E37F24" w:rsidRDefault="00C232AF" w:rsidP="00BF4985">
            <w:pPr>
              <w:pStyle w:val="Compac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298" w:type="pct"/>
            <w:vAlign w:val="center"/>
          </w:tcPr>
          <w:p w14:paraId="77F506BA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2.52 ± 1.05</w:t>
            </w:r>
          </w:p>
        </w:tc>
        <w:tc>
          <w:tcPr>
            <w:tcW w:w="358" w:type="pct"/>
            <w:vAlign w:val="center"/>
          </w:tcPr>
          <w:p w14:paraId="0E100289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0.852</w:t>
            </w:r>
          </w:p>
        </w:tc>
      </w:tr>
      <w:tr w:rsidR="00BD7256" w:rsidRPr="006C1011" w14:paraId="0E66D657" w14:textId="77777777" w:rsidTr="00BD7256">
        <w:trPr>
          <w:trHeight w:val="454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42155F9B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Man7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274A0BA8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tcBorders>
              <w:bottom w:val="single" w:sz="4" w:space="0" w:color="auto"/>
            </w:tcBorders>
            <w:vAlign w:val="center"/>
          </w:tcPr>
          <w:p w14:paraId="49019BF1" w14:textId="328EB1DC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Treating plant diseases such as root rot is more difficult in aquaponics than in hydroponics.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5DC85633" w14:textId="0C48F19B" w:rsidR="00BD7256" w:rsidRPr="00E37F24" w:rsidRDefault="00C232AF" w:rsidP="00BF4985">
            <w:pPr>
              <w:pStyle w:val="Compac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14:paraId="699FC0B6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2.45 ± 1.04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30B0EC52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0.562</w:t>
            </w:r>
          </w:p>
        </w:tc>
      </w:tr>
      <w:tr w:rsidR="00BD7256" w:rsidRPr="006C1011" w14:paraId="06299BF8" w14:textId="77777777" w:rsidTr="00BD7256">
        <w:trPr>
          <w:trHeight w:val="454"/>
        </w:trPr>
        <w:tc>
          <w:tcPr>
            <w:tcW w:w="292" w:type="pct"/>
            <w:tcBorders>
              <w:top w:val="single" w:sz="4" w:space="0" w:color="auto"/>
            </w:tcBorders>
            <w:vAlign w:val="center"/>
          </w:tcPr>
          <w:p w14:paraId="1A398533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lastRenderedPageBreak/>
              <w:t>Econ1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14:paraId="6DE159CD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tcBorders>
              <w:top w:val="single" w:sz="4" w:space="0" w:color="auto"/>
            </w:tcBorders>
            <w:vAlign w:val="center"/>
          </w:tcPr>
          <w:p w14:paraId="2BB7B4D8" w14:textId="385D49B4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 xml:space="preserve">Aquaponics </w:t>
            </w:r>
            <w:proofErr w:type="gramStart"/>
            <w:r w:rsidRPr="00E37F24">
              <w:rPr>
                <w:sz w:val="22"/>
                <w:szCs w:val="22"/>
                <w:lang w:val="en-US"/>
              </w:rPr>
              <w:t>generates</w:t>
            </w:r>
            <w:proofErr w:type="gramEnd"/>
            <w:r w:rsidRPr="00E37F24">
              <w:rPr>
                <w:sz w:val="22"/>
                <w:szCs w:val="22"/>
                <w:lang w:val="en-US"/>
              </w:rPr>
              <w:t xml:space="preserve"> higher profit than hydroponics.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14:paraId="41A1889A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6D025662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2.75 ± 0.81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0DB8D0A9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0.685</w:t>
            </w:r>
          </w:p>
        </w:tc>
      </w:tr>
      <w:tr w:rsidR="00BD7256" w:rsidRPr="006C1011" w14:paraId="57D5FE86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055131E5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Econ2</w:t>
            </w:r>
          </w:p>
        </w:tc>
        <w:tc>
          <w:tcPr>
            <w:tcW w:w="514" w:type="pct"/>
          </w:tcPr>
          <w:p w14:paraId="26280861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16F3C588" w14:textId="4A6880F5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Aquaponics is economically viable.</w:t>
            </w:r>
          </w:p>
        </w:tc>
        <w:tc>
          <w:tcPr>
            <w:tcW w:w="701" w:type="pct"/>
            <w:vAlign w:val="center"/>
          </w:tcPr>
          <w:p w14:paraId="20EDB3BF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vAlign w:val="center"/>
          </w:tcPr>
          <w:p w14:paraId="5A1568D9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3.17 ± 0.96</w:t>
            </w:r>
          </w:p>
        </w:tc>
        <w:tc>
          <w:tcPr>
            <w:tcW w:w="358" w:type="pct"/>
            <w:vAlign w:val="center"/>
          </w:tcPr>
          <w:p w14:paraId="02642B19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0.725</w:t>
            </w:r>
          </w:p>
        </w:tc>
      </w:tr>
      <w:tr w:rsidR="00BD7256" w:rsidRPr="006C1011" w14:paraId="15958E43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47924D79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Econ3</w:t>
            </w:r>
          </w:p>
        </w:tc>
        <w:tc>
          <w:tcPr>
            <w:tcW w:w="514" w:type="pct"/>
          </w:tcPr>
          <w:p w14:paraId="386DD55E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52B2EFED" w14:textId="578C322D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 xml:space="preserve">Aquaponics </w:t>
            </w:r>
            <w:proofErr w:type="gramStart"/>
            <w:r w:rsidRPr="00E37F24">
              <w:rPr>
                <w:sz w:val="22"/>
                <w:szCs w:val="22"/>
                <w:lang w:val="en-US"/>
              </w:rPr>
              <w:t>has</w:t>
            </w:r>
            <w:proofErr w:type="gramEnd"/>
            <w:r w:rsidRPr="00E37F24">
              <w:rPr>
                <w:sz w:val="22"/>
                <w:szCs w:val="22"/>
                <w:lang w:val="en-US"/>
              </w:rPr>
              <w:t xml:space="preserve"> lower operating costs than hydroponics.</w:t>
            </w:r>
          </w:p>
        </w:tc>
        <w:tc>
          <w:tcPr>
            <w:tcW w:w="701" w:type="pct"/>
            <w:vAlign w:val="center"/>
          </w:tcPr>
          <w:p w14:paraId="35AB3030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vAlign w:val="center"/>
          </w:tcPr>
          <w:p w14:paraId="03647A28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2.62 ± 0.95</w:t>
            </w:r>
          </w:p>
        </w:tc>
        <w:tc>
          <w:tcPr>
            <w:tcW w:w="358" w:type="pct"/>
            <w:vAlign w:val="center"/>
          </w:tcPr>
          <w:p w14:paraId="40AF0668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0.665</w:t>
            </w:r>
          </w:p>
        </w:tc>
      </w:tr>
      <w:tr w:rsidR="00BD7256" w:rsidRPr="006C1011" w14:paraId="5F7DBD1C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257F68F3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Econ4</w:t>
            </w:r>
          </w:p>
        </w:tc>
        <w:tc>
          <w:tcPr>
            <w:tcW w:w="514" w:type="pct"/>
          </w:tcPr>
          <w:p w14:paraId="59E88659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23E9E621" w14:textId="49E7BA72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Customers are willing to pay more for aquaponic products.</w:t>
            </w:r>
          </w:p>
        </w:tc>
        <w:tc>
          <w:tcPr>
            <w:tcW w:w="701" w:type="pct"/>
            <w:vAlign w:val="center"/>
          </w:tcPr>
          <w:p w14:paraId="5F2E4E23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vAlign w:val="center"/>
          </w:tcPr>
          <w:p w14:paraId="0E787FDE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2.45 ± 0.92</w:t>
            </w:r>
          </w:p>
        </w:tc>
        <w:tc>
          <w:tcPr>
            <w:tcW w:w="358" w:type="pct"/>
            <w:vAlign w:val="center"/>
          </w:tcPr>
          <w:p w14:paraId="3FCE1162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0.705</w:t>
            </w:r>
          </w:p>
        </w:tc>
      </w:tr>
      <w:tr w:rsidR="00BD7256" w:rsidRPr="006C1011" w14:paraId="48DA176F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75CCB336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Econ5</w:t>
            </w:r>
          </w:p>
        </w:tc>
        <w:tc>
          <w:tcPr>
            <w:tcW w:w="514" w:type="pct"/>
          </w:tcPr>
          <w:p w14:paraId="368030DB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490408DE" w14:textId="318AD7A9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 xml:space="preserve">Aquaponics </w:t>
            </w:r>
            <w:proofErr w:type="gramStart"/>
            <w:r w:rsidRPr="00E37F24">
              <w:rPr>
                <w:sz w:val="22"/>
                <w:szCs w:val="22"/>
                <w:lang w:val="en-US"/>
              </w:rPr>
              <w:t>pays</w:t>
            </w:r>
            <w:proofErr w:type="gramEnd"/>
            <w:r w:rsidRPr="00E37F24">
              <w:rPr>
                <w:sz w:val="22"/>
                <w:szCs w:val="22"/>
                <w:lang w:val="en-US"/>
              </w:rPr>
              <w:t xml:space="preserve"> off.</w:t>
            </w:r>
          </w:p>
        </w:tc>
        <w:tc>
          <w:tcPr>
            <w:tcW w:w="701" w:type="pct"/>
            <w:vAlign w:val="center"/>
          </w:tcPr>
          <w:p w14:paraId="3AD4F601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vAlign w:val="center"/>
          </w:tcPr>
          <w:p w14:paraId="16EE5789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3.10 ± 0.81</w:t>
            </w:r>
          </w:p>
        </w:tc>
        <w:tc>
          <w:tcPr>
            <w:tcW w:w="358" w:type="pct"/>
            <w:vAlign w:val="center"/>
          </w:tcPr>
          <w:p w14:paraId="50A0EE12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0.791</w:t>
            </w:r>
          </w:p>
        </w:tc>
      </w:tr>
      <w:tr w:rsidR="00BD7256" w:rsidRPr="006C1011" w14:paraId="13D09F87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71C1D091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Econ6</w:t>
            </w:r>
          </w:p>
        </w:tc>
        <w:tc>
          <w:tcPr>
            <w:tcW w:w="514" w:type="pct"/>
          </w:tcPr>
          <w:p w14:paraId="6D9BD06D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336B4350" w14:textId="738FC595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Customers ask for aquaponic produce.</w:t>
            </w:r>
          </w:p>
        </w:tc>
        <w:tc>
          <w:tcPr>
            <w:tcW w:w="701" w:type="pct"/>
            <w:vAlign w:val="center"/>
          </w:tcPr>
          <w:p w14:paraId="3502189F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vAlign w:val="center"/>
          </w:tcPr>
          <w:p w14:paraId="2C776D52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2.31 ± 0.75</w:t>
            </w:r>
          </w:p>
        </w:tc>
        <w:tc>
          <w:tcPr>
            <w:tcW w:w="358" w:type="pct"/>
            <w:vAlign w:val="center"/>
          </w:tcPr>
          <w:p w14:paraId="7CA9A94B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0.660</w:t>
            </w:r>
          </w:p>
        </w:tc>
      </w:tr>
      <w:tr w:rsidR="00BD7256" w:rsidRPr="006C1011" w14:paraId="68C61DD4" w14:textId="77777777" w:rsidTr="00BD7256">
        <w:trPr>
          <w:trHeight w:val="454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4584CC7E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Econ7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53E3AD42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tcBorders>
              <w:bottom w:val="single" w:sz="4" w:space="0" w:color="auto"/>
            </w:tcBorders>
            <w:vAlign w:val="center"/>
          </w:tcPr>
          <w:p w14:paraId="12A5DE6F" w14:textId="04A548BA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Advertising my product as “Originating from aquaponic production” will result in more customers.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005307F1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14:paraId="0C646432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2.61 ± 0.99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02649C20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0.746</w:t>
            </w:r>
          </w:p>
        </w:tc>
      </w:tr>
      <w:tr w:rsidR="00BD7256" w:rsidRPr="006C1011" w14:paraId="71AF4BA0" w14:textId="77777777" w:rsidTr="00BD7256">
        <w:trPr>
          <w:trHeight w:val="454"/>
        </w:trPr>
        <w:tc>
          <w:tcPr>
            <w:tcW w:w="292" w:type="pct"/>
            <w:tcBorders>
              <w:top w:val="single" w:sz="4" w:space="0" w:color="auto"/>
            </w:tcBorders>
            <w:vAlign w:val="center"/>
          </w:tcPr>
          <w:p w14:paraId="13733108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Leg1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14:paraId="01670B9B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tcBorders>
              <w:top w:val="single" w:sz="4" w:space="0" w:color="auto"/>
            </w:tcBorders>
            <w:vAlign w:val="center"/>
          </w:tcPr>
          <w:p w14:paraId="452CA96B" w14:textId="3FCB9D8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The legislative framework for aquaponic production is clear to me.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14:paraId="5D6C3979" w14:textId="5194C753" w:rsidR="00BD7256" w:rsidRPr="00E37F24" w:rsidRDefault="00C232AF" w:rsidP="00BF4985">
            <w:pPr>
              <w:pStyle w:val="Compac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1BE5BB5D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2.63 ± 0.82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5751A18C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7256" w:rsidRPr="006C1011" w14:paraId="66AECDC9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6CF53C2C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Leg2</w:t>
            </w:r>
          </w:p>
        </w:tc>
        <w:tc>
          <w:tcPr>
            <w:tcW w:w="514" w:type="pct"/>
          </w:tcPr>
          <w:p w14:paraId="50342862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1712585A" w14:textId="0112FB02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Laws and regulations affecting aquaponic products are easier to comprehend than those affecting hydroponic produce.</w:t>
            </w:r>
          </w:p>
        </w:tc>
        <w:tc>
          <w:tcPr>
            <w:tcW w:w="701" w:type="pct"/>
            <w:vAlign w:val="center"/>
          </w:tcPr>
          <w:p w14:paraId="35D42B9E" w14:textId="1277E000" w:rsidR="00BD7256" w:rsidRPr="00E37F24" w:rsidRDefault="00C232AF" w:rsidP="00BF4985">
            <w:pPr>
              <w:pStyle w:val="Compac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298" w:type="pct"/>
            <w:vAlign w:val="center"/>
          </w:tcPr>
          <w:p w14:paraId="279A2BB6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2.65 ± 0.70</w:t>
            </w:r>
          </w:p>
        </w:tc>
        <w:tc>
          <w:tcPr>
            <w:tcW w:w="358" w:type="pct"/>
            <w:vAlign w:val="center"/>
          </w:tcPr>
          <w:p w14:paraId="608B9A64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7256" w:rsidRPr="006C1011" w14:paraId="753939EB" w14:textId="77777777" w:rsidTr="00BD7256">
        <w:trPr>
          <w:trHeight w:val="454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5B198198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Leg3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07585EB8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tcBorders>
              <w:bottom w:val="single" w:sz="4" w:space="0" w:color="auto"/>
            </w:tcBorders>
            <w:vAlign w:val="center"/>
          </w:tcPr>
          <w:p w14:paraId="7C8D7B6F" w14:textId="59861173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The legislative framework for products from aquaponics holds many risks and uncertainties.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5AC53BA5" w14:textId="0D5771ED" w:rsidR="00BD7256" w:rsidRPr="00E37F24" w:rsidRDefault="00C232AF" w:rsidP="00BF4985">
            <w:pPr>
              <w:pStyle w:val="Compac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BD7256" w:rsidRPr="00E37F24">
              <w:rPr>
                <w:sz w:val="22"/>
                <w:szCs w:val="22"/>
                <w:lang w:val="en-US"/>
              </w:rPr>
              <w:t xml:space="preserve">; </w:t>
            </w:r>
            <w:r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14:paraId="5B8E1F8D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2.90 ± 0.76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765D52AA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7256" w:rsidRPr="006C1011" w14:paraId="5E9B10D8" w14:textId="77777777" w:rsidTr="00BD7256">
        <w:trPr>
          <w:trHeight w:val="454"/>
        </w:trPr>
        <w:tc>
          <w:tcPr>
            <w:tcW w:w="292" w:type="pct"/>
            <w:tcBorders>
              <w:top w:val="single" w:sz="4" w:space="0" w:color="auto"/>
            </w:tcBorders>
            <w:vAlign w:val="center"/>
          </w:tcPr>
          <w:p w14:paraId="2F6FD772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Att1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14:paraId="4A8BBF10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tcBorders>
              <w:top w:val="single" w:sz="4" w:space="0" w:color="auto"/>
            </w:tcBorders>
            <w:vAlign w:val="center"/>
          </w:tcPr>
          <w:p w14:paraId="70A8F99E" w14:textId="13F574BA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 xml:space="preserve">Aquaponics </w:t>
            </w:r>
            <w:proofErr w:type="gramStart"/>
            <w:r w:rsidRPr="00E37F24">
              <w:rPr>
                <w:sz w:val="22"/>
                <w:szCs w:val="22"/>
                <w:lang w:val="en-US"/>
              </w:rPr>
              <w:t>is</w:t>
            </w:r>
            <w:proofErr w:type="gramEnd"/>
            <w:r w:rsidRPr="00E37F24">
              <w:rPr>
                <w:sz w:val="22"/>
                <w:szCs w:val="22"/>
                <w:lang w:val="en-US"/>
              </w:rPr>
              <w:t xml:space="preserve"> better than hydroponics.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14:paraId="1D7D0DFF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618EC32E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2.72 ± 1.02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3CE2A9DB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0.773</w:t>
            </w:r>
          </w:p>
        </w:tc>
      </w:tr>
      <w:tr w:rsidR="00BD7256" w:rsidRPr="006C1011" w14:paraId="19115357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7DE229F2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Att2</w:t>
            </w:r>
          </w:p>
        </w:tc>
        <w:tc>
          <w:tcPr>
            <w:tcW w:w="514" w:type="pct"/>
          </w:tcPr>
          <w:p w14:paraId="7FC497F9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6870364D" w14:textId="41B2B488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The future of food production lies in aquaponics.</w:t>
            </w:r>
          </w:p>
        </w:tc>
        <w:tc>
          <w:tcPr>
            <w:tcW w:w="701" w:type="pct"/>
            <w:vAlign w:val="center"/>
          </w:tcPr>
          <w:p w14:paraId="33E01EE3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vAlign w:val="center"/>
          </w:tcPr>
          <w:p w14:paraId="380DA80F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2.72 ± 0.99</w:t>
            </w:r>
          </w:p>
        </w:tc>
        <w:tc>
          <w:tcPr>
            <w:tcW w:w="358" w:type="pct"/>
            <w:vAlign w:val="center"/>
          </w:tcPr>
          <w:p w14:paraId="7EF506C3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0.783</w:t>
            </w:r>
          </w:p>
        </w:tc>
      </w:tr>
      <w:tr w:rsidR="00BD7256" w:rsidRPr="006C1011" w14:paraId="1CA49FB3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48B6E4AE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Att3</w:t>
            </w:r>
          </w:p>
        </w:tc>
        <w:tc>
          <w:tcPr>
            <w:tcW w:w="514" w:type="pct"/>
          </w:tcPr>
          <w:p w14:paraId="66A1793A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2B6FCA45" w14:textId="66730C08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 xml:space="preserve">Aquaponics </w:t>
            </w:r>
            <w:proofErr w:type="gramStart"/>
            <w:r w:rsidRPr="00E37F24">
              <w:rPr>
                <w:sz w:val="22"/>
                <w:szCs w:val="22"/>
                <w:lang w:val="en-US"/>
              </w:rPr>
              <w:t>is</w:t>
            </w:r>
            <w:proofErr w:type="gramEnd"/>
            <w:r w:rsidRPr="00E37F24">
              <w:rPr>
                <w:sz w:val="22"/>
                <w:szCs w:val="22"/>
                <w:lang w:val="en-US"/>
              </w:rPr>
              <w:t xml:space="preserve"> underrated.</w:t>
            </w:r>
          </w:p>
        </w:tc>
        <w:tc>
          <w:tcPr>
            <w:tcW w:w="701" w:type="pct"/>
            <w:vAlign w:val="center"/>
          </w:tcPr>
          <w:p w14:paraId="7AAF717C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vAlign w:val="center"/>
          </w:tcPr>
          <w:p w14:paraId="37A199A2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3.44 ± 0.94</w:t>
            </w:r>
          </w:p>
        </w:tc>
        <w:tc>
          <w:tcPr>
            <w:tcW w:w="358" w:type="pct"/>
            <w:vAlign w:val="center"/>
          </w:tcPr>
          <w:p w14:paraId="4D8FB1CB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0.858</w:t>
            </w:r>
          </w:p>
        </w:tc>
      </w:tr>
      <w:tr w:rsidR="00BD7256" w:rsidRPr="006C1011" w14:paraId="03D5D030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728F5F87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Att4</w:t>
            </w:r>
          </w:p>
        </w:tc>
        <w:tc>
          <w:tcPr>
            <w:tcW w:w="514" w:type="pct"/>
          </w:tcPr>
          <w:p w14:paraId="6CD8C0CF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0150C584" w14:textId="102B6BF1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Aquaponics is just a trend.</w:t>
            </w:r>
          </w:p>
        </w:tc>
        <w:tc>
          <w:tcPr>
            <w:tcW w:w="701" w:type="pct"/>
            <w:vAlign w:val="center"/>
          </w:tcPr>
          <w:p w14:paraId="12B61C04" w14:textId="76DD59E1" w:rsidR="00BD7256" w:rsidRPr="00E37F24" w:rsidRDefault="00C232AF" w:rsidP="00BF4985">
            <w:pPr>
              <w:pStyle w:val="Compac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BD7256" w:rsidRPr="00E37F24">
              <w:rPr>
                <w:sz w:val="22"/>
                <w:szCs w:val="22"/>
                <w:lang w:val="en-US"/>
              </w:rPr>
              <w:t xml:space="preserve">; </w:t>
            </w:r>
            <w:r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298" w:type="pct"/>
            <w:vAlign w:val="center"/>
          </w:tcPr>
          <w:p w14:paraId="6F5D8EBB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3.37 ± 0.78</w:t>
            </w:r>
          </w:p>
        </w:tc>
        <w:tc>
          <w:tcPr>
            <w:tcW w:w="358" w:type="pct"/>
            <w:vAlign w:val="center"/>
          </w:tcPr>
          <w:p w14:paraId="733999FF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7256" w:rsidRPr="006C1011" w14:paraId="1565D600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3CA0815A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lastRenderedPageBreak/>
              <w:t>Att5</w:t>
            </w:r>
          </w:p>
        </w:tc>
        <w:tc>
          <w:tcPr>
            <w:tcW w:w="514" w:type="pct"/>
          </w:tcPr>
          <w:p w14:paraId="01B81BDA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748F3135" w14:textId="0C7F10E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I would invest in aquaponics food production.</w:t>
            </w:r>
          </w:p>
        </w:tc>
        <w:tc>
          <w:tcPr>
            <w:tcW w:w="701" w:type="pct"/>
            <w:vAlign w:val="center"/>
          </w:tcPr>
          <w:p w14:paraId="345FC474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vAlign w:val="center"/>
          </w:tcPr>
          <w:p w14:paraId="590055E7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3.00 ± 1.12</w:t>
            </w:r>
          </w:p>
        </w:tc>
        <w:tc>
          <w:tcPr>
            <w:tcW w:w="358" w:type="pct"/>
            <w:vAlign w:val="center"/>
          </w:tcPr>
          <w:p w14:paraId="7CEC6EDC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0.883</w:t>
            </w:r>
          </w:p>
        </w:tc>
      </w:tr>
      <w:tr w:rsidR="00BD7256" w:rsidRPr="006C1011" w14:paraId="3177244E" w14:textId="77777777" w:rsidTr="00BD7256">
        <w:trPr>
          <w:trHeight w:val="454"/>
        </w:trPr>
        <w:tc>
          <w:tcPr>
            <w:tcW w:w="292" w:type="pct"/>
            <w:vAlign w:val="center"/>
          </w:tcPr>
          <w:p w14:paraId="7ECF7D03" w14:textId="18884534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Att6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514" w:type="pct"/>
          </w:tcPr>
          <w:p w14:paraId="0D2B6C26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vAlign w:val="center"/>
          </w:tcPr>
          <w:p w14:paraId="78FBD313" w14:textId="070CB293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My overall evaluation of aquaponics produce is positive.</w:t>
            </w:r>
          </w:p>
        </w:tc>
        <w:tc>
          <w:tcPr>
            <w:tcW w:w="701" w:type="pct"/>
            <w:vAlign w:val="center"/>
          </w:tcPr>
          <w:p w14:paraId="6FDD6AD3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vAlign w:val="center"/>
          </w:tcPr>
          <w:p w14:paraId="1C580249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3.55 ± 1.00</w:t>
            </w:r>
          </w:p>
        </w:tc>
        <w:tc>
          <w:tcPr>
            <w:tcW w:w="358" w:type="pct"/>
            <w:vAlign w:val="center"/>
          </w:tcPr>
          <w:p w14:paraId="775C7811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0.860</w:t>
            </w:r>
          </w:p>
        </w:tc>
      </w:tr>
      <w:tr w:rsidR="00BD7256" w:rsidRPr="006C1011" w14:paraId="16212B61" w14:textId="77777777" w:rsidTr="00BD7256">
        <w:trPr>
          <w:trHeight w:val="454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42B88F31" w14:textId="57B97D9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Att7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7DE9CC2E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837" w:type="pct"/>
            <w:tcBorders>
              <w:bottom w:val="single" w:sz="4" w:space="0" w:color="auto"/>
            </w:tcBorders>
            <w:vAlign w:val="center"/>
          </w:tcPr>
          <w:p w14:paraId="3D5A0FE3" w14:textId="70335FA9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I think aquaponic produce is very good.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43203D13" w14:textId="77777777" w:rsidR="00BD7256" w:rsidRPr="00E37F24" w:rsidRDefault="00BD7256" w:rsidP="00BF4985">
            <w:pPr>
              <w:pStyle w:val="Compact"/>
              <w:rPr>
                <w:sz w:val="22"/>
                <w:szCs w:val="22"/>
                <w:lang w:val="en-US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14:paraId="46D3D1ED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3.35 ± 0.94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47294AA3" w14:textId="77777777" w:rsidR="00BD7256" w:rsidRPr="00E37F24" w:rsidRDefault="00BD7256" w:rsidP="00BF4985">
            <w:pPr>
              <w:pStyle w:val="Compact"/>
              <w:jc w:val="center"/>
              <w:rPr>
                <w:sz w:val="22"/>
                <w:szCs w:val="22"/>
                <w:lang w:val="en-US"/>
              </w:rPr>
            </w:pPr>
            <w:r w:rsidRPr="00E37F24">
              <w:rPr>
                <w:sz w:val="22"/>
                <w:szCs w:val="22"/>
                <w:lang w:val="en-US"/>
              </w:rPr>
              <w:t>0.787</w:t>
            </w:r>
          </w:p>
        </w:tc>
      </w:tr>
    </w:tbl>
    <w:p w14:paraId="787FB402" w14:textId="1EABDEE4" w:rsidR="00BD7256" w:rsidRDefault="00BD7256">
      <w:pPr>
        <w:rPr>
          <w:szCs w:val="21"/>
        </w:rPr>
      </w:pPr>
      <w:r>
        <w:rPr>
          <w:szCs w:val="21"/>
          <w:vertAlign w:val="superscript"/>
        </w:rPr>
        <w:t>*</w:t>
      </w:r>
      <w:r w:rsidR="005B437F" w:rsidRPr="006C1011">
        <w:rPr>
          <w:szCs w:val="21"/>
        </w:rPr>
        <w:t xml:space="preserve"> </w:t>
      </w:r>
      <w:r>
        <w:rPr>
          <w:szCs w:val="21"/>
        </w:rPr>
        <w:t xml:space="preserve">adapted </w:t>
      </w:r>
      <w:r w:rsidR="005B437F" w:rsidRPr="006C1011">
        <w:rPr>
          <w:szCs w:val="21"/>
        </w:rPr>
        <w:t>from</w:t>
      </w:r>
      <w:r>
        <w:rPr>
          <w:szCs w:val="21"/>
        </w:rPr>
        <w:t xml:space="preserve"> </w:t>
      </w:r>
      <w:r>
        <w:rPr>
          <w:szCs w:val="21"/>
        </w:rPr>
        <w:fldChar w:fldCharType="begin"/>
      </w:r>
      <w:r>
        <w:rPr>
          <w:szCs w:val="21"/>
        </w:rPr>
        <w:instrText xml:space="preserve"> ADDIN EN.CITE &lt;EndNote&gt;&lt;Cite AuthorYear="1"&gt;&lt;Author&gt;Eichhorn&lt;/Author&gt;&lt;Year&gt;2020&lt;/Year&gt;&lt;RecNum&gt;901&lt;/RecNum&gt;&lt;DisplayText&gt;Eichhorn and Meixner (2020)&lt;/DisplayText&gt;&lt;record&gt;&lt;rec-number&gt;901&lt;/rec-number&gt;&lt;foreign-keys&gt;&lt;key app="EN" db-id="p00z9re5dfwrwre9p0vp5pe5dw2fp0e0sa0p" timestamp="1758964252"&gt;901&lt;/key&gt;&lt;key app="ENWeb" db-id=""&gt;0&lt;/key&gt;&lt;/foreign-keys&gt;&lt;ref-type name="Journal Article"&gt;17&lt;/ref-type&gt;&lt;contributors&gt;&lt;authors&gt;&lt;author&gt;Eichhorn, Theresa&lt;/author&gt;&lt;author&gt;Meixner, Oliver&lt;/author&gt;&lt;/authors&gt;&lt;/contributors&gt;&lt;titles&gt;&lt;title&gt;Factors Influencing the Willingness to Pay for Aquaponic Products in a Developed Food Market: A Structural Equation Modeling Approach&lt;/title&gt;&lt;secondary-title&gt;Sustainability&lt;/secondary-title&gt;&lt;/titles&gt;&lt;periodical&gt;&lt;full-title&gt;Sustainability&lt;/full-title&gt;&lt;abbr-1&gt;Sustainability-Basel&lt;/abbr-1&gt;&lt;/periodical&gt;&lt;volume&gt;12&lt;/volume&gt;&lt;number&gt;8&lt;/number&gt;&lt;section&gt;3475&lt;/section&gt;&lt;dates&gt;&lt;year&gt;2020&lt;/year&gt;&lt;/dates&gt;&lt;isbn&gt;2071-1050&lt;/isbn&gt;&lt;urls&gt;&lt;/urls&gt;&lt;electronic-resource-num&gt;10.3390/su12083475&lt;/electronic-resource-num&gt;&lt;/record&gt;&lt;/Cite&gt;&lt;/EndNote&gt;</w:instrText>
      </w:r>
      <w:r>
        <w:rPr>
          <w:szCs w:val="21"/>
        </w:rPr>
        <w:fldChar w:fldCharType="separate"/>
      </w:r>
      <w:r>
        <w:rPr>
          <w:noProof/>
          <w:szCs w:val="21"/>
        </w:rPr>
        <w:t>Eichhorn and Meixner (2020)</w:t>
      </w:r>
      <w:r>
        <w:rPr>
          <w:szCs w:val="21"/>
        </w:rPr>
        <w:fldChar w:fldCharType="end"/>
      </w:r>
      <w:r>
        <w:rPr>
          <w:szCs w:val="21"/>
        </w:rPr>
        <w:t>.</w:t>
      </w:r>
    </w:p>
    <w:p w14:paraId="18F6C651" w14:textId="77777777" w:rsidR="00BD7256" w:rsidRDefault="00BD7256">
      <w:pPr>
        <w:rPr>
          <w:szCs w:val="21"/>
        </w:rPr>
      </w:pPr>
    </w:p>
    <w:p w14:paraId="72BC75F9" w14:textId="127471E1" w:rsidR="00BD7256" w:rsidRPr="00BD7256" w:rsidRDefault="00BD7256">
      <w:pPr>
        <w:rPr>
          <w:b/>
          <w:bCs/>
          <w:szCs w:val="21"/>
        </w:rPr>
      </w:pPr>
      <w:r w:rsidRPr="00BD7256">
        <w:rPr>
          <w:b/>
          <w:bCs/>
          <w:szCs w:val="21"/>
        </w:rPr>
        <w:t>References</w:t>
      </w:r>
    </w:p>
    <w:p w14:paraId="6C8FFB54" w14:textId="77777777" w:rsidR="00BD7256" w:rsidRPr="00BD7256" w:rsidRDefault="00BD7256" w:rsidP="00BD7256">
      <w:pPr>
        <w:pStyle w:val="EndNoteBibliography"/>
        <w:ind w:left="720" w:hanging="720"/>
      </w:pPr>
      <w:r>
        <w:rPr>
          <w:szCs w:val="21"/>
        </w:rPr>
        <w:fldChar w:fldCharType="begin"/>
      </w:r>
      <w:r>
        <w:rPr>
          <w:szCs w:val="21"/>
        </w:rPr>
        <w:instrText xml:space="preserve"> ADDIN EN.REFLIST </w:instrText>
      </w:r>
      <w:r>
        <w:rPr>
          <w:szCs w:val="21"/>
        </w:rPr>
        <w:fldChar w:fldCharType="separate"/>
      </w:r>
      <w:r w:rsidRPr="00BD7256">
        <w:t>Eichhorn, T., Meixner O., 2020. Factors Influencing the Willingness to Pay for Aquaponic Products in a Developed Food Market: A Structural Equation Modeling Approach. Sustainability 12.</w:t>
      </w:r>
    </w:p>
    <w:p w14:paraId="17CE820E" w14:textId="4DCDD5CD" w:rsidR="004F2369" w:rsidRPr="005B437F" w:rsidRDefault="00BD7256">
      <w:pPr>
        <w:rPr>
          <w:szCs w:val="21"/>
        </w:rPr>
      </w:pPr>
      <w:r>
        <w:rPr>
          <w:szCs w:val="21"/>
        </w:rPr>
        <w:fldChar w:fldCharType="end"/>
      </w:r>
    </w:p>
    <w:sectPr w:rsidR="004F2369" w:rsidRPr="005B437F" w:rsidSect="005B437F">
      <w:pgSz w:w="16838" w:h="11906" w:orient="landscape" w:code="9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33697"/>
    <w:multiLevelType w:val="hybridMultilevel"/>
    <w:tmpl w:val="F75AC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05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hD Thesis FPWW USB 04-2017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00z9re5dfwrwre9p0vp5pe5dw2fp0e0sa0p&quot;&gt;Dissertation&lt;record-ids&gt;&lt;item&gt;901&lt;/item&gt;&lt;/record-ids&gt;&lt;/item&gt;&lt;/Libraries&gt;"/>
  </w:docVars>
  <w:rsids>
    <w:rsidRoot w:val="005F4A8B"/>
    <w:rsid w:val="000A21D7"/>
    <w:rsid w:val="001E04DF"/>
    <w:rsid w:val="00282BF3"/>
    <w:rsid w:val="0036668A"/>
    <w:rsid w:val="003C5C49"/>
    <w:rsid w:val="004F2369"/>
    <w:rsid w:val="00527ADC"/>
    <w:rsid w:val="005A4C9F"/>
    <w:rsid w:val="005B437F"/>
    <w:rsid w:val="005C1643"/>
    <w:rsid w:val="005C793E"/>
    <w:rsid w:val="005F4A8B"/>
    <w:rsid w:val="00702D92"/>
    <w:rsid w:val="00784226"/>
    <w:rsid w:val="008463D8"/>
    <w:rsid w:val="008527CC"/>
    <w:rsid w:val="00980E9D"/>
    <w:rsid w:val="009F3A72"/>
    <w:rsid w:val="00A43526"/>
    <w:rsid w:val="00BD7256"/>
    <w:rsid w:val="00C232AF"/>
    <w:rsid w:val="00C671A8"/>
    <w:rsid w:val="00CD7419"/>
    <w:rsid w:val="00F875D7"/>
    <w:rsid w:val="00FB602E"/>
    <w:rsid w:val="00FB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E2DD0"/>
  <w15:chartTrackingRefBased/>
  <w15:docId w15:val="{BC949899-FD10-43D4-ADD1-F88A1D41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Wissenschaftlich"/>
    <w:qFormat/>
    <w:rsid w:val="005B437F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F4A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A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A8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A8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A8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A8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A8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A8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A8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4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A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A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A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A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A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A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4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A8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4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A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4A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A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4A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A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A8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B437F"/>
    <w:rPr>
      <w:sz w:val="16"/>
      <w:szCs w:val="16"/>
    </w:rPr>
  </w:style>
  <w:style w:type="paragraph" w:customStyle="1" w:styleId="Compact">
    <w:name w:val="Compact"/>
    <w:basedOn w:val="BodyText"/>
    <w:qFormat/>
    <w:rsid w:val="005B437F"/>
    <w:pPr>
      <w:spacing w:before="36" w:after="36" w:line="240" w:lineRule="auto"/>
    </w:pPr>
  </w:style>
  <w:style w:type="table" w:customStyle="1" w:styleId="Table">
    <w:name w:val="Table"/>
    <w:semiHidden/>
    <w:unhideWhenUsed/>
    <w:qFormat/>
    <w:rsid w:val="005B437F"/>
    <w:pPr>
      <w:spacing w:after="200" w:line="240" w:lineRule="auto"/>
    </w:pPr>
    <w:rPr>
      <w:kern w:val="0"/>
      <w:sz w:val="24"/>
      <w:szCs w:val="24"/>
      <w:lang w:val="de-DE" w:eastAsia="de-DE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styleId="Mention">
    <w:name w:val="Mention"/>
    <w:basedOn w:val="DefaultParagraphFont"/>
    <w:uiPriority w:val="99"/>
    <w:unhideWhenUsed/>
    <w:rsid w:val="005B437F"/>
    <w:rPr>
      <w:color w:val="2B579A"/>
      <w:shd w:val="clear" w:color="auto" w:fill="E1DFDD"/>
    </w:rPr>
  </w:style>
  <w:style w:type="paragraph" w:customStyle="1" w:styleId="Tabletitle">
    <w:name w:val="Table title"/>
    <w:basedOn w:val="Normal"/>
    <w:next w:val="Normal"/>
    <w:qFormat/>
    <w:rsid w:val="005B437F"/>
    <w:pPr>
      <w:spacing w:before="240" w:line="36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5B43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437F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B437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BD7256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D7256"/>
    <w:rPr>
      <w:rFonts w:ascii="Times New Roman" w:eastAsia="Times New Roman" w:hAnsi="Times New Roman" w:cs="Times New Roman"/>
      <w:noProof/>
      <w:kern w:val="0"/>
      <w:sz w:val="24"/>
      <w:szCs w:val="24"/>
      <w:lang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D7256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D7256"/>
    <w:rPr>
      <w:rFonts w:ascii="Times New Roman" w:eastAsia="Times New Roman" w:hAnsi="Times New Roman" w:cs="Times New Roman"/>
      <w:noProof/>
      <w:kern w:val="0"/>
      <w:sz w:val="24"/>
      <w:szCs w:val="24"/>
      <w:lang w:eastAsia="en-GB"/>
      <w14:ligatures w14:val="none"/>
    </w:rPr>
  </w:style>
  <w:style w:type="paragraph" w:customStyle="1" w:styleId="Articletitle">
    <w:name w:val="Article title"/>
    <w:basedOn w:val="Normal"/>
    <w:next w:val="Normal"/>
    <w:qFormat/>
    <w:rsid w:val="00784226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784226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3C5C49"/>
    <w:pPr>
      <w:spacing w:before="240" w:line="360" w:lineRule="auto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502773-0b13-4f6b-9651-c8fab54d763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09352A2003C42BA0EA6295D01A753" ma:contentTypeVersion="12" ma:contentTypeDescription="Create a new document." ma:contentTypeScope="" ma:versionID="e0e91c9598f92ee3659f067f5bfa75d3">
  <xsd:schema xmlns:xsd="http://www.w3.org/2001/XMLSchema" xmlns:xs="http://www.w3.org/2001/XMLSchema" xmlns:p="http://schemas.microsoft.com/office/2006/metadata/properties" xmlns:ns2="812fa850-b4cb-40cd-a6ee-2c45297e0f2b" xmlns:ns3="76502773-0b13-4f6b-9651-c8fab54d7638" targetNamespace="http://schemas.microsoft.com/office/2006/metadata/properties" ma:root="true" ma:fieldsID="f6dac6ed33b3b758d3ffac0f39cd6523" ns2:_="" ns3:_="">
    <xsd:import namespace="812fa850-b4cb-40cd-a6ee-2c45297e0f2b"/>
    <xsd:import namespace="76502773-0b13-4f6b-9651-c8fab54d76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fa850-b4cb-40cd-a6ee-2c45297e0f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02773-0b13-4f6b-9651-c8fab54d7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242e4e8-a8fd-48dc-97c4-2376aa979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9091E4-DDB8-4F20-A60C-1B0A65D38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FB39ED-F7FF-41E5-81E7-FEDB1D220155}">
  <ds:schemaRefs>
    <ds:schemaRef ds:uri="http://schemas.microsoft.com/office/2006/metadata/properties"/>
    <ds:schemaRef ds:uri="http://schemas.microsoft.com/office/infopath/2007/PartnerControls"/>
    <ds:schemaRef ds:uri="76502773-0b13-4f6b-9651-c8fab54d7638"/>
  </ds:schemaRefs>
</ds:datastoreItem>
</file>

<file path=customXml/itemProps3.xml><?xml version="1.0" encoding="utf-8"?>
<ds:datastoreItem xmlns:ds="http://schemas.openxmlformats.org/officeDocument/2006/customXml" ds:itemID="{ABE56756-38A3-4A8F-A733-30B21AD93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2fa850-b4cb-40cd-a6ee-2c45297e0f2b"/>
    <ds:schemaRef ds:uri="76502773-0b13-4f6b-9651-c8fab54d76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850</Words>
  <Characters>4501</Characters>
  <Application>Microsoft Office Word</Application>
  <DocSecurity>0</DocSecurity>
  <Lines>409</Lines>
  <Paragraphs>267</Paragraphs>
  <ScaleCrop>false</ScaleCrop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Tellbüscher Anil Axel MSc.</dc:creator>
  <cp:keywords/>
  <dc:description/>
  <cp:lastModifiedBy>Tellbüscher Anil Axel MSc.</cp:lastModifiedBy>
  <cp:revision>16</cp:revision>
  <dcterms:created xsi:type="dcterms:W3CDTF">2024-05-21T07:30:00Z</dcterms:created>
  <dcterms:modified xsi:type="dcterms:W3CDTF">2026-03-31T22:45:00Z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0x010100FF809352A2003C42BA0EA6295D01A753</vt:lpwstr>
  </property>
  <property fmtid="{D5CDD505-2E9C-101B-9397-08002B2CF9AE}" pid="3" name="MediaServiceImageTags">
    <vt:lpwstr/>
  </property>
</Properties>
</file>