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4E12" w14:textId="77777777" w:rsidR="001D6793" w:rsidRPr="00CF7263" w:rsidRDefault="001D6793" w:rsidP="001D6793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Supplemental</w:t>
      </w:r>
      <w:r w:rsidRPr="00CF7263">
        <w:rPr>
          <w:rFonts w:asciiTheme="minorHAnsi" w:hAnsiTheme="minorHAnsi" w:cstheme="minorHAnsi"/>
          <w:b/>
          <w:bCs/>
          <w:sz w:val="22"/>
        </w:rPr>
        <w:t xml:space="preserve"> files</w:t>
      </w:r>
    </w:p>
    <w:p w14:paraId="0F45CD2D" w14:textId="77777777" w:rsidR="001D6793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B95D8F">
        <w:rPr>
          <w:rFonts w:asciiTheme="minorHAnsi" w:hAnsiTheme="minorHAnsi" w:cstheme="minorHAnsi"/>
          <w:b/>
          <w:bCs/>
          <w:sz w:val="22"/>
        </w:rPr>
        <w:t>Figure S1. ARID1A PRISMA core interaction set.</w:t>
      </w:r>
      <w:r>
        <w:rPr>
          <w:rFonts w:asciiTheme="minorHAnsi" w:hAnsiTheme="minorHAnsi" w:cstheme="minorHAnsi"/>
          <w:sz w:val="22"/>
        </w:rPr>
        <w:t xml:space="preserve"> Interaction</w:t>
      </w:r>
      <w:r w:rsidRPr="00E97F04">
        <w:rPr>
          <w:rFonts w:asciiTheme="minorHAnsi" w:hAnsiTheme="minorHAnsi" w:cstheme="minorHAnsi"/>
          <w:sz w:val="22"/>
        </w:rPr>
        <w:t xml:space="preserve"> profile depicting number of binding proteins identified per peptide,</w:t>
      </w:r>
      <w:r>
        <w:rPr>
          <w:rFonts w:asciiTheme="minorHAnsi" w:hAnsiTheme="minorHAnsi" w:cstheme="minorHAnsi"/>
          <w:sz w:val="22"/>
        </w:rPr>
        <w:t xml:space="preserve"> </w:t>
      </w:r>
      <w:r w:rsidRPr="00E97F04">
        <w:rPr>
          <w:rFonts w:asciiTheme="minorHAnsi" w:hAnsiTheme="minorHAnsi" w:cstheme="minorHAnsi"/>
          <w:sz w:val="22"/>
        </w:rPr>
        <w:t>and graphs representing peptide properties, aligned to ARID1A domain diagram and intrinsic disorder region (IDR)</w:t>
      </w:r>
      <w:r>
        <w:rPr>
          <w:rFonts w:asciiTheme="minorHAnsi" w:hAnsiTheme="minorHAnsi" w:cstheme="minorHAnsi"/>
          <w:sz w:val="22"/>
        </w:rPr>
        <w:t xml:space="preserve"> </w:t>
      </w:r>
      <w:r w:rsidRPr="00E97F04">
        <w:rPr>
          <w:rFonts w:asciiTheme="minorHAnsi" w:hAnsiTheme="minorHAnsi" w:cstheme="minorHAnsi"/>
          <w:sz w:val="22"/>
        </w:rPr>
        <w:t>prediction plot from IUPred2A. ARID1A domains and intrinsic disorder plots are as in Figure 1.</w:t>
      </w:r>
    </w:p>
    <w:p w14:paraId="03DCF983" w14:textId="77777777" w:rsidR="001D6793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641108">
        <w:rPr>
          <w:rFonts w:asciiTheme="minorHAnsi" w:hAnsiTheme="minorHAnsi" w:cstheme="minorHAnsi"/>
          <w:b/>
          <w:bCs/>
          <w:sz w:val="22"/>
        </w:rPr>
        <w:t>Figure S2. Features of ARID1A PRISMA interactome.</w:t>
      </w:r>
      <w:r>
        <w:rPr>
          <w:rFonts w:asciiTheme="minorHAnsi" w:hAnsiTheme="minorHAnsi" w:cstheme="minorHAnsi"/>
          <w:sz w:val="22"/>
        </w:rPr>
        <w:t xml:space="preserve"> </w:t>
      </w:r>
      <w:r w:rsidRPr="002B6BEA">
        <w:rPr>
          <w:rFonts w:asciiTheme="minorHAnsi" w:hAnsiTheme="minorHAnsi" w:cstheme="minorHAnsi"/>
          <w:sz w:val="22"/>
        </w:rPr>
        <w:t>A,</w:t>
      </w:r>
      <w:r w:rsidRPr="00A448A3">
        <w:rPr>
          <w:rFonts w:asciiTheme="minorHAnsi" w:hAnsiTheme="minorHAnsi" w:cstheme="minorHAnsi"/>
          <w:sz w:val="22"/>
        </w:rPr>
        <w:t xml:space="preserve"> GO term enrichments of the PRISMA core interaction dataset. B, Venn diagram of the overlap between the</w:t>
      </w:r>
      <w:r>
        <w:rPr>
          <w:rFonts w:asciiTheme="minorHAnsi" w:hAnsiTheme="minorHAnsi" w:cstheme="minorHAnsi"/>
          <w:sz w:val="22"/>
        </w:rPr>
        <w:t xml:space="preserve"> </w:t>
      </w:r>
      <w:r w:rsidRPr="00A448A3">
        <w:rPr>
          <w:rFonts w:asciiTheme="minorHAnsi" w:hAnsiTheme="minorHAnsi" w:cstheme="minorHAnsi"/>
          <w:sz w:val="22"/>
        </w:rPr>
        <w:t>ARID1A physical interactome (from BioGRID) and the PRISMA interaction set.</w:t>
      </w:r>
    </w:p>
    <w:p w14:paraId="4F5CD8FA" w14:textId="77777777" w:rsidR="001D6793" w:rsidRPr="00D214DF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D04ACD">
        <w:rPr>
          <w:rFonts w:asciiTheme="minorHAnsi" w:hAnsiTheme="minorHAnsi" w:cstheme="minorHAnsi"/>
          <w:b/>
          <w:bCs/>
          <w:sz w:val="22"/>
        </w:rPr>
        <w:t>Figure S3.</w:t>
      </w:r>
      <w:r w:rsidRPr="00D04ACD">
        <w:rPr>
          <w:rFonts w:asciiTheme="minorHAnsi" w:hAnsiTheme="minorHAnsi" w:cstheme="minorHAnsi"/>
          <w:sz w:val="22"/>
        </w:rPr>
        <w:t xml:space="preserve"> </w:t>
      </w:r>
      <w:r w:rsidRPr="008668C3">
        <w:rPr>
          <w:rFonts w:asciiTheme="minorHAnsi" w:hAnsiTheme="minorHAnsi" w:cstheme="minorHAnsi"/>
          <w:b/>
          <w:bCs/>
          <w:sz w:val="22"/>
        </w:rPr>
        <w:t>ARID1A post-translational modifications</w:t>
      </w:r>
      <w:r>
        <w:rPr>
          <w:rFonts w:asciiTheme="minorHAnsi" w:hAnsiTheme="minorHAnsi" w:cstheme="minorHAnsi"/>
          <w:b/>
          <w:bCs/>
          <w:sz w:val="22"/>
        </w:rPr>
        <w:t xml:space="preserve">. </w:t>
      </w:r>
      <w:r w:rsidRPr="00D214DF">
        <w:rPr>
          <w:rFonts w:asciiTheme="minorHAnsi" w:hAnsiTheme="minorHAnsi" w:cstheme="minorHAnsi"/>
          <w:sz w:val="22"/>
        </w:rPr>
        <w:t>Data from PhosphositePlus</w:t>
      </w:r>
      <w:r>
        <w:rPr>
          <w:rFonts w:asciiTheme="minorHAnsi" w:hAnsiTheme="minorHAnsi" w:cstheme="minorHAnsi"/>
          <w:sz w:val="22"/>
        </w:rPr>
        <w:t xml:space="preserve"> database</w:t>
      </w:r>
      <w:r w:rsidRPr="00D214DF">
        <w:rPr>
          <w:rFonts w:asciiTheme="minorHAnsi" w:hAnsiTheme="minorHAnsi" w:cstheme="minorHAnsi"/>
          <w:sz w:val="22"/>
        </w:rPr>
        <w:t xml:space="preserve"> (accessed 01.10.2025).</w:t>
      </w:r>
    </w:p>
    <w:p w14:paraId="37FCC61D" w14:textId="77777777" w:rsidR="001D6793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C748E9">
        <w:rPr>
          <w:rFonts w:asciiTheme="minorHAnsi" w:hAnsiTheme="minorHAnsi" w:cstheme="minorHAnsi"/>
          <w:b/>
          <w:bCs/>
          <w:sz w:val="22"/>
        </w:rPr>
        <w:t>Figure S4. Characterisation of ARID1A S363A and S363D mutants.</w:t>
      </w:r>
      <w:r w:rsidRPr="00C748E9">
        <w:rPr>
          <w:rFonts w:asciiTheme="minorHAnsi" w:hAnsiTheme="minorHAnsi" w:cstheme="minorHAnsi"/>
          <w:sz w:val="22"/>
        </w:rPr>
        <w:t xml:space="preserve"> A, Immunoblot analysis of ARID1A in wt emGFP-ARID1A,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emGFP-ARID1A_S363A, emGFP-ARID1A_S363D and parental RPE1 cell lines after 24 h induction with 1 ug/ml doxycycline.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α-tubulin was used as loading control. B, Immunoblot analysis of emGFP-ARID1A fusion proteins in mutant ARID1A cell lines,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untreated or treated with proteasome inhibitor MG132 (10 mM) for 12 h after 12 h doxycycline induction. Ponceau Red staining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was used to assess equal loading. C, Primary sequence analysis of GFP-ARID1A mutant fusion proteins characterised by GFP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affinity purification followed by MS analysis. Expression of ARID1A_S363A and ARID1A_S363D was induced for 6 h. Dark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segments represent peptides detected by MS. D, BAF complex subunits identified in GFP immunoprecipitates from ARID1A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S363A and S363D mutant cell lines. Numbers of peptide spectrum matches for each protein are shown. E, Fluorescence images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showing the localisation of ARID1A S363A and S363D mutants in RPE1 cells after 24 h induction. Images of GFP-expressing</w:t>
      </w:r>
      <w:r>
        <w:rPr>
          <w:rFonts w:asciiTheme="minorHAnsi" w:hAnsiTheme="minorHAnsi" w:cstheme="minorHAnsi"/>
          <w:sz w:val="22"/>
        </w:rPr>
        <w:t xml:space="preserve"> </w:t>
      </w:r>
      <w:r w:rsidRPr="00C748E9">
        <w:rPr>
          <w:rFonts w:asciiTheme="minorHAnsi" w:hAnsiTheme="minorHAnsi" w:cstheme="minorHAnsi"/>
          <w:sz w:val="22"/>
        </w:rPr>
        <w:t>cells were taken using an Evos M5000 (Thermo) at 10x magnification</w:t>
      </w:r>
      <w:r>
        <w:rPr>
          <w:rFonts w:asciiTheme="minorHAnsi" w:hAnsiTheme="minorHAnsi" w:cstheme="minorHAnsi"/>
          <w:sz w:val="22"/>
        </w:rPr>
        <w:t>.</w:t>
      </w:r>
    </w:p>
    <w:p w14:paraId="77491176" w14:textId="77777777" w:rsidR="001D6793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</w:p>
    <w:p w14:paraId="492FCE48" w14:textId="77777777" w:rsidR="001D6793" w:rsidRPr="00373D6C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t>Table S1. ARID1A PRISMA peptide set.</w:t>
      </w:r>
      <w:r>
        <w:rPr>
          <w:rFonts w:asciiTheme="minorHAnsi" w:hAnsiTheme="minorHAnsi" w:cstheme="minorHAnsi"/>
          <w:sz w:val="22"/>
        </w:rPr>
        <w:t xml:space="preserve"> Related to Figure 1</w:t>
      </w:r>
    </w:p>
    <w:p w14:paraId="4A098815" w14:textId="77777777" w:rsidR="001D6793" w:rsidRPr="00373D6C" w:rsidRDefault="001D6793" w:rsidP="001D6793">
      <w:pPr>
        <w:tabs>
          <w:tab w:val="left" w:pos="1100"/>
        </w:tabs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t>Table S2. ARID1A PRISMA dataset.</w:t>
      </w:r>
      <w:r>
        <w:rPr>
          <w:rFonts w:asciiTheme="minorHAnsi" w:hAnsiTheme="minorHAnsi" w:cstheme="minorHAnsi"/>
          <w:sz w:val="22"/>
        </w:rPr>
        <w:t xml:space="preserve"> Related to Figure 1</w:t>
      </w:r>
    </w:p>
    <w:p w14:paraId="6AB664FE" w14:textId="77777777" w:rsidR="001D6793" w:rsidRPr="00373D6C" w:rsidRDefault="001D6793" w:rsidP="001D6793">
      <w:pPr>
        <w:tabs>
          <w:tab w:val="left" w:pos="1100"/>
        </w:tabs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lastRenderedPageBreak/>
        <w:t>Table S3. GO term and protein domain enrichments of the ARID1A PRISMA dataset.</w:t>
      </w:r>
      <w:r>
        <w:rPr>
          <w:rFonts w:asciiTheme="minorHAnsi" w:hAnsiTheme="minorHAnsi" w:cstheme="minorHAnsi"/>
          <w:sz w:val="22"/>
        </w:rPr>
        <w:t xml:space="preserve"> Related to Figure S2</w:t>
      </w:r>
    </w:p>
    <w:p w14:paraId="724D5C88" w14:textId="77777777" w:rsidR="001D6793" w:rsidRPr="00373D6C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t>Table S4. List of peptides in CDK2/CCNA2 validation arrays.</w:t>
      </w:r>
      <w:r>
        <w:rPr>
          <w:rFonts w:asciiTheme="minorHAnsi" w:hAnsiTheme="minorHAnsi" w:cstheme="minorHAnsi"/>
          <w:sz w:val="22"/>
        </w:rPr>
        <w:t xml:space="preserve"> Related to Figure 6</w:t>
      </w:r>
    </w:p>
    <w:p w14:paraId="1CE3BBB4" w14:textId="77777777" w:rsidR="001D6793" w:rsidRPr="00373D6C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t>Table S5. GO term, KEGG pathway and Hallmark gene set enrichments on RNA-seq data</w:t>
      </w:r>
      <w:r>
        <w:rPr>
          <w:rFonts w:asciiTheme="minorHAnsi" w:hAnsiTheme="minorHAnsi" w:cstheme="minorHAnsi"/>
          <w:sz w:val="22"/>
        </w:rPr>
        <w:t>. Related to Figure 7</w:t>
      </w:r>
    </w:p>
    <w:p w14:paraId="67A4AA40" w14:textId="77777777" w:rsidR="001D6793" w:rsidRPr="00373D6C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t>Table S6. GO term and KEGG pathway enrichments on proteomics profiling data.</w:t>
      </w:r>
      <w:r>
        <w:rPr>
          <w:rFonts w:asciiTheme="minorHAnsi" w:hAnsiTheme="minorHAnsi" w:cstheme="minorHAnsi"/>
          <w:sz w:val="22"/>
        </w:rPr>
        <w:t xml:space="preserve"> Related to Figure 7</w:t>
      </w:r>
    </w:p>
    <w:p w14:paraId="33244C7E" w14:textId="77777777" w:rsidR="001D6793" w:rsidRPr="00233D2A" w:rsidRDefault="001D6793" w:rsidP="001D6793">
      <w:pPr>
        <w:tabs>
          <w:tab w:val="left" w:pos="4590"/>
          <w:tab w:val="center" w:pos="5233"/>
        </w:tabs>
        <w:spacing w:after="0" w:line="48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t>Table S7. List of antibodies used in this study.</w:t>
      </w:r>
      <w:r w:rsidRPr="00233D2A"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</w:p>
    <w:p w14:paraId="12973F30" w14:textId="77777777" w:rsidR="001D6793" w:rsidRPr="00233D2A" w:rsidRDefault="001D6793" w:rsidP="001D6793">
      <w:pPr>
        <w:spacing w:after="0" w:line="48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233D2A">
        <w:rPr>
          <w:rFonts w:asciiTheme="minorHAnsi" w:hAnsiTheme="minorHAnsi" w:cstheme="minorHAnsi"/>
          <w:b/>
          <w:bCs/>
          <w:sz w:val="22"/>
        </w:rPr>
        <w:t>Table S8. Primer sequences and constructs used in this work.</w:t>
      </w:r>
    </w:p>
    <w:p w14:paraId="333085C6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3"/>
    <w:rsid w:val="001D6793"/>
    <w:rsid w:val="002C7D54"/>
    <w:rsid w:val="0033371E"/>
    <w:rsid w:val="005C0D39"/>
    <w:rsid w:val="0070406C"/>
    <w:rsid w:val="00724754"/>
    <w:rsid w:val="00C321FA"/>
    <w:rsid w:val="00C97210"/>
    <w:rsid w:val="00D96E39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2A84"/>
  <w15:chartTrackingRefBased/>
  <w15:docId w15:val="{44FB81FD-55A0-428D-8646-B0A8D5A3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93"/>
    <w:pPr>
      <w:spacing w:after="200" w:line="276" w:lineRule="auto"/>
    </w:pPr>
    <w:rPr>
      <w:rFonts w:ascii="Arial" w:hAnsi="Arial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7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7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7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7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7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7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7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7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7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7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6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79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6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793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6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2026-05-07T10:19:00Z</dcterms:created>
  <dcterms:modified xsi:type="dcterms:W3CDTF">2026-05-07T10:19:00Z</dcterms:modified>
</cp:coreProperties>
</file>