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Table 1. Study Design: Databases, Versions, and Scope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tbl>
      <w:tblPr>
        <w:tblStyle w:val="Table1"/>
        <w:tblW w:w="9360.0" w:type="dxa"/>
        <w:jc w:val="left"/>
        <w:tblBorders>
          <w:top w:color="808080" w:space="0" w:sz="6" w:val="single"/>
          <w:left w:color="808080" w:space="0" w:sz="6" w:val="single"/>
          <w:bottom w:color="808080" w:space="0" w:sz="6" w:val="single"/>
          <w:right w:color="808080" w:space="0" w:sz="6" w:val="single"/>
          <w:insideH w:color="808080" w:space="0" w:sz="6" w:val="single"/>
          <w:insideV w:color="808080" w:space="0" w:sz="6" w:val="single"/>
        </w:tblBorders>
        <w:tblLayout w:type="fixed"/>
        <w:tblLook w:val="0600"/>
      </w:tblPr>
      <w:tblGrid>
        <w:gridCol w:w="2800.5119999999997"/>
        <w:gridCol w:w="3279.744"/>
        <w:gridCol w:w="3279.744"/>
        <w:tblGridChange w:id="0">
          <w:tblGrid>
            <w:gridCol w:w="2800.5119999999997"/>
            <w:gridCol w:w="3279.744"/>
            <w:gridCol w:w="3279.744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Component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Resource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Scope / Version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Somatic mutation calls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GDC Data Portal (TCGA open-access)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MC3 MAF; 33 tumour types; n = 10,967 tumours; SNV + Indel 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Pharmacogene star-allele definitions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PharmVar v6.1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CYP2D6, CYP2C19, DPYD, TPMT – curated variant-to-function tables 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Clinical actionability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CPIC Guidelines v1.16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Levels A &amp; B gene-drug pairs; prescribing recommendations 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Variant pathogenicity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ClinVar (Dec 2024)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Germline + somatic submissions; P/LP annotation 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Population allele frequencies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gnomAD v4.1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Non-cancer constraint metrics (pLI, Z-score); AF stratification 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Phenotype override modelling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Custom R pipeline (v4.3.1)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Tumour-acquired LOF vs. germline metabolizer simulation </w:t>
            </w:r>
          </w:p>
        </w:tc>
      </w:tr>
    </w:tbl>
    <w:p w:rsidR="00000000" w:rsidDel="00000000" w:rsidP="00000000" w:rsidRDefault="00000000" w:rsidRPr="00000000" w14:paraId="0000001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00" w:before="8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GDC, Genomic Data Commons; TCGA, The Cancer Genome Atlas; MAF, Mutation Annotation Format; LOF, Loss-of-Function; AF, Allele Frequency; CPIC, Clinical Pharmacogenomics Implementation Consortium. </w:t>
      </w:r>
    </w:p>
    <w:p w:rsidR="00000000" w:rsidDel="00000000" w:rsidP="00000000" w:rsidRDefault="00000000" w:rsidRPr="00000000" w14:paraId="0000001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60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Table 2. Somatic Pharmacogene LOF Disruption Frequencies by Tumour Type (% of Tumours)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tbl>
      <w:tblPr>
        <w:tblStyle w:val="Table2"/>
        <w:tblW w:w="9359.999999999998" w:type="dxa"/>
        <w:jc w:val="left"/>
        <w:tblBorders>
          <w:top w:color="808080" w:space="0" w:sz="6" w:val="single"/>
          <w:left w:color="808080" w:space="0" w:sz="6" w:val="single"/>
          <w:bottom w:color="808080" w:space="0" w:sz="6" w:val="single"/>
          <w:right w:color="808080" w:space="0" w:sz="6" w:val="single"/>
          <w:insideH w:color="808080" w:space="0" w:sz="6" w:val="single"/>
          <w:insideV w:color="808080" w:space="0" w:sz="6" w:val="single"/>
        </w:tblBorders>
        <w:tblLayout w:type="fixed"/>
        <w:tblLook w:val="0600"/>
      </w:tblPr>
      <w:tblGrid>
        <w:gridCol w:w="1803.43949044586"/>
        <w:gridCol w:w="1401.0191082802546"/>
        <w:gridCol w:w="1401.0191082802546"/>
        <w:gridCol w:w="1401.0191082802546"/>
        <w:gridCol w:w="1401.0191082802546"/>
        <w:gridCol w:w="1952.4840764331211"/>
        <w:tblGridChange w:id="0">
          <w:tblGrid>
            <w:gridCol w:w="1803.43949044586"/>
            <w:gridCol w:w="1401.0191082802546"/>
            <w:gridCol w:w="1401.0191082802546"/>
            <w:gridCol w:w="1401.0191082802546"/>
            <w:gridCol w:w="1401.0191082802546"/>
            <w:gridCol w:w="1952.4840764331211"/>
          </w:tblGrid>
        </w:tblGridChange>
      </w:tblGrid>
      <w:tr>
        <w:trPr>
          <w:cantSplit w:val="0"/>
          <w:trHeight w:val="69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Tumour Type (TCGA Code)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CYP2D6 LOF %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CYP2C19 LOF %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DPYD LOF %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TPMT LOF %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Gungsuh" w:cs="Gungsuh" w:eastAsia="Gungsuh" w:hAnsi="Gungsuh"/>
                <w:b w:val="1"/>
                <w:bCs w:val="1"/>
                <w:sz w:val="20"/>
                <w:szCs w:val="20"/>
                <w:rtl w:val="0"/>
              </w:rPr>
              <w:t xml:space="preserve">≥1 Gene Disrupted %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9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Stomach adenocarcinoma (STAD)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18.4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11.7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6.2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3.1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34.1 </w:t>
            </w:r>
          </w:p>
        </w:tc>
      </w:tr>
      <w:tr>
        <w:trPr>
          <w:cantSplit w:val="0"/>
          <w:trHeight w:val="9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Uterine corpus carcinoma (UCEC)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15.9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9.8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5.4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2.8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29.6 </w:t>
            </w:r>
          </w:p>
        </w:tc>
      </w:tr>
      <w:tr>
        <w:trPr>
          <w:cantSplit w:val="0"/>
          <w:trHeight w:val="9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Colon adenocarcinoma (COAD)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14.7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8.5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22.3*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4.4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42.8* </w:t>
            </w:r>
          </w:p>
        </w:tc>
      </w:tr>
      <w:tr>
        <w:trPr>
          <w:cantSplit w:val="0"/>
          <w:trHeight w:val="9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Lung adenocarcinoma (LUAD)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12.3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7.1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3.8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2.2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22.4 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Skin melanoma (SKCM)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11.8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6.4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4.1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1.9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21.7 </w:t>
            </w:r>
          </w:p>
        </w:tc>
      </w:tr>
      <w:tr>
        <w:trPr>
          <w:cantSplit w:val="0"/>
          <w:trHeight w:val="9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Breast invasive carcinoma (BRCA)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9.6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5.2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3.6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1.7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17.3 </w:t>
            </w:r>
          </w:p>
        </w:tc>
      </w:tr>
      <w:tr>
        <w:trPr>
          <w:cantSplit w:val="0"/>
          <w:trHeight w:val="9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Bladder urothelial carcinoma (BLCA)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8.9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7.3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4.9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2.5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20.1 </w:t>
            </w:r>
          </w:p>
        </w:tc>
      </w:tr>
      <w:tr>
        <w:trPr>
          <w:cantSplit w:val="0"/>
          <w:trHeight w:val="9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Glioblastoma multiforme (GBM)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7.2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5.9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2.1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6.4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18.8 </w:t>
            </w:r>
          </w:p>
        </w:tc>
      </w:tr>
      <w:tr>
        <w:trPr>
          <w:cantSplit w:val="0"/>
          <w:trHeight w:val="9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Prostate adenocarcinoma (PRAD)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6.4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4.1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1.8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1.2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12.3 </w:t>
            </w:r>
          </w:p>
        </w:tc>
      </w:tr>
      <w:tr>
        <w:trPr>
          <w:cantSplit w:val="0"/>
          <w:trHeight w:val="9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Acute myeloid leukaemia (LAML)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5.1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4.8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3.2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14.9*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26.1* 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Pan-cancer aggregate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10.7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7.2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5.9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3.4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23.8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6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00" w:before="8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LOF, Loss-of-Function; *, significantly elevated relative to pan-cancer aggregate (FDR q &lt; 0.05 by Fisher's exact test with Benjamini-Hochberg correction). Abbreviations: STAD, Stomach Adenocarcinoma; UCEC, Uterine Corpus Endometrial Carcinoma; COAD, Colon Adenocarcinoma; LUAD, Lung Adenocarcinoma; SKCM, Skin Cutaneous Melanoma; BRCA, Breast Invasive Carcinoma; BLCA, Bladder Urothelial Carcinoma; GBM, Glioblastoma Multiforme; PRAD, Prostate Adenocarcinoma; LAML, Acute Myeloid Leukaemia. </w:t>
      </w:r>
    </w:p>
    <w:p w:rsidR="00000000" w:rsidDel="00000000" w:rsidP="00000000" w:rsidRDefault="00000000" w:rsidRPr="00000000" w14:paraId="0000006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60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Table 3. CPIC Level A Actionability of Somatic Pharmacogene LOF: Gene-Drug Pairs and Clinical Recommendations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tbl>
      <w:tblPr>
        <w:tblStyle w:val="Table3"/>
        <w:tblW w:w="9360.0" w:type="dxa"/>
        <w:jc w:val="left"/>
        <w:tblBorders>
          <w:top w:color="808080" w:space="0" w:sz="6" w:val="single"/>
          <w:left w:color="808080" w:space="0" w:sz="6" w:val="single"/>
          <w:bottom w:color="808080" w:space="0" w:sz="6" w:val="single"/>
          <w:right w:color="808080" w:space="0" w:sz="6" w:val="single"/>
          <w:insideH w:color="808080" w:space="0" w:sz="6" w:val="single"/>
          <w:insideV w:color="808080" w:space="0" w:sz="6" w:val="single"/>
        </w:tblBorders>
        <w:tblLayout w:type="fixed"/>
        <w:tblLook w:val="0600"/>
      </w:tblPr>
      <w:tblGrid>
        <w:gridCol w:w="1495.2076677316293"/>
        <w:gridCol w:w="1704.5367412140577"/>
        <w:gridCol w:w="1495.2076677316293"/>
        <w:gridCol w:w="1405.4952076677316"/>
        <w:gridCol w:w="1360.6389776357828"/>
        <w:gridCol w:w="1898.9137380191692"/>
        <w:tblGridChange w:id="0">
          <w:tblGrid>
            <w:gridCol w:w="1495.2076677316293"/>
            <w:gridCol w:w="1704.5367412140577"/>
            <w:gridCol w:w="1495.2076677316293"/>
            <w:gridCol w:w="1405.4952076677316"/>
            <w:gridCol w:w="1360.6389776357828"/>
            <w:gridCol w:w="1898.9137380191692"/>
          </w:tblGrid>
        </w:tblGridChange>
      </w:tblGrid>
      <w:tr>
        <w:trPr>
          <w:cantSplit w:val="0"/>
          <w:trHeight w:val="69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Pharmacogene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Drug(s) Affected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CPIC Level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LOF Phenotype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Affected Tumours (n)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Clinical Recommendation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9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CYP2D6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Tamoxifen, Codeine, Tramadol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Poor Metabolizer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1,174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Avoid tamoxifen; use aromatase inhibitor 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CYP2D6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Ondansetron, Tropisetron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Poor Metabolizer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1,174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Select alternative antiemetic 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CYP2C19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Clopidogrel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Poor Metabolizer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790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Use prasugrel or ticagrelor 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CYP2C19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Proton pump inhibitors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Poor Metabolizer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790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Increase PPI dose 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DPYD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5-Fluorouracil, Capecitabine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Reduced function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647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Gungsuh" w:cs="Gungsuh" w:eastAsia="Gungsuh" w:hAnsi="Gungsuh"/>
                <w:sz w:val="20"/>
                <w:szCs w:val="20"/>
                <w:rtl w:val="0"/>
              </w:rPr>
              <w:t xml:space="preserve">Dose reduction ≥50% or alternative 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DPYD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Tegafur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No function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647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Contraindicated; use alternative 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TPMT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Azathioprine, 6-MP, Thioguanine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Poor Metabolizer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373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Reduce dose 10-fold; weekly CBC </w:t>
            </w:r>
          </w:p>
        </w:tc>
      </w:tr>
    </w:tbl>
    <w:p w:rsidR="00000000" w:rsidDel="00000000" w:rsidP="00000000" w:rsidRDefault="00000000" w:rsidRPr="00000000" w14:paraId="0000009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00" w:before="8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LOF, Loss-of-Function; CPIC, Clinical Pharmacogenomics Implementation Consortium; 5-FU, 5-Fluorouracil; 6-MP, 6-Mercaptopurine; PPI, Proton Pump Inhibitor; CBC, Complete Blood Count. All listed recommendations are derived from CPIC guidelines at the Level A evidence tier (strong, sufficient evidence to recommend clinical action). </w:t>
      </w:r>
    </w:p>
    <w:p w:rsidR="00000000" w:rsidDel="00000000" w:rsidP="00000000" w:rsidRDefault="00000000" w:rsidRPr="00000000" w14:paraId="0000009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60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Table 4. Phenotype Override Matrix: Effective Metaboliser Phenotype Under Combined Germline and Somatic LOF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tbl>
      <w:tblPr>
        <w:tblStyle w:val="Table4"/>
        <w:tblW w:w="9360.000000000002" w:type="dxa"/>
        <w:jc w:val="left"/>
        <w:tblBorders>
          <w:top w:color="808080" w:space="0" w:sz="6" w:val="single"/>
          <w:left w:color="808080" w:space="0" w:sz="6" w:val="single"/>
          <w:bottom w:color="808080" w:space="0" w:sz="6" w:val="single"/>
          <w:right w:color="808080" w:space="0" w:sz="6" w:val="single"/>
          <w:insideH w:color="808080" w:space="0" w:sz="6" w:val="single"/>
          <w:insideV w:color="808080" w:space="0" w:sz="6" w:val="single"/>
        </w:tblBorders>
        <w:tblLayout w:type="fixed"/>
        <w:tblLook w:val="0600"/>
      </w:tblPr>
      <w:tblGrid>
        <w:gridCol w:w="1803.43949044586"/>
        <w:gridCol w:w="1803.43949044586"/>
        <w:gridCol w:w="1803.43949044586"/>
        <w:gridCol w:w="1669.299363057325"/>
        <w:gridCol w:w="2280.382165605096"/>
        <w:tblGridChange w:id="0">
          <w:tblGrid>
            <w:gridCol w:w="1803.43949044586"/>
            <w:gridCol w:w="1803.43949044586"/>
            <w:gridCol w:w="1803.43949044586"/>
            <w:gridCol w:w="1669.299363057325"/>
            <w:gridCol w:w="2280.382165605096"/>
          </w:tblGrid>
        </w:tblGridChange>
      </w:tblGrid>
      <w:tr>
        <w:trPr>
          <w:cantSplit w:val="0"/>
          <w:trHeight w:val="94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Germline Phenotype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Tumour LOF Detected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Predicted Functional Phenotype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Magnitude of Shift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Clinical Implication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Normal Metabolizer (NM)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Somatic CYP2D6 LOF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Effective Poor Metabolizer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High (full enzyme loss)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Tamoxifen failure risk; antiemetic re-evaluation 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Intermediate Metabolizer (IM)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Somatic CYP2D6 LOF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Effective Poor Metabolizer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Moderate–High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Accelerated phenotype shift; dosing risk 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Normal Metabolizer (NM)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Somatic CYP2C19 LOF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Effective Poor Metabolizer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High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Clopidogrel resistance; PPI underdosing 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Normal Metabolizer (NM)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Somatic DPYD LOF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Partial/Complete Deficiency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High (50–100% capacity loss)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B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5-FU/capecitabine severe toxicity risk </w:t>
            </w:r>
          </w:p>
        </w:tc>
      </w:tr>
      <w:tr>
        <w:trPr>
          <w:cantSplit w:val="0"/>
          <w:trHeight w:val="9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B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Normal TPMT Function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B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Somatic TPMT LOF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B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Effective Poor Metabolizer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B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High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B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Thiopurine myelosuppression; dose reduction mandatory 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B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Ultra-rapid Metabolizer (UM)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B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Somatic CYP2D6 LOF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B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Normalised or reduced function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B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Variable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B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Risk reduction but unpredictable kinetics 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B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Poor Metabolizer (PM)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B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Somatic CYP2D6 amplification*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B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Partial phenotype rescue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B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Low–Moderate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B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0" w:before="40" w:lineRule="auto"/>
              <w:ind w:left="-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Rare; theoretical kinetics shift only </w:t>
            </w:r>
          </w:p>
        </w:tc>
      </w:tr>
    </w:tbl>
    <w:p w:rsidR="00000000" w:rsidDel="00000000" w:rsidP="00000000" w:rsidRDefault="00000000" w:rsidRPr="00000000" w14:paraId="000000C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00" w:before="8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LOF, Loss-of-Function; NM, Normal Metaboliser; IM, Intermediate Metaboliser; PM, Poor Metaboliser; UM, Ultra-Rapid Metaboliser. *Somatic CYP2D6 amplification was observed in &lt;0.5% of tumours and represents a rare theoretical event without confirmed pharmacokinetic validation. Magnitude of shift reflects the delta in predicted activity score; clinical implication is based on CPIC Level A prescribing guidance for the relevant germline phenotype-to-effective phenotype transition. </w:t>
      </w:r>
    </w:p>
    <w:p w:rsidR="00000000" w:rsidDel="00000000" w:rsidP="00000000" w:rsidRDefault="00000000" w:rsidRPr="00000000" w14:paraId="000000C1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Gungsuh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  <w:style w:type="table" w:styleId="Table2">
    <w:basedOn w:val="TableNormal"/>
    <w:tblPr>
      <w:tblStyleRowBandSize w:val="1"/>
      <w:tblStyleColBandSize w:val="1"/>
      <w:tblCellMar/>
    </w:tblPr>
  </w:style>
  <w:style w:type="table" w:styleId="Table3">
    <w:basedOn w:val="TableNormal"/>
    <w:tblPr>
      <w:tblStyleRowBandSize w:val="1"/>
      <w:tblStyleColBandSize w:val="1"/>
      <w:tblCellMar/>
    </w:tblPr>
  </w:style>
  <w:style w:type="table" w:styleId="Table4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