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74A2B" w14:textId="77777777" w:rsidR="007A2ED2" w:rsidRPr="009334D3" w:rsidRDefault="007A2ED2" w:rsidP="007A2ED2">
      <w:pPr>
        <w:pStyle w:val="ds-markdown-paragraph"/>
        <w:shd w:val="clear" w:color="auto" w:fill="FFFFFF"/>
        <w:spacing w:before="0" w:beforeAutospacing="0" w:after="0" w:afterAutospacing="0" w:line="300" w:lineRule="auto"/>
        <w:rPr>
          <w:rFonts w:ascii="Helvetica" w:eastAsiaTheme="majorEastAsia" w:hAnsi="Helvetica"/>
          <w:b/>
          <w:bCs/>
        </w:rPr>
      </w:pPr>
      <w:r w:rsidRPr="009334D3">
        <w:rPr>
          <w:rFonts w:ascii="Helvetica" w:eastAsiaTheme="majorEastAsia" w:hAnsi="Helvetica"/>
          <w:b/>
          <w:bCs/>
        </w:rPr>
        <w:t>TABLE I</w:t>
      </w:r>
      <w:r w:rsidRPr="009334D3">
        <w:rPr>
          <w:rFonts w:ascii="Helvetica" w:eastAsiaTheme="majorEastAsia" w:hAnsi="Helvetica"/>
          <w:b/>
          <w:bCs/>
          <w:lang w:val="vi-VN"/>
        </w:rPr>
        <w:t>. CODING AND DATA SOURCES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1"/>
        <w:gridCol w:w="1964"/>
        <w:gridCol w:w="4662"/>
        <w:gridCol w:w="1044"/>
      </w:tblGrid>
      <w:tr w:rsidR="007A2ED2" w:rsidRPr="009334D3" w14:paraId="2F8568A5" w14:textId="77777777" w:rsidTr="006B6F6A"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</w:tcPr>
          <w:p w14:paraId="63F5388C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jc w:val="center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Style w:val="Strong"/>
                <w:rFonts w:ascii="Helvetica" w:hAnsi="Helvetica"/>
                <w:szCs w:val="24"/>
                <w:shd w:val="clear" w:color="auto" w:fill="FFFFFF"/>
              </w:rPr>
              <w:t>Code</w:t>
            </w:r>
          </w:p>
        </w:tc>
        <w:tc>
          <w:tcPr>
            <w:tcW w:w="1092" w:type="pct"/>
            <w:tcBorders>
              <w:top w:val="single" w:sz="4" w:space="0" w:color="auto"/>
              <w:bottom w:val="single" w:sz="4" w:space="0" w:color="auto"/>
            </w:tcBorders>
          </w:tcPr>
          <w:p w14:paraId="51874666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jc w:val="center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Style w:val="Strong"/>
                <w:rFonts w:ascii="Helvetica" w:hAnsi="Helvetica"/>
                <w:szCs w:val="24"/>
                <w:shd w:val="clear" w:color="auto" w:fill="FFFFFF"/>
              </w:rPr>
              <w:t>Indicator</w:t>
            </w:r>
          </w:p>
        </w:tc>
        <w:tc>
          <w:tcPr>
            <w:tcW w:w="2579" w:type="pct"/>
            <w:tcBorders>
              <w:top w:val="single" w:sz="4" w:space="0" w:color="auto"/>
              <w:bottom w:val="single" w:sz="4" w:space="0" w:color="auto"/>
            </w:tcBorders>
          </w:tcPr>
          <w:p w14:paraId="4DA49457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jc w:val="center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b/>
                <w:bCs/>
                <w:szCs w:val="24"/>
              </w:rPr>
              <w:t>Measurement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4" w:space="0" w:color="auto"/>
            </w:tcBorders>
          </w:tcPr>
          <w:p w14:paraId="3DDBACEA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jc w:val="center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b/>
                <w:bCs/>
                <w:szCs w:val="24"/>
              </w:rPr>
              <w:t>Source</w:t>
            </w:r>
          </w:p>
        </w:tc>
      </w:tr>
      <w:tr w:rsidR="007A2ED2" w:rsidRPr="009334D3" w14:paraId="72016FA0" w14:textId="77777777" w:rsidTr="006B6F6A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2C0C6167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Style w:val="Strong"/>
                <w:rFonts w:ascii="Helvetica" w:hAnsi="Helvetica"/>
                <w:szCs w:val="24"/>
                <w:shd w:val="clear" w:color="auto" w:fill="FFFFFF"/>
              </w:rPr>
              <w:t>Dependent Variable</w:t>
            </w:r>
          </w:p>
        </w:tc>
      </w:tr>
      <w:tr w:rsidR="007A2ED2" w:rsidRPr="009334D3" w14:paraId="2196CA5D" w14:textId="77777777" w:rsidTr="006B6F6A">
        <w:tc>
          <w:tcPr>
            <w:tcW w:w="782" w:type="pct"/>
            <w:vAlign w:val="center"/>
          </w:tcPr>
          <w:p w14:paraId="3C244AB5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EP</w:t>
            </w:r>
          </w:p>
        </w:tc>
        <w:tc>
          <w:tcPr>
            <w:tcW w:w="1092" w:type="pct"/>
            <w:vAlign w:val="center"/>
          </w:tcPr>
          <w:p w14:paraId="5752C5B6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Economic Prosperity</w:t>
            </w:r>
          </w:p>
        </w:tc>
        <w:tc>
          <w:tcPr>
            <w:tcW w:w="2579" w:type="pct"/>
            <w:vAlign w:val="center"/>
          </w:tcPr>
          <w:p w14:paraId="1D77CDA8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 w:cstheme="majorHAnsi"/>
                <w:szCs w:val="24"/>
                <w:lang w:val="vi-VN"/>
              </w:rPr>
              <w:t>The economic prosperity indicator is coded as 1 for years in which the economic growth rate is higher than the country average, while a value of 0 is assigned to all remaining years</w:t>
            </w:r>
            <w:r w:rsidRPr="009334D3">
              <w:rPr>
                <w:rFonts w:ascii="Helvetica" w:hAnsi="Helvetica" w:cstheme="majorHAnsi"/>
                <w:szCs w:val="24"/>
              </w:rPr>
              <w:t xml:space="preserve">. </w:t>
            </w:r>
          </w:p>
        </w:tc>
        <w:tc>
          <w:tcPr>
            <w:tcW w:w="547" w:type="pct"/>
            <w:vAlign w:val="center"/>
          </w:tcPr>
          <w:p w14:paraId="18196726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Authors</w:t>
            </w:r>
          </w:p>
        </w:tc>
      </w:tr>
      <w:tr w:rsidR="007A2ED2" w:rsidRPr="009334D3" w14:paraId="3851020E" w14:textId="77777777" w:rsidTr="006B6F6A">
        <w:tc>
          <w:tcPr>
            <w:tcW w:w="782" w:type="pct"/>
            <w:tcBorders>
              <w:bottom w:val="single" w:sz="4" w:space="0" w:color="auto"/>
            </w:tcBorders>
            <w:vAlign w:val="center"/>
          </w:tcPr>
          <w:p w14:paraId="30DE160C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ED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vAlign w:val="center"/>
          </w:tcPr>
          <w:p w14:paraId="5300900B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  <w:shd w:val="clear" w:color="auto" w:fill="FFFFFF"/>
                <w:lang w:val="vi-VN"/>
              </w:rPr>
              <w:t>Economic Downturn</w:t>
            </w:r>
          </w:p>
        </w:tc>
        <w:tc>
          <w:tcPr>
            <w:tcW w:w="2579" w:type="pct"/>
            <w:tcBorders>
              <w:bottom w:val="single" w:sz="4" w:space="0" w:color="auto"/>
            </w:tcBorders>
            <w:vAlign w:val="center"/>
          </w:tcPr>
          <w:p w14:paraId="57A2CCFD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 w:cstheme="majorHAnsi"/>
                <w:szCs w:val="24"/>
                <w:lang w:val="vi-VN"/>
              </w:rPr>
              <w:t>The economic downturn indicator equals 1 when the economic growth rate is negative, and takes the value 0 otherwise</w:t>
            </w:r>
            <w:r w:rsidRPr="009334D3">
              <w:rPr>
                <w:rFonts w:ascii="Helvetica" w:hAnsi="Helvetica" w:cstheme="majorHAnsi"/>
                <w:szCs w:val="24"/>
              </w:rPr>
              <w:t>.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1B9EDB55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Authors</w:t>
            </w:r>
          </w:p>
        </w:tc>
      </w:tr>
      <w:tr w:rsidR="007A2ED2" w:rsidRPr="009334D3" w14:paraId="27BF1E64" w14:textId="77777777" w:rsidTr="006B6F6A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16C89314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Style w:val="Strong"/>
                <w:rFonts w:ascii="Helvetica" w:eastAsiaTheme="majorEastAsia" w:hAnsi="Helvetica"/>
                <w:szCs w:val="24"/>
              </w:rPr>
              <w:t>Independent Variables</w:t>
            </w:r>
          </w:p>
        </w:tc>
      </w:tr>
      <w:tr w:rsidR="007A2ED2" w:rsidRPr="009334D3" w14:paraId="4616861A" w14:textId="77777777" w:rsidTr="006B6F6A">
        <w:tc>
          <w:tcPr>
            <w:tcW w:w="782" w:type="pct"/>
          </w:tcPr>
          <w:p w14:paraId="69FD97AD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color w:val="000000"/>
                <w:szCs w:val="24"/>
                <w:shd w:val="clear" w:color="auto" w:fill="FFFFFF"/>
              </w:rPr>
              <w:t>GA</w:t>
            </w:r>
          </w:p>
        </w:tc>
        <w:tc>
          <w:tcPr>
            <w:tcW w:w="1092" w:type="pct"/>
          </w:tcPr>
          <w:p w14:paraId="40B0AE46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color w:val="000000"/>
                <w:szCs w:val="24"/>
                <w:shd w:val="clear" w:color="auto" w:fill="FFFFFF"/>
              </w:rPr>
              <w:t>Green Accounting</w:t>
            </w:r>
          </w:p>
        </w:tc>
        <w:tc>
          <w:tcPr>
            <w:tcW w:w="2579" w:type="pct"/>
          </w:tcPr>
          <w:p w14:paraId="551A98E2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color w:val="000000"/>
                <w:szCs w:val="24"/>
                <w:shd w:val="clear" w:color="auto" w:fill="FFFFFF"/>
                <w:lang w:val="vi-VN"/>
              </w:rPr>
              <w:t>Green accounting is measured using a composite index constructed through Principal Component Analysis. Prior to applying PCA, all component variables are standardized to ensure comparability.</w:t>
            </w:r>
          </w:p>
        </w:tc>
        <w:tc>
          <w:tcPr>
            <w:tcW w:w="547" w:type="pct"/>
            <w:vAlign w:val="center"/>
          </w:tcPr>
          <w:p w14:paraId="7867EDB1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Authors</w:t>
            </w:r>
          </w:p>
        </w:tc>
      </w:tr>
      <w:tr w:rsidR="007A2ED2" w:rsidRPr="009334D3" w14:paraId="28B3C226" w14:textId="77777777" w:rsidTr="006B6F6A">
        <w:tc>
          <w:tcPr>
            <w:tcW w:w="782" w:type="pct"/>
            <w:vAlign w:val="center"/>
          </w:tcPr>
          <w:p w14:paraId="69237560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1. FEC</w:t>
            </w:r>
          </w:p>
        </w:tc>
        <w:tc>
          <w:tcPr>
            <w:tcW w:w="1092" w:type="pct"/>
            <w:vAlign w:val="center"/>
          </w:tcPr>
          <w:p w14:paraId="105ACD3A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  <w:shd w:val="clear" w:color="auto" w:fill="FFFFFF"/>
              </w:rPr>
              <w:t>Renewable Energy</w:t>
            </w:r>
          </w:p>
        </w:tc>
        <w:tc>
          <w:tcPr>
            <w:tcW w:w="2579" w:type="pct"/>
            <w:vAlign w:val="center"/>
          </w:tcPr>
          <w:p w14:paraId="067FEC63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  <w:shd w:val="clear" w:color="auto" w:fill="FFFFFF"/>
                <w:lang w:val="vi-VN"/>
              </w:rPr>
              <w:t>Proportion of renewable energy in total final energy consumption (%).</w:t>
            </w:r>
          </w:p>
        </w:tc>
        <w:tc>
          <w:tcPr>
            <w:tcW w:w="547" w:type="pct"/>
            <w:vAlign w:val="center"/>
          </w:tcPr>
          <w:p w14:paraId="749C3BEC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WDI</w:t>
            </w:r>
          </w:p>
        </w:tc>
      </w:tr>
      <w:tr w:rsidR="007A2ED2" w:rsidRPr="009334D3" w14:paraId="1E8C2409" w14:textId="77777777" w:rsidTr="006B6F6A">
        <w:tc>
          <w:tcPr>
            <w:tcW w:w="782" w:type="pct"/>
            <w:vAlign w:val="center"/>
          </w:tcPr>
          <w:p w14:paraId="132BF78F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2. ELC</w:t>
            </w:r>
          </w:p>
        </w:tc>
        <w:tc>
          <w:tcPr>
            <w:tcW w:w="1092" w:type="pct"/>
            <w:vAlign w:val="center"/>
          </w:tcPr>
          <w:p w14:paraId="18C4F4EE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  <w:shd w:val="clear" w:color="auto" w:fill="FFFFFF"/>
              </w:rPr>
              <w:t>Renewable Electricity</w:t>
            </w:r>
          </w:p>
        </w:tc>
        <w:tc>
          <w:tcPr>
            <w:tcW w:w="2579" w:type="pct"/>
            <w:vAlign w:val="center"/>
          </w:tcPr>
          <w:p w14:paraId="56F508FB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  <w:shd w:val="clear" w:color="auto" w:fill="FFFFFF"/>
                <w:lang w:val="vi-VN"/>
              </w:rPr>
              <w:t>Share of electricity generated from renewable sources relative to total electricity production.</w:t>
            </w:r>
          </w:p>
        </w:tc>
        <w:tc>
          <w:tcPr>
            <w:tcW w:w="547" w:type="pct"/>
            <w:vAlign w:val="center"/>
          </w:tcPr>
          <w:p w14:paraId="116659B5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WDI</w:t>
            </w:r>
          </w:p>
        </w:tc>
      </w:tr>
      <w:tr w:rsidR="007A2ED2" w:rsidRPr="009334D3" w14:paraId="111BB115" w14:textId="77777777" w:rsidTr="006B6F6A">
        <w:tc>
          <w:tcPr>
            <w:tcW w:w="782" w:type="pct"/>
            <w:vAlign w:val="center"/>
          </w:tcPr>
          <w:p w14:paraId="014F385A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3. FRST</w:t>
            </w:r>
          </w:p>
        </w:tc>
        <w:tc>
          <w:tcPr>
            <w:tcW w:w="1092" w:type="pct"/>
            <w:vAlign w:val="center"/>
          </w:tcPr>
          <w:p w14:paraId="57318852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  <w:shd w:val="clear" w:color="auto" w:fill="FFFFFF"/>
              </w:rPr>
              <w:t>Forest Area Ratio</w:t>
            </w:r>
          </w:p>
        </w:tc>
        <w:tc>
          <w:tcPr>
            <w:tcW w:w="2579" w:type="pct"/>
            <w:vAlign w:val="center"/>
          </w:tcPr>
          <w:p w14:paraId="22479167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  <w:shd w:val="clear" w:color="auto" w:fill="FFFFFF"/>
                <w:lang w:val="vi-VN"/>
              </w:rPr>
              <w:t>Share of forest land including natural and planted forests in total land area (%).</w:t>
            </w:r>
          </w:p>
        </w:tc>
        <w:tc>
          <w:tcPr>
            <w:tcW w:w="547" w:type="pct"/>
            <w:vAlign w:val="center"/>
          </w:tcPr>
          <w:p w14:paraId="2EA1D2AB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WDI</w:t>
            </w:r>
          </w:p>
        </w:tc>
      </w:tr>
      <w:tr w:rsidR="007A2ED2" w:rsidRPr="009334D3" w14:paraId="68C99536" w14:textId="77777777" w:rsidTr="006B6F6A">
        <w:tc>
          <w:tcPr>
            <w:tcW w:w="782" w:type="pct"/>
            <w:vAlign w:val="center"/>
          </w:tcPr>
          <w:p w14:paraId="6E6526A0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4. TOTL</w:t>
            </w:r>
          </w:p>
        </w:tc>
        <w:tc>
          <w:tcPr>
            <w:tcW w:w="1092" w:type="pct"/>
            <w:vAlign w:val="center"/>
          </w:tcPr>
          <w:p w14:paraId="3987CA93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  <w:shd w:val="clear" w:color="auto" w:fill="FFFFFF"/>
              </w:rPr>
              <w:t>Total Resource Rents</w:t>
            </w:r>
          </w:p>
        </w:tc>
        <w:tc>
          <w:tcPr>
            <w:tcW w:w="2579" w:type="pct"/>
            <w:vAlign w:val="center"/>
          </w:tcPr>
          <w:p w14:paraId="29734C62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  <w:shd w:val="clear" w:color="auto" w:fill="FFFFFF"/>
                <w:lang w:val="vi-VN"/>
              </w:rPr>
              <w:t>Aggregate rents generated from natural resource extraction relative to gross domestic product (% GDP).</w:t>
            </w:r>
          </w:p>
        </w:tc>
        <w:tc>
          <w:tcPr>
            <w:tcW w:w="547" w:type="pct"/>
            <w:vAlign w:val="center"/>
          </w:tcPr>
          <w:p w14:paraId="4746236B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WDI</w:t>
            </w:r>
          </w:p>
        </w:tc>
      </w:tr>
      <w:tr w:rsidR="007A2ED2" w:rsidRPr="009334D3" w14:paraId="249D3C1D" w14:textId="77777777" w:rsidTr="006B6F6A">
        <w:tc>
          <w:tcPr>
            <w:tcW w:w="782" w:type="pct"/>
            <w:vAlign w:val="center"/>
          </w:tcPr>
          <w:p w14:paraId="186E348D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5. H2O</w:t>
            </w:r>
          </w:p>
        </w:tc>
        <w:tc>
          <w:tcPr>
            <w:tcW w:w="1092" w:type="pct"/>
            <w:vAlign w:val="center"/>
          </w:tcPr>
          <w:p w14:paraId="56E2C955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  <w:shd w:val="clear" w:color="auto" w:fill="FFFFFF"/>
              </w:rPr>
              <w:t>Freshwater Withdrawals</w:t>
            </w:r>
          </w:p>
        </w:tc>
        <w:tc>
          <w:tcPr>
            <w:tcW w:w="2579" w:type="pct"/>
            <w:vAlign w:val="center"/>
          </w:tcPr>
          <w:p w14:paraId="55529FFD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  <w:shd w:val="clear" w:color="auto" w:fill="FFFFFF"/>
                <w:lang w:val="vi-VN"/>
              </w:rPr>
              <w:t>Annual freshwater withdrawals relative to total internal renewable water resources (%).</w:t>
            </w:r>
          </w:p>
        </w:tc>
        <w:tc>
          <w:tcPr>
            <w:tcW w:w="547" w:type="pct"/>
            <w:vAlign w:val="center"/>
          </w:tcPr>
          <w:p w14:paraId="5DD08C24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WDI</w:t>
            </w:r>
          </w:p>
        </w:tc>
      </w:tr>
      <w:tr w:rsidR="007A2ED2" w:rsidRPr="009334D3" w14:paraId="62423C1D" w14:textId="77777777" w:rsidTr="006B6F6A">
        <w:tc>
          <w:tcPr>
            <w:tcW w:w="782" w:type="pct"/>
            <w:vAlign w:val="center"/>
          </w:tcPr>
          <w:p w14:paraId="3F17E1C1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6. PRIW</w:t>
            </w:r>
          </w:p>
        </w:tc>
        <w:tc>
          <w:tcPr>
            <w:tcW w:w="1092" w:type="pct"/>
            <w:vAlign w:val="center"/>
          </w:tcPr>
          <w:p w14:paraId="123C6BF4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  <w:shd w:val="clear" w:color="auto" w:fill="FFFFFF"/>
              </w:rPr>
              <w:t>Energy Intensity</w:t>
            </w:r>
          </w:p>
        </w:tc>
        <w:tc>
          <w:tcPr>
            <w:tcW w:w="2579" w:type="pct"/>
            <w:vAlign w:val="center"/>
          </w:tcPr>
          <w:p w14:paraId="33062404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  <w:shd w:val="clear" w:color="auto" w:fill="FFFFFF"/>
                <w:lang w:val="vi-VN"/>
              </w:rPr>
              <w:t>Energy use measured in kilograms of oil equivalent per unit of GDP.</w:t>
            </w:r>
          </w:p>
        </w:tc>
        <w:tc>
          <w:tcPr>
            <w:tcW w:w="547" w:type="pct"/>
            <w:vAlign w:val="center"/>
          </w:tcPr>
          <w:p w14:paraId="0DA08606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WDI</w:t>
            </w:r>
          </w:p>
        </w:tc>
      </w:tr>
      <w:tr w:rsidR="007A2ED2" w:rsidRPr="009334D3" w14:paraId="50036C05" w14:textId="77777777" w:rsidTr="006B6F6A">
        <w:tc>
          <w:tcPr>
            <w:tcW w:w="782" w:type="pct"/>
            <w:vAlign w:val="center"/>
          </w:tcPr>
          <w:p w14:paraId="22091D9F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7. DCO2</w:t>
            </w:r>
          </w:p>
        </w:tc>
        <w:tc>
          <w:tcPr>
            <w:tcW w:w="1092" w:type="pct"/>
            <w:vAlign w:val="center"/>
          </w:tcPr>
          <w:p w14:paraId="52C2249E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  <w:shd w:val="clear" w:color="auto" w:fill="FFFFFF"/>
              </w:rPr>
              <w:t>Damage from CO2 Emissions</w:t>
            </w:r>
          </w:p>
        </w:tc>
        <w:tc>
          <w:tcPr>
            <w:tcW w:w="2579" w:type="pct"/>
            <w:vAlign w:val="center"/>
          </w:tcPr>
          <w:p w14:paraId="7D03A2A7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  <w:shd w:val="clear" w:color="auto" w:fill="FFFFFF"/>
                <w:lang w:val="vi-VN"/>
              </w:rPr>
              <w:t>Estimated economic damage caused by carbon dioxide emissions (% GNI).</w:t>
            </w:r>
          </w:p>
        </w:tc>
        <w:tc>
          <w:tcPr>
            <w:tcW w:w="547" w:type="pct"/>
            <w:vAlign w:val="center"/>
          </w:tcPr>
          <w:p w14:paraId="0F83D808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WDI</w:t>
            </w:r>
          </w:p>
        </w:tc>
      </w:tr>
      <w:tr w:rsidR="007A2ED2" w:rsidRPr="009334D3" w14:paraId="6B19DEB3" w14:textId="77777777" w:rsidTr="006B6F6A">
        <w:tc>
          <w:tcPr>
            <w:tcW w:w="782" w:type="pct"/>
            <w:vAlign w:val="center"/>
          </w:tcPr>
          <w:p w14:paraId="2E53CFBD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8. DRES</w:t>
            </w:r>
          </w:p>
        </w:tc>
        <w:tc>
          <w:tcPr>
            <w:tcW w:w="1092" w:type="pct"/>
            <w:vAlign w:val="center"/>
          </w:tcPr>
          <w:p w14:paraId="605549EB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  <w:shd w:val="clear" w:color="auto" w:fill="FFFFFF"/>
              </w:rPr>
              <w:t>Damage from Resource Extraction</w:t>
            </w:r>
          </w:p>
        </w:tc>
        <w:tc>
          <w:tcPr>
            <w:tcW w:w="2579" w:type="pct"/>
            <w:vAlign w:val="center"/>
          </w:tcPr>
          <w:p w14:paraId="4301A86B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  <w:shd w:val="clear" w:color="auto" w:fill="FFFFFF"/>
                <w:lang w:val="vi-VN"/>
              </w:rPr>
              <w:t>Economic loss resulting from the depletion of natural resources including energy minerals and forests (% GNI).</w:t>
            </w:r>
          </w:p>
        </w:tc>
        <w:tc>
          <w:tcPr>
            <w:tcW w:w="547" w:type="pct"/>
            <w:vAlign w:val="center"/>
          </w:tcPr>
          <w:p w14:paraId="31A6E7DD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WDI</w:t>
            </w:r>
          </w:p>
        </w:tc>
      </w:tr>
      <w:tr w:rsidR="007A2ED2" w:rsidRPr="009334D3" w14:paraId="5A999E5A" w14:textId="77777777" w:rsidTr="006B6F6A">
        <w:tc>
          <w:tcPr>
            <w:tcW w:w="782" w:type="pct"/>
            <w:vAlign w:val="center"/>
          </w:tcPr>
          <w:p w14:paraId="5A817BED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9. DPEM</w:t>
            </w:r>
          </w:p>
        </w:tc>
        <w:tc>
          <w:tcPr>
            <w:tcW w:w="1092" w:type="pct"/>
            <w:vAlign w:val="center"/>
          </w:tcPr>
          <w:p w14:paraId="347C1987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  <w:shd w:val="clear" w:color="auto" w:fill="FFFFFF"/>
              </w:rPr>
              <w:t>Damage from Particulate Matter</w:t>
            </w:r>
          </w:p>
        </w:tc>
        <w:tc>
          <w:tcPr>
            <w:tcW w:w="2579" w:type="pct"/>
            <w:vAlign w:val="center"/>
          </w:tcPr>
          <w:p w14:paraId="17EC0F23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  <w:shd w:val="clear" w:color="auto" w:fill="FFFFFF"/>
                <w:lang w:val="vi-VN"/>
              </w:rPr>
              <w:t>Monetary value of health and environmental damage due to exposure to PM2.5 air pollution (% GNI).</w:t>
            </w:r>
          </w:p>
        </w:tc>
        <w:tc>
          <w:tcPr>
            <w:tcW w:w="547" w:type="pct"/>
            <w:vAlign w:val="center"/>
          </w:tcPr>
          <w:p w14:paraId="560D62F1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WDI</w:t>
            </w:r>
          </w:p>
        </w:tc>
      </w:tr>
      <w:tr w:rsidR="007A2ED2" w:rsidRPr="009334D3" w14:paraId="27603566" w14:textId="77777777" w:rsidTr="006B6F6A">
        <w:tc>
          <w:tcPr>
            <w:tcW w:w="782" w:type="pct"/>
            <w:vAlign w:val="center"/>
          </w:tcPr>
          <w:p w14:paraId="525CC4A0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lastRenderedPageBreak/>
              <w:t>10. DFOR</w:t>
            </w:r>
          </w:p>
        </w:tc>
        <w:tc>
          <w:tcPr>
            <w:tcW w:w="1092" w:type="pct"/>
            <w:vAlign w:val="center"/>
          </w:tcPr>
          <w:p w14:paraId="4BF01779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  <w:shd w:val="clear" w:color="auto" w:fill="FFFFFF"/>
              </w:rPr>
              <w:t>Net Forest Depletion</w:t>
            </w:r>
          </w:p>
        </w:tc>
        <w:tc>
          <w:tcPr>
            <w:tcW w:w="2579" w:type="pct"/>
            <w:vAlign w:val="center"/>
          </w:tcPr>
          <w:p w14:paraId="54C165A2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  <w:shd w:val="clear" w:color="auto" w:fill="FFFFFF"/>
                <w:lang w:val="vi-VN"/>
              </w:rPr>
              <w:t>Economic value of forest resource loss associated with deforestation activities (% GNI).</w:t>
            </w:r>
          </w:p>
        </w:tc>
        <w:tc>
          <w:tcPr>
            <w:tcW w:w="547" w:type="pct"/>
            <w:vAlign w:val="center"/>
          </w:tcPr>
          <w:p w14:paraId="1A64C82D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WDI</w:t>
            </w:r>
          </w:p>
        </w:tc>
      </w:tr>
      <w:tr w:rsidR="007A2ED2" w:rsidRPr="009334D3" w14:paraId="17B4FEEB" w14:textId="77777777" w:rsidTr="006B6F6A">
        <w:tc>
          <w:tcPr>
            <w:tcW w:w="782" w:type="pct"/>
            <w:vAlign w:val="center"/>
          </w:tcPr>
          <w:p w14:paraId="30ED55BC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11. DNGY</w:t>
            </w:r>
          </w:p>
        </w:tc>
        <w:tc>
          <w:tcPr>
            <w:tcW w:w="1092" w:type="pct"/>
            <w:vAlign w:val="center"/>
          </w:tcPr>
          <w:p w14:paraId="1BFED24F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  <w:shd w:val="clear" w:color="auto" w:fill="FFFFFF"/>
              </w:rPr>
              <w:t>Energy Resource Depletion</w:t>
            </w:r>
          </w:p>
        </w:tc>
        <w:tc>
          <w:tcPr>
            <w:tcW w:w="2579" w:type="pct"/>
            <w:vAlign w:val="center"/>
          </w:tcPr>
          <w:p w14:paraId="19D6DF58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  <w:shd w:val="clear" w:color="auto" w:fill="FFFFFF"/>
                <w:lang w:val="vi-VN"/>
              </w:rPr>
              <w:t>Value of depletion of energy resources such as oil gas and coal (% GNI).</w:t>
            </w:r>
          </w:p>
        </w:tc>
        <w:tc>
          <w:tcPr>
            <w:tcW w:w="547" w:type="pct"/>
            <w:vAlign w:val="center"/>
          </w:tcPr>
          <w:p w14:paraId="6342E0C0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WDI</w:t>
            </w:r>
          </w:p>
        </w:tc>
      </w:tr>
      <w:tr w:rsidR="007A2ED2" w:rsidRPr="009334D3" w14:paraId="3FA91DA4" w14:textId="77777777" w:rsidTr="006B6F6A">
        <w:tc>
          <w:tcPr>
            <w:tcW w:w="782" w:type="pct"/>
            <w:vAlign w:val="center"/>
          </w:tcPr>
          <w:p w14:paraId="15A436B2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12. DMIN</w:t>
            </w:r>
          </w:p>
        </w:tc>
        <w:tc>
          <w:tcPr>
            <w:tcW w:w="1092" w:type="pct"/>
            <w:vAlign w:val="center"/>
          </w:tcPr>
          <w:p w14:paraId="57D2FC6A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  <w:shd w:val="clear" w:color="auto" w:fill="FFFFFF"/>
              </w:rPr>
              <w:t>Mineral Depletion</w:t>
            </w:r>
          </w:p>
        </w:tc>
        <w:tc>
          <w:tcPr>
            <w:tcW w:w="2579" w:type="pct"/>
            <w:vAlign w:val="center"/>
          </w:tcPr>
          <w:p w14:paraId="542A5FB9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  <w:shd w:val="clear" w:color="auto" w:fill="FFFFFF"/>
                <w:lang w:val="vi-VN"/>
              </w:rPr>
              <w:t>Monetary value of mineral resource extraction and depletion (% GNI).</w:t>
            </w:r>
          </w:p>
        </w:tc>
        <w:tc>
          <w:tcPr>
            <w:tcW w:w="547" w:type="pct"/>
            <w:vAlign w:val="center"/>
          </w:tcPr>
          <w:p w14:paraId="78A727A7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WDI</w:t>
            </w:r>
          </w:p>
        </w:tc>
      </w:tr>
      <w:tr w:rsidR="007A2ED2" w:rsidRPr="009334D3" w14:paraId="3CFA0AF4" w14:textId="77777777" w:rsidTr="006B6F6A">
        <w:tc>
          <w:tcPr>
            <w:tcW w:w="782" w:type="pct"/>
            <w:vAlign w:val="center"/>
          </w:tcPr>
          <w:p w14:paraId="55E2ECAD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13. COMM</w:t>
            </w:r>
          </w:p>
        </w:tc>
        <w:tc>
          <w:tcPr>
            <w:tcW w:w="1092" w:type="pct"/>
            <w:vAlign w:val="center"/>
          </w:tcPr>
          <w:p w14:paraId="7D9E895A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Fossil Fuel Energy Consumption</w:t>
            </w:r>
          </w:p>
        </w:tc>
        <w:tc>
          <w:tcPr>
            <w:tcW w:w="2579" w:type="pct"/>
            <w:vAlign w:val="center"/>
          </w:tcPr>
          <w:p w14:paraId="46084019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  <w:lang w:val="vi-VN"/>
              </w:rPr>
              <w:t>Share of fossil fuel based energy consumption in total energy use (%).</w:t>
            </w:r>
          </w:p>
        </w:tc>
        <w:tc>
          <w:tcPr>
            <w:tcW w:w="547" w:type="pct"/>
            <w:vAlign w:val="center"/>
          </w:tcPr>
          <w:p w14:paraId="458FE968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WDI</w:t>
            </w:r>
          </w:p>
        </w:tc>
      </w:tr>
      <w:tr w:rsidR="007A2ED2" w:rsidRPr="009334D3" w14:paraId="5F901945" w14:textId="77777777" w:rsidTr="006B6F6A">
        <w:tc>
          <w:tcPr>
            <w:tcW w:w="782" w:type="pct"/>
            <w:vAlign w:val="center"/>
          </w:tcPr>
          <w:p w14:paraId="5F831A1D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14. TAX</w:t>
            </w:r>
          </w:p>
        </w:tc>
        <w:tc>
          <w:tcPr>
            <w:tcW w:w="1092" w:type="pct"/>
            <w:vAlign w:val="center"/>
          </w:tcPr>
          <w:p w14:paraId="438DC4D1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  <w:shd w:val="clear" w:color="auto" w:fill="FFFFFF"/>
              </w:rPr>
              <w:t>Environmental Taxes</w:t>
            </w:r>
          </w:p>
        </w:tc>
        <w:tc>
          <w:tcPr>
            <w:tcW w:w="2579" w:type="pct"/>
            <w:vAlign w:val="center"/>
          </w:tcPr>
          <w:p w14:paraId="30C4708D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  <w:shd w:val="clear" w:color="auto" w:fill="FFFFFF"/>
              </w:rPr>
              <w:t>Environmental tax revenue (% of GDP)</w:t>
            </w:r>
          </w:p>
        </w:tc>
        <w:tc>
          <w:tcPr>
            <w:tcW w:w="547" w:type="pct"/>
            <w:vAlign w:val="center"/>
          </w:tcPr>
          <w:p w14:paraId="7B1E96E7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OECD</w:t>
            </w:r>
          </w:p>
        </w:tc>
      </w:tr>
      <w:tr w:rsidR="007A2ED2" w:rsidRPr="009334D3" w14:paraId="6DF48A7F" w14:textId="77777777" w:rsidTr="006B6F6A">
        <w:tc>
          <w:tcPr>
            <w:tcW w:w="782" w:type="pct"/>
            <w:vAlign w:val="center"/>
          </w:tcPr>
          <w:p w14:paraId="362667EC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15. GHG</w:t>
            </w:r>
          </w:p>
        </w:tc>
        <w:tc>
          <w:tcPr>
            <w:tcW w:w="1092" w:type="pct"/>
            <w:vAlign w:val="center"/>
          </w:tcPr>
          <w:p w14:paraId="7A6DAC3C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  <w:lang w:val="en"/>
              </w:rPr>
              <w:t>Total greenhouse gas emissions</w:t>
            </w:r>
          </w:p>
        </w:tc>
        <w:tc>
          <w:tcPr>
            <w:tcW w:w="2579" w:type="pct"/>
            <w:vAlign w:val="center"/>
          </w:tcPr>
          <w:p w14:paraId="5C758264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  <w:lang w:val="vi-VN"/>
              </w:rPr>
              <w:t>Total greenhouse gas emissions including CO2 CH4 N2O and F gases measured in CO2 equivalent.</w:t>
            </w:r>
          </w:p>
        </w:tc>
        <w:tc>
          <w:tcPr>
            <w:tcW w:w="547" w:type="pct"/>
            <w:vAlign w:val="center"/>
          </w:tcPr>
          <w:p w14:paraId="23181544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WDI</w:t>
            </w:r>
          </w:p>
        </w:tc>
      </w:tr>
      <w:tr w:rsidR="007A2ED2" w:rsidRPr="009334D3" w14:paraId="0575E728" w14:textId="77777777" w:rsidTr="006B6F6A">
        <w:tc>
          <w:tcPr>
            <w:tcW w:w="782" w:type="pct"/>
            <w:tcBorders>
              <w:bottom w:val="single" w:sz="4" w:space="0" w:color="auto"/>
            </w:tcBorders>
          </w:tcPr>
          <w:p w14:paraId="59721E33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16. CRNW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09FD724F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  <w:shd w:val="clear" w:color="auto" w:fill="FFFFFF"/>
              </w:rPr>
              <w:t>Renewable Combustibles &amp; Waste</w:t>
            </w:r>
          </w:p>
        </w:tc>
        <w:tc>
          <w:tcPr>
            <w:tcW w:w="2579" w:type="pct"/>
            <w:tcBorders>
              <w:bottom w:val="single" w:sz="4" w:space="0" w:color="auto"/>
            </w:tcBorders>
          </w:tcPr>
          <w:p w14:paraId="5B16E3C4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  <w:shd w:val="clear" w:color="auto" w:fill="FFFFFF"/>
                <w:lang w:val="vi-VN"/>
              </w:rPr>
              <w:t>Percentage of energy derived from renewable combustibles and waste in total energy consumption.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182CB058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WDI</w:t>
            </w:r>
          </w:p>
        </w:tc>
      </w:tr>
      <w:tr w:rsidR="007A2ED2" w:rsidRPr="009334D3" w14:paraId="62D784A0" w14:textId="77777777" w:rsidTr="006B6F6A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17318C13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Style w:val="Strong"/>
                <w:rFonts w:ascii="Helvetica" w:hAnsi="Helvetica"/>
                <w:szCs w:val="24"/>
                <w:shd w:val="clear" w:color="auto" w:fill="FFFFFF"/>
              </w:rPr>
              <w:t>Control Variables</w:t>
            </w:r>
          </w:p>
        </w:tc>
      </w:tr>
      <w:tr w:rsidR="007A2ED2" w:rsidRPr="009334D3" w14:paraId="42AE96B8" w14:textId="77777777" w:rsidTr="006B6F6A">
        <w:tc>
          <w:tcPr>
            <w:tcW w:w="782" w:type="pct"/>
          </w:tcPr>
          <w:p w14:paraId="0107D229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UNE</w:t>
            </w:r>
          </w:p>
        </w:tc>
        <w:tc>
          <w:tcPr>
            <w:tcW w:w="1092" w:type="pct"/>
          </w:tcPr>
          <w:p w14:paraId="24160ED1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  <w:shd w:val="clear" w:color="auto" w:fill="FFFFFF"/>
              </w:rPr>
              <w:t>Unemployment Rate</w:t>
            </w:r>
          </w:p>
        </w:tc>
        <w:tc>
          <w:tcPr>
            <w:tcW w:w="2579" w:type="pct"/>
          </w:tcPr>
          <w:p w14:paraId="7D4329EF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  <w:shd w:val="clear" w:color="auto" w:fill="FFFFFF"/>
                <w:lang w:val="vi-VN"/>
              </w:rPr>
              <w:t>Percentage of the labor force that is unemployed and actively seeking work.</w:t>
            </w:r>
          </w:p>
        </w:tc>
        <w:tc>
          <w:tcPr>
            <w:tcW w:w="547" w:type="pct"/>
          </w:tcPr>
          <w:p w14:paraId="14ACC281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WB</w:t>
            </w:r>
          </w:p>
        </w:tc>
      </w:tr>
      <w:tr w:rsidR="007A2ED2" w:rsidRPr="009334D3" w14:paraId="5B6B9A2C" w14:textId="77777777" w:rsidTr="006B6F6A">
        <w:tc>
          <w:tcPr>
            <w:tcW w:w="782" w:type="pct"/>
          </w:tcPr>
          <w:p w14:paraId="3ED8F21A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INF</w:t>
            </w:r>
          </w:p>
        </w:tc>
        <w:tc>
          <w:tcPr>
            <w:tcW w:w="1092" w:type="pct"/>
          </w:tcPr>
          <w:p w14:paraId="23CCA072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  <w:shd w:val="clear" w:color="auto" w:fill="FFFFFF"/>
              </w:rPr>
              <w:t>Inflation Rate</w:t>
            </w:r>
          </w:p>
        </w:tc>
        <w:tc>
          <w:tcPr>
            <w:tcW w:w="2579" w:type="pct"/>
          </w:tcPr>
          <w:p w14:paraId="7C33F673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  <w:shd w:val="clear" w:color="auto" w:fill="FFFFFF"/>
                <w:lang w:val="vi-VN"/>
              </w:rPr>
              <w:t>Annual percentage change in the Consumer Price Index.</w:t>
            </w:r>
          </w:p>
        </w:tc>
        <w:tc>
          <w:tcPr>
            <w:tcW w:w="547" w:type="pct"/>
          </w:tcPr>
          <w:p w14:paraId="70828D17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WB</w:t>
            </w:r>
          </w:p>
        </w:tc>
      </w:tr>
      <w:tr w:rsidR="007A2ED2" w:rsidRPr="009334D3" w14:paraId="662FE156" w14:textId="77777777" w:rsidTr="006B6F6A">
        <w:tc>
          <w:tcPr>
            <w:tcW w:w="782" w:type="pct"/>
          </w:tcPr>
          <w:p w14:paraId="4A067CB3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UR</w:t>
            </w:r>
          </w:p>
        </w:tc>
        <w:tc>
          <w:tcPr>
            <w:tcW w:w="1092" w:type="pct"/>
          </w:tcPr>
          <w:p w14:paraId="75EABC63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  <w:shd w:val="clear" w:color="auto" w:fill="FFFFFF"/>
              </w:rPr>
              <w:t>Urban Population</w:t>
            </w:r>
          </w:p>
        </w:tc>
        <w:tc>
          <w:tcPr>
            <w:tcW w:w="2579" w:type="pct"/>
          </w:tcPr>
          <w:p w14:paraId="494A083E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  <w:shd w:val="clear" w:color="auto" w:fill="FFFFFF"/>
                <w:lang w:val="vi-VN"/>
              </w:rPr>
              <w:t>Urban population as a share of total population (%).</w:t>
            </w:r>
          </w:p>
        </w:tc>
        <w:tc>
          <w:tcPr>
            <w:tcW w:w="547" w:type="pct"/>
          </w:tcPr>
          <w:p w14:paraId="382B0A1E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WB</w:t>
            </w:r>
          </w:p>
        </w:tc>
      </w:tr>
      <w:tr w:rsidR="007A2ED2" w:rsidRPr="009334D3" w14:paraId="3DF548B2" w14:textId="77777777" w:rsidTr="006B6F6A">
        <w:tc>
          <w:tcPr>
            <w:tcW w:w="782" w:type="pct"/>
          </w:tcPr>
          <w:p w14:paraId="55E4822C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FDI</w:t>
            </w:r>
          </w:p>
        </w:tc>
        <w:tc>
          <w:tcPr>
            <w:tcW w:w="1092" w:type="pct"/>
          </w:tcPr>
          <w:p w14:paraId="3A62BB56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  <w:shd w:val="clear" w:color="auto" w:fill="FFFFFF"/>
              </w:rPr>
              <w:t>Foreign Direct Investment</w:t>
            </w:r>
          </w:p>
        </w:tc>
        <w:tc>
          <w:tcPr>
            <w:tcW w:w="2579" w:type="pct"/>
          </w:tcPr>
          <w:p w14:paraId="78B9948D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  <w:shd w:val="clear" w:color="auto" w:fill="FFFFFF"/>
                <w:lang w:val="vi-VN"/>
              </w:rPr>
              <w:t>Net inflows of foreign direct investment relative to GDP (%).</w:t>
            </w:r>
          </w:p>
        </w:tc>
        <w:tc>
          <w:tcPr>
            <w:tcW w:w="547" w:type="pct"/>
          </w:tcPr>
          <w:p w14:paraId="0284DBEA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WB</w:t>
            </w:r>
          </w:p>
        </w:tc>
      </w:tr>
      <w:tr w:rsidR="007A2ED2" w:rsidRPr="009334D3" w14:paraId="580FDAAC" w14:textId="77777777" w:rsidTr="006B6F6A">
        <w:tc>
          <w:tcPr>
            <w:tcW w:w="782" w:type="pct"/>
            <w:tcBorders>
              <w:bottom w:val="single" w:sz="4" w:space="0" w:color="auto"/>
            </w:tcBorders>
          </w:tcPr>
          <w:p w14:paraId="05F2A059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TRADE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47FE2BFB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  <w:shd w:val="clear" w:color="auto" w:fill="FFFFFF"/>
              </w:rPr>
              <w:t>Trade openness</w:t>
            </w:r>
          </w:p>
        </w:tc>
        <w:tc>
          <w:tcPr>
            <w:tcW w:w="2579" w:type="pct"/>
            <w:tcBorders>
              <w:bottom w:val="single" w:sz="4" w:space="0" w:color="auto"/>
            </w:tcBorders>
          </w:tcPr>
          <w:p w14:paraId="7CEA181E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  <w:shd w:val="clear" w:color="auto" w:fill="FFFFFF"/>
                <w:lang w:val="vi-VN"/>
              </w:rPr>
              <w:t>Ratio of total exports and imports of goods and services to GDP (%).</w:t>
            </w:r>
          </w:p>
        </w:tc>
        <w:tc>
          <w:tcPr>
            <w:tcW w:w="547" w:type="pct"/>
            <w:tcBorders>
              <w:bottom w:val="single" w:sz="4" w:space="0" w:color="auto"/>
            </w:tcBorders>
          </w:tcPr>
          <w:p w14:paraId="3BAC323B" w14:textId="77777777" w:rsidR="007A2ED2" w:rsidRPr="009334D3" w:rsidRDefault="007A2ED2" w:rsidP="006B6F6A">
            <w:pPr>
              <w:pStyle w:val="ds-markdown-paragraph"/>
              <w:spacing w:before="0" w:beforeAutospacing="0" w:after="0" w:afterAutospacing="0" w:line="300" w:lineRule="auto"/>
              <w:rPr>
                <w:rFonts w:ascii="Helvetica" w:eastAsiaTheme="majorEastAsia" w:hAnsi="Helvetica"/>
                <w:b/>
                <w:bCs/>
                <w:szCs w:val="24"/>
              </w:rPr>
            </w:pPr>
            <w:r w:rsidRPr="009334D3">
              <w:rPr>
                <w:rFonts w:ascii="Helvetica" w:hAnsi="Helvetica"/>
                <w:szCs w:val="24"/>
              </w:rPr>
              <w:t>WB</w:t>
            </w:r>
          </w:p>
        </w:tc>
      </w:tr>
    </w:tbl>
    <w:p w14:paraId="7344DF22" w14:textId="77777777" w:rsidR="007A2ED2" w:rsidRPr="009334D3" w:rsidRDefault="007A2ED2" w:rsidP="007A2ED2">
      <w:pPr>
        <w:spacing w:after="0" w:line="300" w:lineRule="auto"/>
        <w:jc w:val="right"/>
        <w:rPr>
          <w:rFonts w:ascii="Helvetica" w:hAnsi="Helvetica" w:cstheme="majorHAnsi"/>
          <w:i/>
          <w:iCs/>
          <w:sz w:val="24"/>
          <w:lang w:val="en-US"/>
        </w:rPr>
      </w:pPr>
      <w:r w:rsidRPr="009334D3">
        <w:rPr>
          <w:rFonts w:ascii="Helvetica" w:hAnsi="Helvetica" w:cstheme="majorHAnsi"/>
          <w:i/>
          <w:iCs/>
          <w:sz w:val="24"/>
        </w:rPr>
        <w:t>Source: Authors’ compilation</w:t>
      </w:r>
    </w:p>
    <w:p w14:paraId="343115B6" w14:textId="77777777" w:rsidR="007A2ED2" w:rsidRPr="009334D3" w:rsidRDefault="007A2ED2" w:rsidP="007A2ED2">
      <w:pPr>
        <w:spacing w:after="0" w:line="360" w:lineRule="auto"/>
        <w:jc w:val="both"/>
        <w:rPr>
          <w:rFonts w:ascii="Helvetica" w:hAnsi="Helvetica" w:cstheme="majorHAnsi"/>
          <w:sz w:val="24"/>
          <w:lang w:val="en-US"/>
        </w:rPr>
        <w:sectPr w:rsidR="007A2ED2" w:rsidRPr="009334D3" w:rsidSect="007A2ED2">
          <w:pgSz w:w="11906" w:h="16838" w:code="9"/>
          <w:pgMar w:top="1134" w:right="1134" w:bottom="1134" w:left="1701" w:header="709" w:footer="709" w:gutter="0"/>
          <w:cols w:space="708"/>
          <w:docGrid w:linePitch="360"/>
        </w:sectPr>
      </w:pPr>
    </w:p>
    <w:p w14:paraId="5F076E7C" w14:textId="77777777" w:rsidR="00C6465A" w:rsidRPr="007A2ED2" w:rsidRDefault="00C6465A">
      <w:pPr>
        <w:rPr>
          <w:lang w:val="en-US"/>
        </w:rPr>
      </w:pPr>
    </w:p>
    <w:sectPr w:rsidR="00C6465A" w:rsidRPr="007A2E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D2"/>
    <w:rsid w:val="000905F0"/>
    <w:rsid w:val="00112C91"/>
    <w:rsid w:val="00242B4F"/>
    <w:rsid w:val="00302F9E"/>
    <w:rsid w:val="004E23CF"/>
    <w:rsid w:val="006D5216"/>
    <w:rsid w:val="007A2ED2"/>
    <w:rsid w:val="009F0C4E"/>
    <w:rsid w:val="00A80498"/>
    <w:rsid w:val="00C52040"/>
    <w:rsid w:val="00C62D14"/>
    <w:rsid w:val="00C6465A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B2132"/>
  <w15:chartTrackingRefBased/>
  <w15:docId w15:val="{143D1330-06CF-4998-B132-C8255841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ED2"/>
    <w:pPr>
      <w:spacing w:after="120" w:line="324" w:lineRule="auto"/>
    </w:pPr>
    <w:rPr>
      <w:rFonts w:ascii="Times New Roman" w:hAnsi="Times New Roman"/>
      <w:sz w:val="26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E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E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ED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ED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ED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ED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ED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ED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ED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E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E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E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E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E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E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7A2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ED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7A2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ED2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7A2E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ED2"/>
    <w:pPr>
      <w:spacing w:after="160" w:line="278" w:lineRule="auto"/>
      <w:ind w:left="720"/>
      <w:contextualSpacing/>
    </w:pPr>
    <w:rPr>
      <w:rFonts w:asciiTheme="minorHAnsi" w:hAnsiTheme="minorHAnsi"/>
      <w:sz w:val="24"/>
      <w:lang w:val="en-IN"/>
    </w:rPr>
  </w:style>
  <w:style w:type="character" w:styleId="IntenseEmphasis">
    <w:name w:val="Intense Emphasis"/>
    <w:basedOn w:val="DefaultParagraphFont"/>
    <w:uiPriority w:val="21"/>
    <w:qFormat/>
    <w:rsid w:val="007A2E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E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ED2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7A2ED2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lang w:val="en-US" w:eastAsia="zh-CN"/>
      <w14:ligatures w14:val="none"/>
    </w:rPr>
  </w:style>
  <w:style w:type="character" w:styleId="Strong">
    <w:name w:val="Strong"/>
    <w:basedOn w:val="DefaultParagraphFont"/>
    <w:uiPriority w:val="22"/>
    <w:qFormat/>
    <w:rsid w:val="007A2ED2"/>
    <w:rPr>
      <w:b/>
      <w:bCs/>
    </w:rPr>
  </w:style>
  <w:style w:type="table" w:styleId="TableGrid">
    <w:name w:val="Table Grid"/>
    <w:basedOn w:val="TableNormal"/>
    <w:uiPriority w:val="39"/>
    <w:qFormat/>
    <w:rsid w:val="007A2ED2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2026-06-29T03:34:00Z</dcterms:created>
  <dcterms:modified xsi:type="dcterms:W3CDTF">2026-06-29T03:34:00Z</dcterms:modified>
</cp:coreProperties>
</file>