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74A2B" w14:textId="77777777" w:rsidR="007A2ED2" w:rsidRPr="009334D3" w:rsidRDefault="007A2ED2" w:rsidP="007A2ED2">
      <w:pPr>
        <w:pStyle w:val="ds-markdown-paragraph"/>
        <w:shd w:val="clear" w:color="auto" w:fill="FFFFFF"/>
        <w:spacing w:before="0" w:beforeAutospacing="0" w:after="0" w:afterAutospacing="0" w:line="300" w:lineRule="auto"/>
        <w:rPr>
          <w:rFonts w:ascii="Helvetica" w:eastAsiaTheme="majorEastAsia" w:hAnsi="Helvetica"/>
          <w:b/>
          <w:bCs/>
        </w:rPr>
      </w:pPr>
      <w:r w:rsidRPr="009334D3">
        <w:rPr>
          <w:rFonts w:ascii="Helvetica" w:eastAsiaTheme="majorEastAsia" w:hAnsi="Helvetica"/>
          <w:b/>
          <w:bCs/>
        </w:rPr>
        <w:t>TABLE I</w:t>
      </w:r>
      <w:r w:rsidRPr="009334D3">
        <w:rPr>
          <w:rFonts w:ascii="Helvetica" w:eastAsiaTheme="majorEastAsia" w:hAnsi="Helvetica"/>
          <w:b/>
          <w:bCs/>
          <w:lang w:val="vi-VN"/>
        </w:rPr>
        <w:t>. CODING AND DATA SOURCES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1"/>
        <w:gridCol w:w="1964"/>
        <w:gridCol w:w="4662"/>
        <w:gridCol w:w="1044"/>
      </w:tblGrid>
      <w:tr w:rsidR="007A2ED2" w:rsidRPr="009334D3" w14:paraId="2F8568A5" w14:textId="77777777" w:rsidTr="006B6F6A"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</w:tcPr>
          <w:p w14:paraId="63F5388C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jc w:val="center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Style w:val="Strong"/>
                <w:rFonts w:ascii="Helvetica" w:hAnsi="Helvetica"/>
                <w:szCs w:val="24"/>
                <w:shd w:val="clear" w:color="auto" w:fill="FFFFFF"/>
              </w:rPr>
              <w:t>Code</w:t>
            </w:r>
          </w:p>
        </w:tc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</w:tcPr>
          <w:p w14:paraId="51874666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jc w:val="center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Style w:val="Strong"/>
                <w:rFonts w:ascii="Helvetica" w:hAnsi="Helvetica"/>
                <w:szCs w:val="24"/>
                <w:shd w:val="clear" w:color="auto" w:fill="FFFFFF"/>
              </w:rPr>
              <w:t>Indicator</w:t>
            </w:r>
          </w:p>
        </w:tc>
        <w:tc>
          <w:tcPr>
            <w:tcW w:w="2579" w:type="pct"/>
            <w:tcBorders>
              <w:top w:val="single" w:sz="4" w:space="0" w:color="auto"/>
              <w:bottom w:val="single" w:sz="4" w:space="0" w:color="auto"/>
            </w:tcBorders>
          </w:tcPr>
          <w:p w14:paraId="4DA49457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jc w:val="center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b/>
                <w:bCs/>
                <w:szCs w:val="24"/>
              </w:rPr>
              <w:t>Measurement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3DDBACEA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jc w:val="center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b/>
                <w:bCs/>
                <w:szCs w:val="24"/>
              </w:rPr>
              <w:t>Source</w:t>
            </w:r>
          </w:p>
        </w:tc>
      </w:tr>
      <w:tr w:rsidR="007A2ED2" w:rsidRPr="009334D3" w14:paraId="72016FA0" w14:textId="77777777" w:rsidTr="006B6F6A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2C0C6167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Style w:val="Strong"/>
                <w:rFonts w:ascii="Helvetica" w:hAnsi="Helvetica"/>
                <w:szCs w:val="24"/>
                <w:shd w:val="clear" w:color="auto" w:fill="FFFFFF"/>
              </w:rPr>
              <w:t>Dependent Variable</w:t>
            </w:r>
          </w:p>
        </w:tc>
      </w:tr>
      <w:tr w:rsidR="007A2ED2" w:rsidRPr="009334D3" w14:paraId="2196CA5D" w14:textId="77777777" w:rsidTr="006B6F6A">
        <w:tc>
          <w:tcPr>
            <w:tcW w:w="782" w:type="pct"/>
            <w:vAlign w:val="center"/>
          </w:tcPr>
          <w:p w14:paraId="3C244AB5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EP</w:t>
            </w:r>
          </w:p>
        </w:tc>
        <w:tc>
          <w:tcPr>
            <w:tcW w:w="1092" w:type="pct"/>
            <w:vAlign w:val="center"/>
          </w:tcPr>
          <w:p w14:paraId="5752C5B6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Economic Prosperity</w:t>
            </w:r>
          </w:p>
        </w:tc>
        <w:tc>
          <w:tcPr>
            <w:tcW w:w="2579" w:type="pct"/>
            <w:vAlign w:val="center"/>
          </w:tcPr>
          <w:p w14:paraId="1D77CDA8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 w:cstheme="majorHAnsi"/>
                <w:szCs w:val="24"/>
                <w:lang w:val="vi-VN"/>
              </w:rPr>
              <w:t>The economic prosperity indicator is coded as 1 for years in which the economic growth rate is higher than the country average, while a value of 0 is assigned to all remaining years</w:t>
            </w:r>
            <w:r w:rsidRPr="009334D3">
              <w:rPr>
                <w:rFonts w:ascii="Helvetica" w:hAnsi="Helvetica" w:cstheme="majorHAnsi"/>
                <w:szCs w:val="24"/>
              </w:rPr>
              <w:t xml:space="preserve">. </w:t>
            </w:r>
          </w:p>
        </w:tc>
        <w:tc>
          <w:tcPr>
            <w:tcW w:w="547" w:type="pct"/>
            <w:vAlign w:val="center"/>
          </w:tcPr>
          <w:p w14:paraId="18196726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Authors</w:t>
            </w:r>
          </w:p>
        </w:tc>
      </w:tr>
      <w:tr w:rsidR="007A2ED2" w:rsidRPr="009334D3" w14:paraId="3851020E" w14:textId="77777777" w:rsidTr="006B6F6A"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30DE160C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ED</w:t>
            </w:r>
          </w:p>
        </w:tc>
        <w:tc>
          <w:tcPr>
            <w:tcW w:w="1092" w:type="pct"/>
            <w:tcBorders>
              <w:bottom w:val="single" w:sz="4" w:space="0" w:color="auto"/>
            </w:tcBorders>
            <w:vAlign w:val="center"/>
          </w:tcPr>
          <w:p w14:paraId="5300900B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Economic Downturn</w:t>
            </w:r>
          </w:p>
        </w:tc>
        <w:tc>
          <w:tcPr>
            <w:tcW w:w="2579" w:type="pct"/>
            <w:tcBorders>
              <w:bottom w:val="single" w:sz="4" w:space="0" w:color="auto"/>
            </w:tcBorders>
            <w:vAlign w:val="center"/>
          </w:tcPr>
          <w:p w14:paraId="57A2CCF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 w:cstheme="majorHAnsi"/>
                <w:szCs w:val="24"/>
                <w:lang w:val="vi-VN"/>
              </w:rPr>
              <w:t>The economic downturn indicator equals 1 when the economic growth rate is negative, and takes the value 0 otherwise</w:t>
            </w:r>
            <w:r w:rsidRPr="009334D3">
              <w:rPr>
                <w:rFonts w:ascii="Helvetica" w:hAnsi="Helvetica" w:cstheme="majorHAnsi"/>
                <w:szCs w:val="24"/>
              </w:rPr>
              <w:t>.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B9EDB55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Authors</w:t>
            </w:r>
          </w:p>
        </w:tc>
      </w:tr>
      <w:tr w:rsidR="007A2ED2" w:rsidRPr="009334D3" w14:paraId="27BF1E64" w14:textId="77777777" w:rsidTr="006B6F6A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16C89314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Style w:val="Strong"/>
                <w:rFonts w:ascii="Helvetica" w:eastAsiaTheme="majorEastAsia" w:hAnsi="Helvetica"/>
                <w:szCs w:val="24"/>
              </w:rPr>
              <w:t>Independent Variables</w:t>
            </w:r>
          </w:p>
        </w:tc>
      </w:tr>
      <w:tr w:rsidR="007A2ED2" w:rsidRPr="009334D3" w14:paraId="4616861A" w14:textId="77777777" w:rsidTr="006B6F6A">
        <w:tc>
          <w:tcPr>
            <w:tcW w:w="782" w:type="pct"/>
          </w:tcPr>
          <w:p w14:paraId="69FD97A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color w:val="000000"/>
                <w:szCs w:val="24"/>
                <w:shd w:val="clear" w:color="auto" w:fill="FFFFFF"/>
              </w:rPr>
              <w:t>GA</w:t>
            </w:r>
          </w:p>
        </w:tc>
        <w:tc>
          <w:tcPr>
            <w:tcW w:w="1092" w:type="pct"/>
          </w:tcPr>
          <w:p w14:paraId="40B0AE46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color w:val="000000"/>
                <w:szCs w:val="24"/>
                <w:shd w:val="clear" w:color="auto" w:fill="FFFFFF"/>
              </w:rPr>
              <w:t>Green Accounting</w:t>
            </w:r>
          </w:p>
        </w:tc>
        <w:tc>
          <w:tcPr>
            <w:tcW w:w="2579" w:type="pct"/>
          </w:tcPr>
          <w:p w14:paraId="551A98E2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color w:val="000000"/>
                <w:szCs w:val="24"/>
                <w:shd w:val="clear" w:color="auto" w:fill="FFFFFF"/>
                <w:lang w:val="vi-VN"/>
              </w:rPr>
              <w:t>Green accounting is measured using a composite index constructed through Principal Component Analysis. Prior to applying PCA, all component variables are standardized to ensure comparability.</w:t>
            </w:r>
          </w:p>
        </w:tc>
        <w:tc>
          <w:tcPr>
            <w:tcW w:w="547" w:type="pct"/>
            <w:vAlign w:val="center"/>
          </w:tcPr>
          <w:p w14:paraId="7867EDB1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Authors</w:t>
            </w:r>
          </w:p>
        </w:tc>
      </w:tr>
      <w:tr w:rsidR="007A2ED2" w:rsidRPr="009334D3" w14:paraId="28B3C226" w14:textId="77777777" w:rsidTr="006B6F6A">
        <w:tc>
          <w:tcPr>
            <w:tcW w:w="782" w:type="pct"/>
            <w:vAlign w:val="center"/>
          </w:tcPr>
          <w:p w14:paraId="69237560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1. FEC</w:t>
            </w:r>
          </w:p>
        </w:tc>
        <w:tc>
          <w:tcPr>
            <w:tcW w:w="1092" w:type="pct"/>
            <w:vAlign w:val="center"/>
          </w:tcPr>
          <w:p w14:paraId="105ACD3A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Renewable Energy</w:t>
            </w:r>
          </w:p>
        </w:tc>
        <w:tc>
          <w:tcPr>
            <w:tcW w:w="2579" w:type="pct"/>
            <w:vAlign w:val="center"/>
          </w:tcPr>
          <w:p w14:paraId="067FEC63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Proportion of renewable energy in total final energy consumption (%).</w:t>
            </w:r>
          </w:p>
        </w:tc>
        <w:tc>
          <w:tcPr>
            <w:tcW w:w="547" w:type="pct"/>
            <w:vAlign w:val="center"/>
          </w:tcPr>
          <w:p w14:paraId="749C3BEC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1E8C2409" w14:textId="77777777" w:rsidTr="006B6F6A">
        <w:tc>
          <w:tcPr>
            <w:tcW w:w="782" w:type="pct"/>
            <w:vAlign w:val="center"/>
          </w:tcPr>
          <w:p w14:paraId="132BF78F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2. ELC</w:t>
            </w:r>
          </w:p>
        </w:tc>
        <w:tc>
          <w:tcPr>
            <w:tcW w:w="1092" w:type="pct"/>
            <w:vAlign w:val="center"/>
          </w:tcPr>
          <w:p w14:paraId="18C4F4EE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Renewable Electricity</w:t>
            </w:r>
          </w:p>
        </w:tc>
        <w:tc>
          <w:tcPr>
            <w:tcW w:w="2579" w:type="pct"/>
            <w:vAlign w:val="center"/>
          </w:tcPr>
          <w:p w14:paraId="56F508FB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Share of electricity generated from renewable sources relative to total electricity production.</w:t>
            </w:r>
          </w:p>
        </w:tc>
        <w:tc>
          <w:tcPr>
            <w:tcW w:w="547" w:type="pct"/>
            <w:vAlign w:val="center"/>
          </w:tcPr>
          <w:p w14:paraId="116659B5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111BB115" w14:textId="77777777" w:rsidTr="006B6F6A">
        <w:tc>
          <w:tcPr>
            <w:tcW w:w="782" w:type="pct"/>
            <w:vAlign w:val="center"/>
          </w:tcPr>
          <w:p w14:paraId="014F385A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3. FRST</w:t>
            </w:r>
          </w:p>
        </w:tc>
        <w:tc>
          <w:tcPr>
            <w:tcW w:w="1092" w:type="pct"/>
            <w:vAlign w:val="center"/>
          </w:tcPr>
          <w:p w14:paraId="57318852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Forest Area Ratio</w:t>
            </w:r>
          </w:p>
        </w:tc>
        <w:tc>
          <w:tcPr>
            <w:tcW w:w="2579" w:type="pct"/>
            <w:vAlign w:val="center"/>
          </w:tcPr>
          <w:p w14:paraId="22479167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Share of forest land including natural and planted forests in total land area (%).</w:t>
            </w:r>
          </w:p>
        </w:tc>
        <w:tc>
          <w:tcPr>
            <w:tcW w:w="547" w:type="pct"/>
            <w:vAlign w:val="center"/>
          </w:tcPr>
          <w:p w14:paraId="2EA1D2AB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68C99536" w14:textId="77777777" w:rsidTr="006B6F6A">
        <w:tc>
          <w:tcPr>
            <w:tcW w:w="782" w:type="pct"/>
            <w:vAlign w:val="center"/>
          </w:tcPr>
          <w:p w14:paraId="6E6526A0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4. TOTL</w:t>
            </w:r>
          </w:p>
        </w:tc>
        <w:tc>
          <w:tcPr>
            <w:tcW w:w="1092" w:type="pct"/>
            <w:vAlign w:val="center"/>
          </w:tcPr>
          <w:p w14:paraId="3987CA93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Total Resource Rents</w:t>
            </w:r>
          </w:p>
        </w:tc>
        <w:tc>
          <w:tcPr>
            <w:tcW w:w="2579" w:type="pct"/>
            <w:vAlign w:val="center"/>
          </w:tcPr>
          <w:p w14:paraId="29734C62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Aggregate rents generated from natural resource extraction relative to gross domestic product (% GDP).</w:t>
            </w:r>
          </w:p>
        </w:tc>
        <w:tc>
          <w:tcPr>
            <w:tcW w:w="547" w:type="pct"/>
            <w:vAlign w:val="center"/>
          </w:tcPr>
          <w:p w14:paraId="4746236B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249D3C1D" w14:textId="77777777" w:rsidTr="006B6F6A">
        <w:tc>
          <w:tcPr>
            <w:tcW w:w="782" w:type="pct"/>
            <w:vAlign w:val="center"/>
          </w:tcPr>
          <w:p w14:paraId="186E348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5. H2O</w:t>
            </w:r>
          </w:p>
        </w:tc>
        <w:tc>
          <w:tcPr>
            <w:tcW w:w="1092" w:type="pct"/>
            <w:vAlign w:val="center"/>
          </w:tcPr>
          <w:p w14:paraId="56E2C955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Freshwater Withdrawals</w:t>
            </w:r>
          </w:p>
        </w:tc>
        <w:tc>
          <w:tcPr>
            <w:tcW w:w="2579" w:type="pct"/>
            <w:vAlign w:val="center"/>
          </w:tcPr>
          <w:p w14:paraId="55529FF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Annual freshwater withdrawals relative to total internal renewable water resources (%).</w:t>
            </w:r>
          </w:p>
        </w:tc>
        <w:tc>
          <w:tcPr>
            <w:tcW w:w="547" w:type="pct"/>
            <w:vAlign w:val="center"/>
          </w:tcPr>
          <w:p w14:paraId="5DD08C24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62423C1D" w14:textId="77777777" w:rsidTr="006B6F6A">
        <w:tc>
          <w:tcPr>
            <w:tcW w:w="782" w:type="pct"/>
            <w:vAlign w:val="center"/>
          </w:tcPr>
          <w:p w14:paraId="3F17E1C1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6. PRIW</w:t>
            </w:r>
          </w:p>
        </w:tc>
        <w:tc>
          <w:tcPr>
            <w:tcW w:w="1092" w:type="pct"/>
            <w:vAlign w:val="center"/>
          </w:tcPr>
          <w:p w14:paraId="123C6BF4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Energy Intensity</w:t>
            </w:r>
          </w:p>
        </w:tc>
        <w:tc>
          <w:tcPr>
            <w:tcW w:w="2579" w:type="pct"/>
            <w:vAlign w:val="center"/>
          </w:tcPr>
          <w:p w14:paraId="33062404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Energy use measured in kilograms of oil equivalent per unit of GDP.</w:t>
            </w:r>
          </w:p>
        </w:tc>
        <w:tc>
          <w:tcPr>
            <w:tcW w:w="547" w:type="pct"/>
            <w:vAlign w:val="center"/>
          </w:tcPr>
          <w:p w14:paraId="0DA08606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50036C05" w14:textId="77777777" w:rsidTr="006B6F6A">
        <w:tc>
          <w:tcPr>
            <w:tcW w:w="782" w:type="pct"/>
            <w:vAlign w:val="center"/>
          </w:tcPr>
          <w:p w14:paraId="22091D9F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7. DCO2</w:t>
            </w:r>
          </w:p>
        </w:tc>
        <w:tc>
          <w:tcPr>
            <w:tcW w:w="1092" w:type="pct"/>
            <w:vAlign w:val="center"/>
          </w:tcPr>
          <w:p w14:paraId="52C2249E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Damage from CO2 Emissions</w:t>
            </w:r>
          </w:p>
        </w:tc>
        <w:tc>
          <w:tcPr>
            <w:tcW w:w="2579" w:type="pct"/>
            <w:vAlign w:val="center"/>
          </w:tcPr>
          <w:p w14:paraId="7D03A2A7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Estimated economic damage caused by carbon dioxide emissions (% GNI).</w:t>
            </w:r>
          </w:p>
        </w:tc>
        <w:tc>
          <w:tcPr>
            <w:tcW w:w="547" w:type="pct"/>
            <w:vAlign w:val="center"/>
          </w:tcPr>
          <w:p w14:paraId="0F83D808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6B19DEB3" w14:textId="77777777" w:rsidTr="006B6F6A">
        <w:tc>
          <w:tcPr>
            <w:tcW w:w="782" w:type="pct"/>
            <w:vAlign w:val="center"/>
          </w:tcPr>
          <w:p w14:paraId="2E53CFB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8. DRES</w:t>
            </w:r>
          </w:p>
        </w:tc>
        <w:tc>
          <w:tcPr>
            <w:tcW w:w="1092" w:type="pct"/>
            <w:vAlign w:val="center"/>
          </w:tcPr>
          <w:p w14:paraId="605549EB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Damage from Resource Extraction</w:t>
            </w:r>
          </w:p>
        </w:tc>
        <w:tc>
          <w:tcPr>
            <w:tcW w:w="2579" w:type="pct"/>
            <w:vAlign w:val="center"/>
          </w:tcPr>
          <w:p w14:paraId="4301A86B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Economic loss resulting from the depletion of natural resources including energy minerals and forests (% GNI).</w:t>
            </w:r>
          </w:p>
        </w:tc>
        <w:tc>
          <w:tcPr>
            <w:tcW w:w="547" w:type="pct"/>
            <w:vAlign w:val="center"/>
          </w:tcPr>
          <w:p w14:paraId="31A6E7D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5A999E5A" w14:textId="77777777" w:rsidTr="006B6F6A">
        <w:tc>
          <w:tcPr>
            <w:tcW w:w="782" w:type="pct"/>
            <w:vAlign w:val="center"/>
          </w:tcPr>
          <w:p w14:paraId="5A817BE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9. DPEM</w:t>
            </w:r>
          </w:p>
        </w:tc>
        <w:tc>
          <w:tcPr>
            <w:tcW w:w="1092" w:type="pct"/>
            <w:vAlign w:val="center"/>
          </w:tcPr>
          <w:p w14:paraId="347C1987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Damage from Particulate Matter</w:t>
            </w:r>
          </w:p>
        </w:tc>
        <w:tc>
          <w:tcPr>
            <w:tcW w:w="2579" w:type="pct"/>
            <w:vAlign w:val="center"/>
          </w:tcPr>
          <w:p w14:paraId="17EC0F23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Monetary value of health and environmental damage due to exposure to PM2.5 air pollution (% GNI).</w:t>
            </w:r>
          </w:p>
        </w:tc>
        <w:tc>
          <w:tcPr>
            <w:tcW w:w="547" w:type="pct"/>
            <w:vAlign w:val="center"/>
          </w:tcPr>
          <w:p w14:paraId="560D62F1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27603566" w14:textId="77777777" w:rsidTr="006B6F6A">
        <w:tc>
          <w:tcPr>
            <w:tcW w:w="782" w:type="pct"/>
            <w:vAlign w:val="center"/>
          </w:tcPr>
          <w:p w14:paraId="525CC4A0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lastRenderedPageBreak/>
              <w:t>10. DFOR</w:t>
            </w:r>
          </w:p>
        </w:tc>
        <w:tc>
          <w:tcPr>
            <w:tcW w:w="1092" w:type="pct"/>
            <w:vAlign w:val="center"/>
          </w:tcPr>
          <w:p w14:paraId="4BF01779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Net Forest Depletion</w:t>
            </w:r>
          </w:p>
        </w:tc>
        <w:tc>
          <w:tcPr>
            <w:tcW w:w="2579" w:type="pct"/>
            <w:vAlign w:val="center"/>
          </w:tcPr>
          <w:p w14:paraId="54C165A2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Economic value of forest resource loss associated with deforestation activities (% GNI).</w:t>
            </w:r>
          </w:p>
        </w:tc>
        <w:tc>
          <w:tcPr>
            <w:tcW w:w="547" w:type="pct"/>
            <w:vAlign w:val="center"/>
          </w:tcPr>
          <w:p w14:paraId="1A64C82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17B4FEEB" w14:textId="77777777" w:rsidTr="006B6F6A">
        <w:tc>
          <w:tcPr>
            <w:tcW w:w="782" w:type="pct"/>
            <w:vAlign w:val="center"/>
          </w:tcPr>
          <w:p w14:paraId="30ED55BC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11. DNGY</w:t>
            </w:r>
          </w:p>
        </w:tc>
        <w:tc>
          <w:tcPr>
            <w:tcW w:w="1092" w:type="pct"/>
            <w:vAlign w:val="center"/>
          </w:tcPr>
          <w:p w14:paraId="1BFED24F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Energy Resource Depletion</w:t>
            </w:r>
          </w:p>
        </w:tc>
        <w:tc>
          <w:tcPr>
            <w:tcW w:w="2579" w:type="pct"/>
            <w:vAlign w:val="center"/>
          </w:tcPr>
          <w:p w14:paraId="19D6DF58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Value of depletion of energy resources such as oil gas and coal (% GNI).</w:t>
            </w:r>
          </w:p>
        </w:tc>
        <w:tc>
          <w:tcPr>
            <w:tcW w:w="547" w:type="pct"/>
            <w:vAlign w:val="center"/>
          </w:tcPr>
          <w:p w14:paraId="6342E0C0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3FA91DA4" w14:textId="77777777" w:rsidTr="006B6F6A">
        <w:tc>
          <w:tcPr>
            <w:tcW w:w="782" w:type="pct"/>
            <w:vAlign w:val="center"/>
          </w:tcPr>
          <w:p w14:paraId="15A436B2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12. DMIN</w:t>
            </w:r>
          </w:p>
        </w:tc>
        <w:tc>
          <w:tcPr>
            <w:tcW w:w="1092" w:type="pct"/>
            <w:vAlign w:val="center"/>
          </w:tcPr>
          <w:p w14:paraId="57D2FC6A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Mineral Depletion</w:t>
            </w:r>
          </w:p>
        </w:tc>
        <w:tc>
          <w:tcPr>
            <w:tcW w:w="2579" w:type="pct"/>
            <w:vAlign w:val="center"/>
          </w:tcPr>
          <w:p w14:paraId="542A5FB9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Monetary value of mineral resource extraction and depletion (% GNI).</w:t>
            </w:r>
          </w:p>
        </w:tc>
        <w:tc>
          <w:tcPr>
            <w:tcW w:w="547" w:type="pct"/>
            <w:vAlign w:val="center"/>
          </w:tcPr>
          <w:p w14:paraId="78A727A7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3CFA0AF4" w14:textId="77777777" w:rsidTr="006B6F6A">
        <w:tc>
          <w:tcPr>
            <w:tcW w:w="782" w:type="pct"/>
            <w:vAlign w:val="center"/>
          </w:tcPr>
          <w:p w14:paraId="55E2ECA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13. COMM</w:t>
            </w:r>
          </w:p>
        </w:tc>
        <w:tc>
          <w:tcPr>
            <w:tcW w:w="1092" w:type="pct"/>
            <w:vAlign w:val="center"/>
          </w:tcPr>
          <w:p w14:paraId="7D9E895A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Fossil Fuel Energy Consumption</w:t>
            </w:r>
          </w:p>
        </w:tc>
        <w:tc>
          <w:tcPr>
            <w:tcW w:w="2579" w:type="pct"/>
            <w:vAlign w:val="center"/>
          </w:tcPr>
          <w:p w14:paraId="46084019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lang w:val="vi-VN"/>
              </w:rPr>
              <w:t>Share of fossil fuel based energy consumption in total energy use (%).</w:t>
            </w:r>
          </w:p>
        </w:tc>
        <w:tc>
          <w:tcPr>
            <w:tcW w:w="547" w:type="pct"/>
            <w:vAlign w:val="center"/>
          </w:tcPr>
          <w:p w14:paraId="458FE968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5F901945" w14:textId="77777777" w:rsidTr="006B6F6A">
        <w:tc>
          <w:tcPr>
            <w:tcW w:w="782" w:type="pct"/>
            <w:vAlign w:val="center"/>
          </w:tcPr>
          <w:p w14:paraId="5F831A1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14. TAX</w:t>
            </w:r>
          </w:p>
        </w:tc>
        <w:tc>
          <w:tcPr>
            <w:tcW w:w="1092" w:type="pct"/>
            <w:vAlign w:val="center"/>
          </w:tcPr>
          <w:p w14:paraId="438DC4D1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Environmental Taxes</w:t>
            </w:r>
          </w:p>
        </w:tc>
        <w:tc>
          <w:tcPr>
            <w:tcW w:w="2579" w:type="pct"/>
            <w:vAlign w:val="center"/>
          </w:tcPr>
          <w:p w14:paraId="30C4708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Environmental tax revenue (% of GDP)</w:t>
            </w:r>
          </w:p>
        </w:tc>
        <w:tc>
          <w:tcPr>
            <w:tcW w:w="547" w:type="pct"/>
            <w:vAlign w:val="center"/>
          </w:tcPr>
          <w:p w14:paraId="7B1E96E7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OECD</w:t>
            </w:r>
          </w:p>
        </w:tc>
      </w:tr>
      <w:tr w:rsidR="007A2ED2" w:rsidRPr="009334D3" w14:paraId="6DF48A7F" w14:textId="77777777" w:rsidTr="006B6F6A">
        <w:tc>
          <w:tcPr>
            <w:tcW w:w="782" w:type="pct"/>
            <w:vAlign w:val="center"/>
          </w:tcPr>
          <w:p w14:paraId="362667EC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15. GHG</w:t>
            </w:r>
          </w:p>
        </w:tc>
        <w:tc>
          <w:tcPr>
            <w:tcW w:w="1092" w:type="pct"/>
            <w:vAlign w:val="center"/>
          </w:tcPr>
          <w:p w14:paraId="7A6DAC3C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lang w:val="en"/>
              </w:rPr>
              <w:t>Total greenhouse gas emissions</w:t>
            </w:r>
          </w:p>
        </w:tc>
        <w:tc>
          <w:tcPr>
            <w:tcW w:w="2579" w:type="pct"/>
            <w:vAlign w:val="center"/>
          </w:tcPr>
          <w:p w14:paraId="5C758264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lang w:val="vi-VN"/>
              </w:rPr>
              <w:t>Total greenhouse gas emissions including CO2 CH4 N2O and F gases measured in CO2 equivalent.</w:t>
            </w:r>
          </w:p>
        </w:tc>
        <w:tc>
          <w:tcPr>
            <w:tcW w:w="547" w:type="pct"/>
            <w:vAlign w:val="center"/>
          </w:tcPr>
          <w:p w14:paraId="23181544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0575E728" w14:textId="77777777" w:rsidTr="006B6F6A">
        <w:tc>
          <w:tcPr>
            <w:tcW w:w="782" w:type="pct"/>
            <w:tcBorders>
              <w:bottom w:val="single" w:sz="4" w:space="0" w:color="auto"/>
            </w:tcBorders>
          </w:tcPr>
          <w:p w14:paraId="59721E33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16. CRNW</w:t>
            </w: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09FD724F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Renewable Combustibles &amp; Waste</w:t>
            </w:r>
          </w:p>
        </w:tc>
        <w:tc>
          <w:tcPr>
            <w:tcW w:w="2579" w:type="pct"/>
            <w:tcBorders>
              <w:bottom w:val="single" w:sz="4" w:space="0" w:color="auto"/>
            </w:tcBorders>
          </w:tcPr>
          <w:p w14:paraId="5B16E3C4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Percentage of energy derived from renewable combustibles and waste in total energy consumption.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82CB058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WDI</w:t>
            </w:r>
          </w:p>
        </w:tc>
      </w:tr>
      <w:tr w:rsidR="007A2ED2" w:rsidRPr="009334D3" w14:paraId="62D784A0" w14:textId="77777777" w:rsidTr="006B6F6A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17318C13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Style w:val="Strong"/>
                <w:rFonts w:ascii="Helvetica" w:hAnsi="Helvetica"/>
                <w:szCs w:val="24"/>
                <w:shd w:val="clear" w:color="auto" w:fill="FFFFFF"/>
              </w:rPr>
              <w:t>Control Variables</w:t>
            </w:r>
          </w:p>
        </w:tc>
      </w:tr>
      <w:tr w:rsidR="007A2ED2" w:rsidRPr="009334D3" w14:paraId="42AE96B8" w14:textId="77777777" w:rsidTr="006B6F6A">
        <w:tc>
          <w:tcPr>
            <w:tcW w:w="782" w:type="pct"/>
          </w:tcPr>
          <w:p w14:paraId="0107D229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UNE</w:t>
            </w:r>
          </w:p>
        </w:tc>
        <w:tc>
          <w:tcPr>
            <w:tcW w:w="1092" w:type="pct"/>
          </w:tcPr>
          <w:p w14:paraId="24160ED1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Unemployment Rate</w:t>
            </w:r>
          </w:p>
        </w:tc>
        <w:tc>
          <w:tcPr>
            <w:tcW w:w="2579" w:type="pct"/>
          </w:tcPr>
          <w:p w14:paraId="7D4329EF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Percentage of the labor force that is unemployed and actively seeking work.</w:t>
            </w:r>
          </w:p>
        </w:tc>
        <w:tc>
          <w:tcPr>
            <w:tcW w:w="547" w:type="pct"/>
          </w:tcPr>
          <w:p w14:paraId="14ACC281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WB</w:t>
            </w:r>
          </w:p>
        </w:tc>
      </w:tr>
      <w:tr w:rsidR="007A2ED2" w:rsidRPr="009334D3" w14:paraId="5B6B9A2C" w14:textId="77777777" w:rsidTr="006B6F6A">
        <w:tc>
          <w:tcPr>
            <w:tcW w:w="782" w:type="pct"/>
          </w:tcPr>
          <w:p w14:paraId="3ED8F21A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INF</w:t>
            </w:r>
          </w:p>
        </w:tc>
        <w:tc>
          <w:tcPr>
            <w:tcW w:w="1092" w:type="pct"/>
          </w:tcPr>
          <w:p w14:paraId="23CCA072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Inflation Rate</w:t>
            </w:r>
          </w:p>
        </w:tc>
        <w:tc>
          <w:tcPr>
            <w:tcW w:w="2579" w:type="pct"/>
          </w:tcPr>
          <w:p w14:paraId="7C33F673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Annual percentage change in the Consumer Price Index.</w:t>
            </w:r>
          </w:p>
        </w:tc>
        <w:tc>
          <w:tcPr>
            <w:tcW w:w="547" w:type="pct"/>
          </w:tcPr>
          <w:p w14:paraId="70828D17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WB</w:t>
            </w:r>
          </w:p>
        </w:tc>
      </w:tr>
      <w:tr w:rsidR="007A2ED2" w:rsidRPr="009334D3" w14:paraId="662FE156" w14:textId="77777777" w:rsidTr="006B6F6A">
        <w:tc>
          <w:tcPr>
            <w:tcW w:w="782" w:type="pct"/>
          </w:tcPr>
          <w:p w14:paraId="4A067CB3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UR</w:t>
            </w:r>
          </w:p>
        </w:tc>
        <w:tc>
          <w:tcPr>
            <w:tcW w:w="1092" w:type="pct"/>
          </w:tcPr>
          <w:p w14:paraId="75EABC63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Urban Population</w:t>
            </w:r>
          </w:p>
        </w:tc>
        <w:tc>
          <w:tcPr>
            <w:tcW w:w="2579" w:type="pct"/>
          </w:tcPr>
          <w:p w14:paraId="494A083E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Urban population as a share of total population (%).</w:t>
            </w:r>
          </w:p>
        </w:tc>
        <w:tc>
          <w:tcPr>
            <w:tcW w:w="547" w:type="pct"/>
          </w:tcPr>
          <w:p w14:paraId="382B0A1E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WB</w:t>
            </w:r>
          </w:p>
        </w:tc>
      </w:tr>
      <w:tr w:rsidR="007A2ED2" w:rsidRPr="009334D3" w14:paraId="3DF548B2" w14:textId="77777777" w:rsidTr="006B6F6A">
        <w:tc>
          <w:tcPr>
            <w:tcW w:w="782" w:type="pct"/>
          </w:tcPr>
          <w:p w14:paraId="55E4822C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FDI</w:t>
            </w:r>
          </w:p>
        </w:tc>
        <w:tc>
          <w:tcPr>
            <w:tcW w:w="1092" w:type="pct"/>
          </w:tcPr>
          <w:p w14:paraId="3A62BB56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Foreign Direct Investment</w:t>
            </w:r>
          </w:p>
        </w:tc>
        <w:tc>
          <w:tcPr>
            <w:tcW w:w="2579" w:type="pct"/>
          </w:tcPr>
          <w:p w14:paraId="78B9948D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Net inflows of foreign direct investment relative to GDP (%).</w:t>
            </w:r>
          </w:p>
        </w:tc>
        <w:tc>
          <w:tcPr>
            <w:tcW w:w="547" w:type="pct"/>
          </w:tcPr>
          <w:p w14:paraId="0284DBEA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WB</w:t>
            </w:r>
          </w:p>
        </w:tc>
      </w:tr>
      <w:tr w:rsidR="007A2ED2" w:rsidRPr="009334D3" w14:paraId="580FDAAC" w14:textId="77777777" w:rsidTr="006B6F6A">
        <w:tc>
          <w:tcPr>
            <w:tcW w:w="782" w:type="pct"/>
            <w:tcBorders>
              <w:bottom w:val="single" w:sz="4" w:space="0" w:color="auto"/>
            </w:tcBorders>
          </w:tcPr>
          <w:p w14:paraId="05F2A059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TRADE</w:t>
            </w: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47FE2BFB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</w:rPr>
              <w:t>Trade openness</w:t>
            </w:r>
          </w:p>
        </w:tc>
        <w:tc>
          <w:tcPr>
            <w:tcW w:w="2579" w:type="pct"/>
            <w:tcBorders>
              <w:bottom w:val="single" w:sz="4" w:space="0" w:color="auto"/>
            </w:tcBorders>
          </w:tcPr>
          <w:p w14:paraId="7CEA181E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  <w:shd w:val="clear" w:color="auto" w:fill="FFFFFF"/>
                <w:lang w:val="vi-VN"/>
              </w:rPr>
              <w:t>Ratio of total exports and imports of goods and services to GDP (%).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3BAC323B" w14:textId="77777777" w:rsidR="007A2ED2" w:rsidRPr="009334D3" w:rsidRDefault="007A2ED2" w:rsidP="006B6F6A">
            <w:pPr>
              <w:pStyle w:val="ds-markdown-paragraph"/>
              <w:spacing w:before="0" w:beforeAutospacing="0" w:after="0" w:afterAutospacing="0" w:line="300" w:lineRule="auto"/>
              <w:rPr>
                <w:rFonts w:ascii="Helvetica" w:eastAsiaTheme="majorEastAsia" w:hAnsi="Helvetica"/>
                <w:b/>
                <w:bCs/>
                <w:szCs w:val="24"/>
              </w:rPr>
            </w:pPr>
            <w:r w:rsidRPr="009334D3">
              <w:rPr>
                <w:rFonts w:ascii="Helvetica" w:hAnsi="Helvetica"/>
                <w:szCs w:val="24"/>
              </w:rPr>
              <w:t>WB</w:t>
            </w:r>
          </w:p>
        </w:tc>
      </w:tr>
    </w:tbl>
    <w:p w14:paraId="7344DF22" w14:textId="77777777" w:rsidR="007A2ED2" w:rsidRPr="009334D3" w:rsidRDefault="007A2ED2" w:rsidP="007A2ED2">
      <w:pPr>
        <w:spacing w:after="0" w:line="300" w:lineRule="auto"/>
        <w:jc w:val="right"/>
        <w:rPr>
          <w:rFonts w:ascii="Helvetica" w:hAnsi="Helvetica" w:cstheme="majorHAnsi"/>
          <w:i/>
          <w:iCs/>
          <w:sz w:val="24"/>
          <w:lang w:val="en-US"/>
        </w:rPr>
      </w:pPr>
      <w:r w:rsidRPr="009334D3">
        <w:rPr>
          <w:rFonts w:ascii="Helvetica" w:hAnsi="Helvetica" w:cstheme="majorHAnsi"/>
          <w:i/>
          <w:iCs/>
          <w:sz w:val="24"/>
        </w:rPr>
        <w:t>Source: Authors’ compilation</w:t>
      </w:r>
    </w:p>
    <w:p w14:paraId="343115B6" w14:textId="77777777" w:rsidR="007A2ED2" w:rsidRPr="009334D3" w:rsidRDefault="007A2ED2" w:rsidP="007A2ED2">
      <w:pPr>
        <w:spacing w:after="0" w:line="360" w:lineRule="auto"/>
        <w:jc w:val="both"/>
        <w:rPr>
          <w:rFonts w:ascii="Helvetica" w:hAnsi="Helvetica" w:cstheme="majorHAnsi"/>
          <w:sz w:val="24"/>
          <w:lang w:val="en-US"/>
        </w:rPr>
        <w:sectPr w:rsidR="007A2ED2" w:rsidRPr="009334D3" w:rsidSect="007A2ED2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14:paraId="5F076E7C" w14:textId="77777777" w:rsidR="00C6465A" w:rsidRPr="007A2ED2" w:rsidRDefault="00C6465A">
      <w:pPr>
        <w:rPr>
          <w:lang w:val="en-US"/>
        </w:rPr>
      </w:pPr>
    </w:p>
    <w:sectPr w:rsidR="00C6465A" w:rsidRPr="007A2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D2"/>
    <w:rsid w:val="000905F0"/>
    <w:rsid w:val="00112C91"/>
    <w:rsid w:val="00242B4F"/>
    <w:rsid w:val="00302F9E"/>
    <w:rsid w:val="004E23CF"/>
    <w:rsid w:val="006D5216"/>
    <w:rsid w:val="007A2ED2"/>
    <w:rsid w:val="009F0C4E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B2132"/>
  <w15:chartTrackingRefBased/>
  <w15:docId w15:val="{143D1330-06CF-4998-B132-C8255841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ED2"/>
    <w:pPr>
      <w:spacing w:after="120" w:line="324" w:lineRule="auto"/>
    </w:pPr>
    <w:rPr>
      <w:rFonts w:ascii="Times New Roman" w:hAnsi="Times New Roman"/>
      <w:sz w:val="26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E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E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E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ED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ED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ED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ED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A2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E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A2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ED2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A2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ED2"/>
    <w:pPr>
      <w:spacing w:after="160" w:line="278" w:lineRule="auto"/>
      <w:ind w:left="720"/>
      <w:contextualSpacing/>
    </w:pPr>
    <w:rPr>
      <w:rFonts w:asciiTheme="minorHAnsi" w:hAnsiTheme="minorHAnsi"/>
      <w:sz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7A2E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E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ED2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7A2ED2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lang w:val="en-US"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7A2ED2"/>
    <w:rPr>
      <w:b/>
      <w:bCs/>
    </w:rPr>
  </w:style>
  <w:style w:type="table" w:styleId="TableGrid">
    <w:name w:val="Table Grid"/>
    <w:basedOn w:val="TableNormal"/>
    <w:uiPriority w:val="39"/>
    <w:qFormat/>
    <w:rsid w:val="007A2ED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2026-06-29T03:34:00Z</dcterms:created>
  <dcterms:modified xsi:type="dcterms:W3CDTF">2026-06-29T03:34:00Z</dcterms:modified>
</cp:coreProperties>
</file>