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4202F" w14:textId="77777777" w:rsidR="00A36575" w:rsidRPr="00307043" w:rsidRDefault="00A36575" w:rsidP="00A36575">
      <w:pPr>
        <w:spacing w:line="360" w:lineRule="auto"/>
        <w:rPr>
          <w:rFonts w:ascii="Times New Roman" w:eastAsia="Times New Roman" w:hAnsi="Times New Roman" w:cs="Times New Roman"/>
          <w:b/>
          <w:bCs/>
          <w:lang w:val="en-US"/>
        </w:rPr>
      </w:pPr>
      <w:r w:rsidRPr="00307043">
        <w:rPr>
          <w:rFonts w:ascii="Times New Roman" w:eastAsia="Times New Roman" w:hAnsi="Times New Roman" w:cs="Times New Roman"/>
          <w:b/>
          <w:bCs/>
          <w:lang w:val="en-US"/>
        </w:rPr>
        <w:t>Supplementary Table 1. </w:t>
      </w:r>
      <w:r w:rsidRPr="00307043">
        <w:rPr>
          <w:rFonts w:ascii="Times New Roman" w:eastAsia="Times New Roman" w:hAnsi="Times New Roman" w:cs="Times New Roman"/>
          <w:lang w:val="en-US"/>
        </w:rPr>
        <w:t>Level of evidence tiers from different documents. </w:t>
      </w:r>
    </w:p>
    <w:tbl>
      <w:tblPr>
        <w:tblW w:w="0" w:type="dxa"/>
        <w:tblBorders>
          <w:top w:val="outset" w:sz="6" w:space="0" w:color="auto"/>
          <w:left w:val="outset" w:sz="6" w:space="0" w:color="auto"/>
          <w:bottom w:val="outset" w:sz="6" w:space="0" w:color="auto"/>
          <w:right w:val="outset" w:sz="6" w:space="0" w:color="auto"/>
        </w:tblBorders>
        <w:tblCellMar>
          <w:top w:w="28" w:type="dxa"/>
          <w:left w:w="85" w:type="dxa"/>
          <w:bottom w:w="28" w:type="dxa"/>
          <w:right w:w="85" w:type="dxa"/>
        </w:tblCellMar>
        <w:tblLook w:val="04A0" w:firstRow="1" w:lastRow="0" w:firstColumn="1" w:lastColumn="0" w:noHBand="0" w:noVBand="1"/>
      </w:tblPr>
      <w:tblGrid>
        <w:gridCol w:w="4587"/>
        <w:gridCol w:w="4423"/>
      </w:tblGrid>
      <w:tr w:rsidR="00307043" w:rsidRPr="00307043" w14:paraId="28DB9488" w14:textId="77777777" w:rsidTr="00A36575">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F2F2F2"/>
            <w:hideMark/>
          </w:tcPr>
          <w:p w14:paraId="1653508B" w14:textId="77777777" w:rsidR="00A36575" w:rsidRPr="00307043" w:rsidRDefault="00A36575" w:rsidP="00A36575">
            <w:pPr>
              <w:spacing w:before="36" w:after="36"/>
              <w:rPr>
                <w:rFonts w:ascii="Times New Roman" w:eastAsia="Times New Roman" w:hAnsi="Times New Roman" w:cs="Times New Roman"/>
                <w:b/>
                <w:bCs/>
                <w:sz w:val="20"/>
                <w:szCs w:val="20"/>
                <w:lang w:val="en-US"/>
              </w:rPr>
            </w:pPr>
            <w:r w:rsidRPr="00307043">
              <w:rPr>
                <w:rFonts w:ascii="Times New Roman" w:eastAsia="Times New Roman" w:hAnsi="Times New Roman" w:cs="Times New Roman"/>
                <w:b/>
                <w:bCs/>
                <w:sz w:val="20"/>
                <w:szCs w:val="20"/>
                <w:lang w:val="en-US"/>
              </w:rPr>
              <w:t>Level of evidence  </w:t>
            </w:r>
          </w:p>
        </w:tc>
        <w:tc>
          <w:tcPr>
            <w:tcW w:w="4815" w:type="dxa"/>
            <w:tcBorders>
              <w:top w:val="single" w:sz="6" w:space="0" w:color="auto"/>
              <w:left w:val="single" w:sz="6" w:space="0" w:color="auto"/>
              <w:bottom w:val="single" w:sz="6" w:space="0" w:color="auto"/>
              <w:right w:val="single" w:sz="6" w:space="0" w:color="auto"/>
            </w:tcBorders>
            <w:shd w:val="clear" w:color="auto" w:fill="F2F2F2"/>
            <w:hideMark/>
          </w:tcPr>
          <w:p w14:paraId="15459115" w14:textId="77777777" w:rsidR="00A36575" w:rsidRPr="00307043" w:rsidRDefault="00A36575" w:rsidP="00A36575">
            <w:pPr>
              <w:spacing w:before="36" w:after="36"/>
              <w:rPr>
                <w:rFonts w:ascii="Times New Roman" w:eastAsia="Times New Roman" w:hAnsi="Times New Roman" w:cs="Times New Roman"/>
                <w:b/>
                <w:bCs/>
                <w:sz w:val="20"/>
                <w:szCs w:val="20"/>
                <w:lang w:val="en-US"/>
              </w:rPr>
            </w:pPr>
            <w:r w:rsidRPr="00307043">
              <w:rPr>
                <w:rFonts w:ascii="Times New Roman" w:eastAsia="Times New Roman" w:hAnsi="Times New Roman" w:cs="Times New Roman"/>
                <w:b/>
                <w:bCs/>
                <w:sz w:val="20"/>
                <w:szCs w:val="20"/>
                <w:lang w:val="en-US"/>
              </w:rPr>
              <w:t>Description </w:t>
            </w:r>
          </w:p>
        </w:tc>
      </w:tr>
      <w:tr w:rsidR="00307043" w:rsidRPr="00307043" w14:paraId="4910829F" w14:textId="77777777" w:rsidTr="00A36575">
        <w:trPr>
          <w:trHeight w:val="300"/>
        </w:trPr>
        <w:tc>
          <w:tcPr>
            <w:tcW w:w="4815" w:type="dxa"/>
            <w:tcBorders>
              <w:top w:val="single" w:sz="6" w:space="0" w:color="auto"/>
              <w:left w:val="single" w:sz="6" w:space="0" w:color="auto"/>
              <w:bottom w:val="single" w:sz="6" w:space="0" w:color="auto"/>
              <w:right w:val="single" w:sz="6" w:space="0" w:color="auto"/>
            </w:tcBorders>
            <w:hideMark/>
          </w:tcPr>
          <w:p w14:paraId="0ADDE297" w14:textId="77777777" w:rsidR="00A36575" w:rsidRPr="00307043" w:rsidRDefault="00A36575" w:rsidP="00A36575">
            <w:pPr>
              <w:spacing w:before="36" w:after="36"/>
              <w:rPr>
                <w:rFonts w:ascii="Times New Roman" w:eastAsia="Times New Roman" w:hAnsi="Times New Roman" w:cs="Times New Roman"/>
                <w:b/>
                <w:bCs/>
                <w:sz w:val="20"/>
                <w:szCs w:val="20"/>
                <w:lang w:val="en-US"/>
              </w:rPr>
            </w:pPr>
            <w:r w:rsidRPr="00307043">
              <w:rPr>
                <w:rFonts w:ascii="Times New Roman" w:eastAsia="Times New Roman" w:hAnsi="Times New Roman" w:cs="Times New Roman"/>
                <w:b/>
                <w:bCs/>
                <w:sz w:val="20"/>
                <w:szCs w:val="20"/>
                <w:lang w:val="en-US"/>
              </w:rPr>
              <w:t>First tier (Tier 1) </w:t>
            </w:r>
          </w:p>
          <w:p w14:paraId="7D4A6706" w14:textId="77777777" w:rsidR="00A36575" w:rsidRPr="00307043" w:rsidRDefault="00A36575" w:rsidP="00A36575">
            <w:pPr>
              <w:numPr>
                <w:ilvl w:val="0"/>
                <w:numId w:val="1"/>
              </w:num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Level A </w:t>
            </w:r>
          </w:p>
          <w:p w14:paraId="2A5F4129" w14:textId="77777777" w:rsidR="00A36575" w:rsidRPr="00307043" w:rsidRDefault="00A36575" w:rsidP="00A36575">
            <w:pPr>
              <w:numPr>
                <w:ilvl w:val="0"/>
                <w:numId w:val="2"/>
              </w:num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High/Strong recommendation </w:t>
            </w:r>
          </w:p>
          <w:p w14:paraId="23539A63" w14:textId="77777777" w:rsidR="00A36575" w:rsidRPr="00307043" w:rsidRDefault="00A36575" w:rsidP="00A36575">
            <w:pPr>
              <w:numPr>
                <w:ilvl w:val="0"/>
                <w:numId w:val="3"/>
              </w:num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1a/1b </w:t>
            </w:r>
          </w:p>
          <w:p w14:paraId="59568F4C" w14:textId="77777777" w:rsidR="00A36575" w:rsidRPr="00307043" w:rsidRDefault="00A36575" w:rsidP="00A36575">
            <w:pPr>
              <w:numPr>
                <w:ilvl w:val="0"/>
                <w:numId w:val="4"/>
              </w:numPr>
              <w:spacing w:before="36" w:after="36"/>
              <w:rPr>
                <w:rFonts w:ascii="Times New Roman" w:eastAsia="Times New Roman" w:hAnsi="Times New Roman" w:cs="Times New Roman"/>
                <w:b/>
                <w:bCs/>
                <w:sz w:val="20"/>
                <w:szCs w:val="20"/>
                <w:lang w:val="en-US"/>
              </w:rPr>
            </w:pPr>
            <w:r w:rsidRPr="00307043">
              <w:rPr>
                <w:rFonts w:ascii="Times New Roman" w:eastAsia="Times New Roman" w:hAnsi="Times New Roman" w:cs="Times New Roman"/>
                <w:sz w:val="20"/>
                <w:szCs w:val="20"/>
                <w:lang w:val="en-US"/>
              </w:rPr>
              <w:t>Level I</w:t>
            </w:r>
            <w:r w:rsidRPr="00307043">
              <w:rPr>
                <w:rFonts w:ascii="Times New Roman" w:eastAsia="Times New Roman" w:hAnsi="Times New Roman" w:cs="Times New Roman"/>
                <w:b/>
                <w:bCs/>
                <w:sz w:val="20"/>
                <w:szCs w:val="20"/>
                <w:lang w:val="en-US"/>
              </w:rPr>
              <w:t> </w:t>
            </w:r>
          </w:p>
        </w:tc>
        <w:tc>
          <w:tcPr>
            <w:tcW w:w="4815" w:type="dxa"/>
            <w:tcBorders>
              <w:top w:val="single" w:sz="6" w:space="0" w:color="auto"/>
              <w:left w:val="single" w:sz="6" w:space="0" w:color="auto"/>
              <w:bottom w:val="single" w:sz="6" w:space="0" w:color="auto"/>
              <w:right w:val="single" w:sz="6" w:space="0" w:color="auto"/>
            </w:tcBorders>
            <w:hideMark/>
          </w:tcPr>
          <w:p w14:paraId="68C42D73" w14:textId="77777777" w:rsidR="00A36575" w:rsidRPr="00307043" w:rsidRDefault="00A36575" w:rsidP="00A36575">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Data are sourced from multiple RCTs (highest level of evidence) or meta-analyses. When 1b is addressed, it is still coming from RCTs, but they may have narrower confidence intervals. Further research would be unlikely to change the estimate of the effect. </w:t>
            </w:r>
          </w:p>
        </w:tc>
      </w:tr>
      <w:tr w:rsidR="00307043" w:rsidRPr="00307043" w14:paraId="5411AD0A" w14:textId="77777777" w:rsidTr="00A36575">
        <w:trPr>
          <w:trHeight w:val="300"/>
        </w:trPr>
        <w:tc>
          <w:tcPr>
            <w:tcW w:w="4815" w:type="dxa"/>
            <w:tcBorders>
              <w:top w:val="single" w:sz="6" w:space="0" w:color="auto"/>
              <w:left w:val="single" w:sz="6" w:space="0" w:color="auto"/>
              <w:bottom w:val="single" w:sz="6" w:space="0" w:color="auto"/>
              <w:right w:val="single" w:sz="6" w:space="0" w:color="auto"/>
            </w:tcBorders>
            <w:hideMark/>
          </w:tcPr>
          <w:p w14:paraId="196FF28B" w14:textId="77777777" w:rsidR="00A36575" w:rsidRPr="00307043" w:rsidRDefault="00A36575" w:rsidP="00A36575">
            <w:pPr>
              <w:spacing w:before="36" w:after="36"/>
              <w:rPr>
                <w:rFonts w:ascii="Times New Roman" w:eastAsia="Times New Roman" w:hAnsi="Times New Roman" w:cs="Times New Roman"/>
                <w:b/>
                <w:bCs/>
                <w:sz w:val="20"/>
                <w:szCs w:val="20"/>
                <w:lang w:val="en-US"/>
              </w:rPr>
            </w:pPr>
            <w:r w:rsidRPr="00307043">
              <w:rPr>
                <w:rFonts w:ascii="Times New Roman" w:eastAsia="Times New Roman" w:hAnsi="Times New Roman" w:cs="Times New Roman"/>
                <w:b/>
                <w:bCs/>
                <w:sz w:val="20"/>
                <w:szCs w:val="20"/>
                <w:lang w:val="en-US"/>
              </w:rPr>
              <w:t>Second tier (Tier 2) </w:t>
            </w:r>
          </w:p>
          <w:p w14:paraId="76B87DBC" w14:textId="77777777" w:rsidR="00A36575" w:rsidRPr="00307043" w:rsidRDefault="00A36575" w:rsidP="00A36575">
            <w:pPr>
              <w:numPr>
                <w:ilvl w:val="0"/>
                <w:numId w:val="5"/>
              </w:num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Level B </w:t>
            </w:r>
          </w:p>
          <w:p w14:paraId="1EBC7AD4" w14:textId="77777777" w:rsidR="00A36575" w:rsidRPr="00307043" w:rsidRDefault="00A36575" w:rsidP="00A36575">
            <w:pPr>
              <w:numPr>
                <w:ilvl w:val="0"/>
                <w:numId w:val="6"/>
              </w:num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Moderate/intermediate recommendation </w:t>
            </w:r>
          </w:p>
          <w:p w14:paraId="3FC0CF4A" w14:textId="77777777" w:rsidR="00A36575" w:rsidRPr="00307043" w:rsidRDefault="00A36575" w:rsidP="00A36575">
            <w:pPr>
              <w:numPr>
                <w:ilvl w:val="0"/>
                <w:numId w:val="7"/>
              </w:num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2a/2b </w:t>
            </w:r>
          </w:p>
          <w:p w14:paraId="62DD0D2B" w14:textId="77777777" w:rsidR="00A36575" w:rsidRPr="00307043" w:rsidRDefault="00A36575" w:rsidP="00A36575">
            <w:pPr>
              <w:numPr>
                <w:ilvl w:val="0"/>
                <w:numId w:val="8"/>
              </w:numPr>
              <w:spacing w:before="36" w:after="36"/>
              <w:rPr>
                <w:rFonts w:ascii="Times New Roman" w:eastAsia="Times New Roman" w:hAnsi="Times New Roman" w:cs="Times New Roman"/>
                <w:b/>
                <w:bCs/>
                <w:sz w:val="20"/>
                <w:szCs w:val="20"/>
                <w:lang w:val="en-US"/>
              </w:rPr>
            </w:pPr>
            <w:r w:rsidRPr="00307043">
              <w:rPr>
                <w:rFonts w:ascii="Times New Roman" w:eastAsia="Times New Roman" w:hAnsi="Times New Roman" w:cs="Times New Roman"/>
                <w:sz w:val="20"/>
                <w:szCs w:val="20"/>
                <w:lang w:val="en-US"/>
              </w:rPr>
              <w:t>Level II</w:t>
            </w:r>
            <w:r w:rsidRPr="00307043">
              <w:rPr>
                <w:rFonts w:ascii="Times New Roman" w:eastAsia="Times New Roman" w:hAnsi="Times New Roman" w:cs="Times New Roman"/>
                <w:b/>
                <w:bCs/>
                <w:sz w:val="20"/>
                <w:szCs w:val="20"/>
                <w:lang w:val="en-US"/>
              </w:rPr>
              <w:t> </w:t>
            </w:r>
          </w:p>
        </w:tc>
        <w:tc>
          <w:tcPr>
            <w:tcW w:w="4815" w:type="dxa"/>
            <w:tcBorders>
              <w:top w:val="single" w:sz="6" w:space="0" w:color="auto"/>
              <w:left w:val="single" w:sz="6" w:space="0" w:color="auto"/>
              <w:bottom w:val="single" w:sz="6" w:space="0" w:color="auto"/>
              <w:right w:val="single" w:sz="6" w:space="0" w:color="auto"/>
            </w:tcBorders>
            <w:hideMark/>
          </w:tcPr>
          <w:p w14:paraId="554F08CE" w14:textId="77777777" w:rsidR="00A36575" w:rsidRPr="00307043" w:rsidRDefault="00A36575" w:rsidP="00A36575">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Data derived from a single randomized clinical trial or large non-randomized studies. The true effect is likely to be close to the estimate of the effect.  </w:t>
            </w:r>
          </w:p>
        </w:tc>
      </w:tr>
      <w:tr w:rsidR="00307043" w:rsidRPr="00307043" w14:paraId="5E5922A0" w14:textId="77777777" w:rsidTr="00A36575">
        <w:trPr>
          <w:trHeight w:val="585"/>
        </w:trPr>
        <w:tc>
          <w:tcPr>
            <w:tcW w:w="4815" w:type="dxa"/>
            <w:tcBorders>
              <w:top w:val="single" w:sz="6" w:space="0" w:color="auto"/>
              <w:left w:val="single" w:sz="6" w:space="0" w:color="auto"/>
              <w:bottom w:val="single" w:sz="6" w:space="0" w:color="auto"/>
              <w:right w:val="single" w:sz="6" w:space="0" w:color="auto"/>
            </w:tcBorders>
            <w:hideMark/>
          </w:tcPr>
          <w:p w14:paraId="4528292E" w14:textId="77777777" w:rsidR="00A36575" w:rsidRPr="00307043" w:rsidRDefault="00A36575" w:rsidP="00A36575">
            <w:pPr>
              <w:spacing w:before="36" w:after="36"/>
              <w:rPr>
                <w:rFonts w:ascii="Times New Roman" w:eastAsia="Times New Roman" w:hAnsi="Times New Roman" w:cs="Times New Roman"/>
                <w:b/>
                <w:bCs/>
                <w:sz w:val="20"/>
                <w:szCs w:val="20"/>
                <w:lang w:val="en-US"/>
              </w:rPr>
            </w:pPr>
            <w:r w:rsidRPr="00307043">
              <w:rPr>
                <w:rFonts w:ascii="Times New Roman" w:eastAsia="Times New Roman" w:hAnsi="Times New Roman" w:cs="Times New Roman"/>
                <w:b/>
                <w:bCs/>
                <w:sz w:val="20"/>
                <w:szCs w:val="20"/>
                <w:lang w:val="en-US"/>
              </w:rPr>
              <w:t>Third tier (Tier 3) </w:t>
            </w:r>
          </w:p>
          <w:p w14:paraId="30C0ADAB" w14:textId="77777777" w:rsidR="00A36575" w:rsidRPr="00307043" w:rsidRDefault="00A36575" w:rsidP="00A36575">
            <w:pPr>
              <w:numPr>
                <w:ilvl w:val="0"/>
                <w:numId w:val="9"/>
              </w:num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Level C/D/E </w:t>
            </w:r>
          </w:p>
          <w:p w14:paraId="6AD3386F" w14:textId="77777777" w:rsidR="00A36575" w:rsidRPr="00307043" w:rsidRDefault="00A36575" w:rsidP="00A36575">
            <w:pPr>
              <w:numPr>
                <w:ilvl w:val="0"/>
                <w:numId w:val="10"/>
              </w:num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Low/weak/optional recommendation </w:t>
            </w:r>
          </w:p>
          <w:p w14:paraId="4428E6D2" w14:textId="77777777" w:rsidR="00A36575" w:rsidRPr="00307043" w:rsidRDefault="00A36575" w:rsidP="00A36575">
            <w:pPr>
              <w:numPr>
                <w:ilvl w:val="0"/>
                <w:numId w:val="11"/>
              </w:numPr>
              <w:spacing w:before="36" w:after="36"/>
              <w:rPr>
                <w:rFonts w:ascii="Times New Roman" w:eastAsia="Times New Roman" w:hAnsi="Times New Roman" w:cs="Times New Roman"/>
                <w:b/>
                <w:bCs/>
                <w:sz w:val="20"/>
                <w:szCs w:val="20"/>
                <w:lang w:val="en-US"/>
              </w:rPr>
            </w:pPr>
            <w:r w:rsidRPr="00307043">
              <w:rPr>
                <w:rFonts w:ascii="Times New Roman" w:eastAsia="Times New Roman" w:hAnsi="Times New Roman" w:cs="Times New Roman"/>
                <w:sz w:val="20"/>
                <w:szCs w:val="20"/>
                <w:lang w:val="en-US"/>
              </w:rPr>
              <w:t>Level III/IV/V</w:t>
            </w:r>
            <w:r w:rsidRPr="00307043">
              <w:rPr>
                <w:rFonts w:ascii="Times New Roman" w:eastAsia="Times New Roman" w:hAnsi="Times New Roman" w:cs="Times New Roman"/>
                <w:b/>
                <w:bCs/>
                <w:sz w:val="20"/>
                <w:szCs w:val="20"/>
                <w:lang w:val="en-US"/>
              </w:rPr>
              <w:t> </w:t>
            </w:r>
          </w:p>
        </w:tc>
        <w:tc>
          <w:tcPr>
            <w:tcW w:w="4815" w:type="dxa"/>
            <w:tcBorders>
              <w:top w:val="single" w:sz="6" w:space="0" w:color="auto"/>
              <w:left w:val="single" w:sz="6" w:space="0" w:color="auto"/>
              <w:bottom w:val="single" w:sz="6" w:space="0" w:color="auto"/>
              <w:right w:val="single" w:sz="6" w:space="0" w:color="auto"/>
            </w:tcBorders>
            <w:hideMark/>
          </w:tcPr>
          <w:p w14:paraId="702BE0BA" w14:textId="77777777" w:rsidR="00A36575" w:rsidRPr="00307043" w:rsidRDefault="00A36575" w:rsidP="00A36575">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Consensus opinion of the experts and/or small studies, retrospective studies, registries. Studies without control groups and case reports. Further research is likely to have an important impact on confidence in the estimate of the effect. </w:t>
            </w:r>
          </w:p>
        </w:tc>
      </w:tr>
    </w:tbl>
    <w:p w14:paraId="1C923310" w14:textId="77777777" w:rsidR="00A36575" w:rsidRPr="00307043" w:rsidRDefault="00A36575" w:rsidP="00A36575">
      <w:pPr>
        <w:spacing w:line="360" w:lineRule="auto"/>
        <w:rPr>
          <w:rFonts w:ascii="Times New Roman" w:eastAsia="Times New Roman" w:hAnsi="Times New Roman" w:cs="Times New Roman"/>
          <w:b/>
          <w:bCs/>
          <w:lang w:val="en-US"/>
        </w:rPr>
      </w:pPr>
      <w:r w:rsidRPr="00307043">
        <w:rPr>
          <w:rFonts w:ascii="Times New Roman" w:eastAsia="Times New Roman" w:hAnsi="Times New Roman" w:cs="Times New Roman"/>
          <w:b/>
          <w:bCs/>
          <w:lang w:val="en-US"/>
        </w:rPr>
        <w:t> </w:t>
      </w:r>
    </w:p>
    <w:p w14:paraId="3CE50893" w14:textId="77777777" w:rsidR="00A36575" w:rsidRPr="00307043" w:rsidRDefault="00A36575">
      <w:pPr>
        <w:spacing w:line="360" w:lineRule="auto"/>
        <w:rPr>
          <w:rFonts w:ascii="Times New Roman" w:eastAsia="Times New Roman" w:hAnsi="Times New Roman" w:cs="Times New Roman"/>
          <w:b/>
          <w:bCs/>
          <w:lang w:val="en-US"/>
        </w:rPr>
        <w:sectPr w:rsidR="00A36575" w:rsidRPr="00307043">
          <w:pgSz w:w="11906" w:h="16838"/>
          <w:pgMar w:top="1440" w:right="1440" w:bottom="1440" w:left="1440" w:header="720" w:footer="720" w:gutter="0"/>
          <w:cols w:space="720"/>
          <w:docGrid w:linePitch="360"/>
        </w:sectPr>
      </w:pPr>
    </w:p>
    <w:p w14:paraId="2EFD3B05" w14:textId="4CF7FA36" w:rsidR="00A36575" w:rsidRPr="00307043" w:rsidRDefault="00A36575" w:rsidP="00A36575">
      <w:pPr>
        <w:rPr>
          <w:rFonts w:ascii="Times New Roman" w:hAnsi="Times New Roman" w:cs="Times New Roman"/>
          <w:lang w:val="en-US"/>
        </w:rPr>
      </w:pPr>
      <w:r w:rsidRPr="00307043">
        <w:rPr>
          <w:rFonts w:ascii="Times New Roman" w:hAnsi="Times New Roman" w:cs="Times New Roman"/>
          <w:b/>
          <w:bCs/>
          <w:lang w:val="en-US"/>
        </w:rPr>
        <w:lastRenderedPageBreak/>
        <w:t>Supplementary Table 2.</w:t>
      </w:r>
      <w:r w:rsidRPr="00307043">
        <w:rPr>
          <w:rFonts w:ascii="Times New Roman" w:hAnsi="Times New Roman" w:cs="Times New Roman"/>
          <w:lang w:val="en-US"/>
        </w:rPr>
        <w:t xml:space="preserve"> Characteristics of the documents included.</w:t>
      </w:r>
    </w:p>
    <w:tbl>
      <w:tblPr>
        <w:tblW w:w="150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91"/>
        <w:gridCol w:w="1531"/>
        <w:gridCol w:w="1410"/>
        <w:gridCol w:w="770"/>
        <w:gridCol w:w="765"/>
        <w:gridCol w:w="2141"/>
      </w:tblGrid>
      <w:tr w:rsidR="00307043" w:rsidRPr="00307043" w14:paraId="2F186BC6" w14:textId="77777777" w:rsidTr="750DD8A1">
        <w:trPr>
          <w:trHeight w:val="288"/>
        </w:trPr>
        <w:tc>
          <w:tcPr>
            <w:tcW w:w="8391" w:type="dxa"/>
            <w:shd w:val="clear" w:color="auto" w:fill="E8E8E8" w:themeFill="background2"/>
            <w:noWrap/>
            <w:vAlign w:val="center"/>
            <w:hideMark/>
          </w:tcPr>
          <w:p w14:paraId="43CE0E0D" w14:textId="77777777" w:rsidR="00A36575" w:rsidRPr="00307043" w:rsidRDefault="00A36575" w:rsidP="009714AC">
            <w:pPr>
              <w:spacing w:after="0" w:line="240" w:lineRule="auto"/>
              <w:ind w:left="-498" w:firstLine="498"/>
              <w:rPr>
                <w:rFonts w:ascii="Times New Roman" w:eastAsia="Times New Roman" w:hAnsi="Times New Roman" w:cs="Times New Roman"/>
                <w:b/>
                <w:bCs/>
                <w:sz w:val="18"/>
                <w:szCs w:val="18"/>
                <w:lang w:eastAsia="it-IT"/>
              </w:rPr>
            </w:pPr>
            <w:r w:rsidRPr="00307043">
              <w:rPr>
                <w:rFonts w:ascii="Times New Roman" w:eastAsia="Times New Roman" w:hAnsi="Times New Roman" w:cs="Times New Roman"/>
                <w:b/>
                <w:bCs/>
                <w:sz w:val="18"/>
                <w:szCs w:val="18"/>
                <w:lang w:eastAsia="it-IT"/>
              </w:rPr>
              <w:t>Title</w:t>
            </w:r>
          </w:p>
        </w:tc>
        <w:tc>
          <w:tcPr>
            <w:tcW w:w="1531" w:type="dxa"/>
            <w:shd w:val="clear" w:color="auto" w:fill="E8E8E8" w:themeFill="background2"/>
            <w:noWrap/>
            <w:vAlign w:val="center"/>
            <w:hideMark/>
          </w:tcPr>
          <w:p w14:paraId="52FDDD64" w14:textId="77777777" w:rsidR="00A36575" w:rsidRPr="00307043" w:rsidRDefault="00A36575" w:rsidP="009714AC">
            <w:pPr>
              <w:spacing w:after="0" w:line="240" w:lineRule="auto"/>
              <w:rPr>
                <w:rFonts w:ascii="Times New Roman" w:eastAsia="Times New Roman" w:hAnsi="Times New Roman" w:cs="Times New Roman"/>
                <w:b/>
                <w:bCs/>
                <w:sz w:val="18"/>
                <w:szCs w:val="18"/>
                <w:lang w:eastAsia="it-IT"/>
              </w:rPr>
            </w:pPr>
            <w:r w:rsidRPr="00307043">
              <w:rPr>
                <w:rFonts w:ascii="Times New Roman" w:eastAsia="Times New Roman" w:hAnsi="Times New Roman" w:cs="Times New Roman"/>
                <w:b/>
                <w:bCs/>
                <w:sz w:val="18"/>
                <w:szCs w:val="18"/>
                <w:lang w:eastAsia="it-IT"/>
              </w:rPr>
              <w:t>Year, country</w:t>
            </w:r>
          </w:p>
        </w:tc>
        <w:tc>
          <w:tcPr>
            <w:tcW w:w="1410" w:type="dxa"/>
            <w:shd w:val="clear" w:color="auto" w:fill="E8E8E8" w:themeFill="background2"/>
            <w:noWrap/>
            <w:vAlign w:val="center"/>
            <w:hideMark/>
          </w:tcPr>
          <w:p w14:paraId="702328E8" w14:textId="77777777" w:rsidR="00A36575" w:rsidRPr="00307043" w:rsidRDefault="00A36575" w:rsidP="009714AC">
            <w:pPr>
              <w:spacing w:after="0" w:line="240" w:lineRule="auto"/>
              <w:rPr>
                <w:rFonts w:ascii="Times New Roman" w:eastAsia="Times New Roman" w:hAnsi="Times New Roman" w:cs="Times New Roman"/>
                <w:b/>
                <w:bCs/>
                <w:sz w:val="18"/>
                <w:szCs w:val="18"/>
                <w:lang w:eastAsia="it-IT"/>
              </w:rPr>
            </w:pPr>
            <w:r w:rsidRPr="00307043">
              <w:rPr>
                <w:rFonts w:ascii="Times New Roman" w:eastAsia="Times New Roman" w:hAnsi="Times New Roman" w:cs="Times New Roman"/>
                <w:b/>
                <w:bCs/>
                <w:sz w:val="18"/>
                <w:szCs w:val="18"/>
                <w:lang w:eastAsia="it-IT"/>
              </w:rPr>
              <w:t>Document type</w:t>
            </w:r>
          </w:p>
        </w:tc>
        <w:tc>
          <w:tcPr>
            <w:tcW w:w="770" w:type="dxa"/>
            <w:shd w:val="clear" w:color="auto" w:fill="E8E8E8" w:themeFill="background2"/>
            <w:noWrap/>
            <w:vAlign w:val="center"/>
            <w:hideMark/>
          </w:tcPr>
          <w:p w14:paraId="0FE5357C" w14:textId="77777777" w:rsidR="00A36575" w:rsidRPr="00307043" w:rsidRDefault="00A36575" w:rsidP="009714AC">
            <w:pPr>
              <w:spacing w:after="0" w:line="240" w:lineRule="auto"/>
              <w:rPr>
                <w:rFonts w:ascii="Times New Roman" w:eastAsia="Times New Roman" w:hAnsi="Times New Roman" w:cs="Times New Roman"/>
                <w:b/>
                <w:bCs/>
                <w:sz w:val="18"/>
                <w:szCs w:val="18"/>
                <w:lang w:eastAsia="it-IT"/>
              </w:rPr>
            </w:pPr>
            <w:r w:rsidRPr="00307043">
              <w:rPr>
                <w:rFonts w:ascii="Times New Roman" w:eastAsia="Times New Roman" w:hAnsi="Times New Roman" w:cs="Times New Roman"/>
                <w:b/>
                <w:bCs/>
                <w:sz w:val="18"/>
                <w:szCs w:val="18"/>
                <w:lang w:eastAsia="it-IT"/>
              </w:rPr>
              <w:t>Ncds</w:t>
            </w:r>
          </w:p>
        </w:tc>
        <w:tc>
          <w:tcPr>
            <w:tcW w:w="765" w:type="dxa"/>
            <w:shd w:val="clear" w:color="auto" w:fill="E8E8E8" w:themeFill="background2"/>
            <w:noWrap/>
            <w:vAlign w:val="center"/>
            <w:hideMark/>
          </w:tcPr>
          <w:p w14:paraId="67418A6B" w14:textId="77777777" w:rsidR="00A36575" w:rsidRPr="00307043" w:rsidRDefault="00A36575" w:rsidP="009714AC">
            <w:pPr>
              <w:spacing w:after="0" w:line="240" w:lineRule="auto"/>
              <w:rPr>
                <w:rFonts w:ascii="Times New Roman" w:eastAsia="Times New Roman" w:hAnsi="Times New Roman" w:cs="Times New Roman"/>
                <w:b/>
                <w:bCs/>
                <w:sz w:val="18"/>
                <w:szCs w:val="18"/>
                <w:lang w:eastAsia="it-IT"/>
              </w:rPr>
            </w:pPr>
            <w:r w:rsidRPr="00307043">
              <w:rPr>
                <w:rFonts w:ascii="Times New Roman" w:eastAsia="Times New Roman" w:hAnsi="Times New Roman" w:cs="Times New Roman"/>
                <w:b/>
                <w:bCs/>
                <w:sz w:val="18"/>
                <w:szCs w:val="18"/>
                <w:lang w:eastAsia="it-IT"/>
              </w:rPr>
              <w:t>Risk factors</w:t>
            </w:r>
          </w:p>
        </w:tc>
        <w:tc>
          <w:tcPr>
            <w:tcW w:w="2141" w:type="dxa"/>
            <w:shd w:val="clear" w:color="auto" w:fill="E8E8E8" w:themeFill="background2"/>
            <w:vAlign w:val="center"/>
          </w:tcPr>
          <w:p w14:paraId="586829CC" w14:textId="77777777" w:rsidR="00A36575" w:rsidRPr="00307043" w:rsidRDefault="00A36575" w:rsidP="009714AC">
            <w:pPr>
              <w:spacing w:after="0" w:line="240" w:lineRule="auto"/>
              <w:rPr>
                <w:rFonts w:ascii="Times New Roman" w:eastAsia="Times New Roman" w:hAnsi="Times New Roman" w:cs="Times New Roman"/>
                <w:b/>
                <w:bCs/>
                <w:sz w:val="18"/>
                <w:szCs w:val="18"/>
                <w:lang w:eastAsia="it-IT"/>
              </w:rPr>
            </w:pPr>
            <w:r w:rsidRPr="00307043">
              <w:rPr>
                <w:rFonts w:ascii="Times New Roman" w:eastAsia="Times New Roman" w:hAnsi="Times New Roman" w:cs="Times New Roman"/>
                <w:b/>
                <w:bCs/>
                <w:sz w:val="18"/>
                <w:szCs w:val="18"/>
                <w:lang w:eastAsia="it-IT"/>
              </w:rPr>
              <w:t>Doi</w:t>
            </w:r>
          </w:p>
        </w:tc>
      </w:tr>
      <w:tr w:rsidR="00307043" w:rsidRPr="00307043" w14:paraId="029C162B" w14:textId="77777777" w:rsidTr="750DD8A1">
        <w:trPr>
          <w:trHeight w:val="288"/>
        </w:trPr>
        <w:tc>
          <w:tcPr>
            <w:tcW w:w="8391" w:type="dxa"/>
            <w:noWrap/>
            <w:vAlign w:val="center"/>
            <w:hideMark/>
          </w:tcPr>
          <w:p w14:paraId="56EB5DA6"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Lung Cancer Screening Initiative in Slovakia: Guidelines of screening implementation</w:t>
            </w:r>
          </w:p>
        </w:tc>
        <w:tc>
          <w:tcPr>
            <w:tcW w:w="1531" w:type="dxa"/>
            <w:noWrap/>
            <w:vAlign w:val="center"/>
            <w:hideMark/>
          </w:tcPr>
          <w:p w14:paraId="1E74978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2023, Slovakia</w:t>
            </w:r>
          </w:p>
        </w:tc>
        <w:tc>
          <w:tcPr>
            <w:tcW w:w="1410" w:type="dxa"/>
            <w:noWrap/>
            <w:vAlign w:val="center"/>
            <w:hideMark/>
          </w:tcPr>
          <w:p w14:paraId="79E5D0E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008D583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497CEA8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583EF72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10.4149/BLL_2023_016</w:t>
            </w:r>
          </w:p>
        </w:tc>
      </w:tr>
      <w:tr w:rsidR="00307043" w:rsidRPr="00307043" w14:paraId="485320FA" w14:textId="77777777" w:rsidTr="750DD8A1">
        <w:trPr>
          <w:trHeight w:val="288"/>
        </w:trPr>
        <w:tc>
          <w:tcPr>
            <w:tcW w:w="8391" w:type="dxa"/>
            <w:noWrap/>
            <w:vAlign w:val="center"/>
            <w:hideMark/>
          </w:tcPr>
          <w:p w14:paraId="390B2D4A"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Malignancy risk stratification for solitary pulmonary nodule: A clinical practice guideline</w:t>
            </w:r>
          </w:p>
        </w:tc>
        <w:tc>
          <w:tcPr>
            <w:tcW w:w="1531" w:type="dxa"/>
            <w:noWrap/>
            <w:vAlign w:val="center"/>
            <w:hideMark/>
          </w:tcPr>
          <w:p w14:paraId="7CD5362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2022, China</w:t>
            </w:r>
          </w:p>
        </w:tc>
        <w:tc>
          <w:tcPr>
            <w:tcW w:w="1410" w:type="dxa"/>
            <w:noWrap/>
            <w:vAlign w:val="center"/>
            <w:hideMark/>
          </w:tcPr>
          <w:p w14:paraId="1A8BE8A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046886F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390E6BB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794788AC"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hyperlink r:id="rId7" w:history="1">
              <w:r w:rsidRPr="00307043">
                <w:rPr>
                  <w:rStyle w:val="Hyperlink"/>
                  <w:rFonts w:ascii="Times New Roman" w:hAnsi="Times New Roman" w:cs="Times New Roman"/>
                  <w:color w:val="auto"/>
                  <w:sz w:val="18"/>
                  <w:szCs w:val="18"/>
                </w:rPr>
                <w:t>https://doi.org/10.1111</w:t>
              </w:r>
            </w:hyperlink>
            <w:r w:rsidRPr="00307043">
              <w:rPr>
                <w:rFonts w:ascii="Times New Roman" w:hAnsi="Times New Roman" w:cs="Times New Roman"/>
                <w:sz w:val="18"/>
                <w:szCs w:val="18"/>
              </w:rPr>
              <w:br/>
              <w:t>/jebm.12476</w:t>
            </w:r>
          </w:p>
        </w:tc>
      </w:tr>
      <w:tr w:rsidR="00307043" w:rsidRPr="00307043" w14:paraId="5743051E" w14:textId="77777777" w:rsidTr="750DD8A1">
        <w:trPr>
          <w:trHeight w:val="288"/>
        </w:trPr>
        <w:tc>
          <w:tcPr>
            <w:tcW w:w="8391" w:type="dxa"/>
            <w:noWrap/>
            <w:vAlign w:val="center"/>
            <w:hideMark/>
          </w:tcPr>
          <w:p w14:paraId="3824DF47"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Management of hereditary breast cancer: American society of clinical oncology, American society for radiation oncology, and society of surgical oncology guideline</w:t>
            </w:r>
          </w:p>
        </w:tc>
        <w:tc>
          <w:tcPr>
            <w:tcW w:w="1531" w:type="dxa"/>
            <w:noWrap/>
            <w:vAlign w:val="center"/>
            <w:hideMark/>
          </w:tcPr>
          <w:p w14:paraId="7996731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2020, USA</w:t>
            </w:r>
          </w:p>
        </w:tc>
        <w:tc>
          <w:tcPr>
            <w:tcW w:w="1410" w:type="dxa"/>
            <w:noWrap/>
            <w:vAlign w:val="center"/>
            <w:hideMark/>
          </w:tcPr>
          <w:p w14:paraId="1BC94FE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150C47F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133079F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45C2A50F"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rPr>
              <w:t>10.1200/JCO.20.00299</w:t>
            </w:r>
          </w:p>
        </w:tc>
      </w:tr>
      <w:tr w:rsidR="00307043" w:rsidRPr="00307043" w14:paraId="52F2F36F" w14:textId="77777777" w:rsidTr="750DD8A1">
        <w:trPr>
          <w:trHeight w:val="288"/>
        </w:trPr>
        <w:tc>
          <w:tcPr>
            <w:tcW w:w="8391" w:type="dxa"/>
            <w:noWrap/>
            <w:vAlign w:val="center"/>
            <w:hideMark/>
          </w:tcPr>
          <w:p w14:paraId="4128337A"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Management of male breast cancer: ASCO guideline</w:t>
            </w:r>
          </w:p>
        </w:tc>
        <w:tc>
          <w:tcPr>
            <w:tcW w:w="1531" w:type="dxa"/>
            <w:noWrap/>
            <w:vAlign w:val="center"/>
            <w:hideMark/>
          </w:tcPr>
          <w:p w14:paraId="3E4BB88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2020, USA</w:t>
            </w:r>
          </w:p>
        </w:tc>
        <w:tc>
          <w:tcPr>
            <w:tcW w:w="1410" w:type="dxa"/>
            <w:noWrap/>
            <w:vAlign w:val="center"/>
            <w:hideMark/>
          </w:tcPr>
          <w:p w14:paraId="79F2A10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6C196EA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26B6CB1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4D9B1EA1"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rPr>
              <w:t>10.1200/JCO.19.03120</w:t>
            </w:r>
          </w:p>
        </w:tc>
      </w:tr>
      <w:tr w:rsidR="00307043" w:rsidRPr="00307043" w14:paraId="7DB3BFAF" w14:textId="77777777" w:rsidTr="750DD8A1">
        <w:trPr>
          <w:trHeight w:val="288"/>
        </w:trPr>
        <w:tc>
          <w:tcPr>
            <w:tcW w:w="8391" w:type="dxa"/>
            <w:noWrap/>
            <w:vAlign w:val="center"/>
            <w:hideMark/>
          </w:tcPr>
          <w:p w14:paraId="4D71C735"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Management of patients with increased risk for familial pancreatic cancer: updated recommendations from the International Cancer of the Pancreas Screening (CAPS) Consortium</w:t>
            </w:r>
          </w:p>
        </w:tc>
        <w:tc>
          <w:tcPr>
            <w:tcW w:w="1531" w:type="dxa"/>
            <w:noWrap/>
            <w:vAlign w:val="center"/>
            <w:hideMark/>
          </w:tcPr>
          <w:p w14:paraId="20F42CF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2020, International</w:t>
            </w:r>
          </w:p>
        </w:tc>
        <w:tc>
          <w:tcPr>
            <w:tcW w:w="1410" w:type="dxa"/>
            <w:noWrap/>
            <w:vAlign w:val="center"/>
            <w:hideMark/>
          </w:tcPr>
          <w:p w14:paraId="526D20F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3F95C65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6FE7F7E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311E97D6"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rPr>
              <w:t>10.1136/gutjnl-2019-3</w:t>
            </w:r>
            <w:r w:rsidRPr="00307043">
              <w:rPr>
                <w:rFonts w:ascii="Times New Roman" w:hAnsi="Times New Roman" w:cs="Times New Roman"/>
                <w:sz w:val="18"/>
                <w:szCs w:val="18"/>
              </w:rPr>
              <w:br/>
              <w:t>19352</w:t>
            </w:r>
          </w:p>
        </w:tc>
      </w:tr>
      <w:tr w:rsidR="00307043" w:rsidRPr="00307043" w14:paraId="6942AAE2" w14:textId="77777777" w:rsidTr="750DD8A1">
        <w:trPr>
          <w:trHeight w:val="288"/>
        </w:trPr>
        <w:tc>
          <w:tcPr>
            <w:tcW w:w="8391" w:type="dxa"/>
            <w:noWrap/>
            <w:vAlign w:val="center"/>
            <w:hideMark/>
          </w:tcPr>
          <w:p w14:paraId="73CD9FB2"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Metabolic risk reduction in patients with schizophrenia treated with antipsychotics: Recommendations of the Polish Psychiatric Association</w:t>
            </w:r>
          </w:p>
        </w:tc>
        <w:tc>
          <w:tcPr>
            <w:tcW w:w="1531" w:type="dxa"/>
            <w:noWrap/>
            <w:vAlign w:val="center"/>
            <w:hideMark/>
          </w:tcPr>
          <w:p w14:paraId="32746B1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2019, Poland</w:t>
            </w:r>
          </w:p>
        </w:tc>
        <w:tc>
          <w:tcPr>
            <w:tcW w:w="1410" w:type="dxa"/>
            <w:noWrap/>
            <w:vAlign w:val="center"/>
            <w:hideMark/>
          </w:tcPr>
          <w:p w14:paraId="373C71A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24E1AF0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Mental health</w:t>
            </w:r>
          </w:p>
        </w:tc>
        <w:tc>
          <w:tcPr>
            <w:tcW w:w="765" w:type="dxa"/>
            <w:noWrap/>
            <w:vAlign w:val="center"/>
            <w:hideMark/>
          </w:tcPr>
          <w:p w14:paraId="010537D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403C6D87"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rPr>
              <w:t>10.12740/PP/113222</w:t>
            </w:r>
          </w:p>
        </w:tc>
      </w:tr>
      <w:tr w:rsidR="00307043" w:rsidRPr="00307043" w14:paraId="080501CE" w14:textId="77777777" w:rsidTr="750DD8A1">
        <w:trPr>
          <w:trHeight w:val="288"/>
        </w:trPr>
        <w:tc>
          <w:tcPr>
            <w:tcW w:w="8391" w:type="dxa"/>
            <w:noWrap/>
            <w:vAlign w:val="center"/>
            <w:hideMark/>
          </w:tcPr>
          <w:p w14:paraId="3DA29969"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National recommendations of the French Genetics and Cancer Group - Unicancer on the modalities of multi-genes panel analyses in hereditary predispositions to tumors of the digestive tract</w:t>
            </w:r>
          </w:p>
        </w:tc>
        <w:tc>
          <w:tcPr>
            <w:tcW w:w="1531" w:type="dxa"/>
            <w:noWrap/>
            <w:vAlign w:val="center"/>
            <w:hideMark/>
          </w:tcPr>
          <w:p w14:paraId="21E42DE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2020, France</w:t>
            </w:r>
          </w:p>
        </w:tc>
        <w:tc>
          <w:tcPr>
            <w:tcW w:w="1410" w:type="dxa"/>
            <w:noWrap/>
            <w:vAlign w:val="center"/>
            <w:hideMark/>
          </w:tcPr>
          <w:p w14:paraId="49C1F22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30747A7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7F8B2A6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18E799D3"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rPr>
              <w:t>10.1016/j.ejmg.2020.1</w:t>
            </w:r>
            <w:r w:rsidRPr="00307043">
              <w:rPr>
                <w:rFonts w:ascii="Times New Roman" w:hAnsi="Times New Roman" w:cs="Times New Roman"/>
                <w:sz w:val="18"/>
                <w:szCs w:val="18"/>
              </w:rPr>
              <w:br/>
              <w:t>04080</w:t>
            </w:r>
          </w:p>
        </w:tc>
      </w:tr>
      <w:tr w:rsidR="00307043" w:rsidRPr="00307043" w14:paraId="2F3D34A1" w14:textId="77777777" w:rsidTr="750DD8A1">
        <w:trPr>
          <w:trHeight w:val="288"/>
        </w:trPr>
        <w:tc>
          <w:tcPr>
            <w:tcW w:w="8391" w:type="dxa"/>
            <w:noWrap/>
            <w:vAlign w:val="center"/>
            <w:hideMark/>
          </w:tcPr>
          <w:p w14:paraId="4323009F"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Pancreatic cancer: ESMO Clinical Practice Guideline for diagnosis, treatment and follow-up</w:t>
            </w:r>
          </w:p>
        </w:tc>
        <w:tc>
          <w:tcPr>
            <w:tcW w:w="1531" w:type="dxa"/>
            <w:noWrap/>
            <w:vAlign w:val="center"/>
            <w:hideMark/>
          </w:tcPr>
          <w:p w14:paraId="30DBA3D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2023, European</w:t>
            </w:r>
          </w:p>
        </w:tc>
        <w:tc>
          <w:tcPr>
            <w:tcW w:w="1410" w:type="dxa"/>
            <w:noWrap/>
            <w:vAlign w:val="center"/>
            <w:hideMark/>
          </w:tcPr>
          <w:p w14:paraId="752A0F6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699EC70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0B45355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791B8153"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rPr>
              <w:t>10.1016/j.annonc.2023</w:t>
            </w:r>
            <w:r w:rsidRPr="00307043">
              <w:rPr>
                <w:rFonts w:ascii="Times New Roman" w:hAnsi="Times New Roman" w:cs="Times New Roman"/>
                <w:sz w:val="18"/>
                <w:szCs w:val="18"/>
              </w:rPr>
              <w:br/>
              <w:t>.08.009</w:t>
            </w:r>
          </w:p>
        </w:tc>
      </w:tr>
      <w:tr w:rsidR="00307043" w:rsidRPr="00307043" w14:paraId="1E367267" w14:textId="77777777" w:rsidTr="750DD8A1">
        <w:trPr>
          <w:trHeight w:val="288"/>
        </w:trPr>
        <w:tc>
          <w:tcPr>
            <w:tcW w:w="8391" w:type="dxa"/>
            <w:noWrap/>
            <w:vAlign w:val="center"/>
            <w:hideMark/>
          </w:tcPr>
          <w:p w14:paraId="5A18D87B"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Personalizing Activity Recommendations for Individuals with Type 2 Diabetes</w:t>
            </w:r>
          </w:p>
        </w:tc>
        <w:tc>
          <w:tcPr>
            <w:tcW w:w="1531" w:type="dxa"/>
            <w:noWrap/>
            <w:vAlign w:val="center"/>
            <w:hideMark/>
          </w:tcPr>
          <w:p w14:paraId="0635D84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International</w:t>
            </w:r>
          </w:p>
        </w:tc>
        <w:tc>
          <w:tcPr>
            <w:tcW w:w="1410" w:type="dxa"/>
            <w:noWrap/>
            <w:vAlign w:val="center"/>
            <w:hideMark/>
          </w:tcPr>
          <w:p w14:paraId="5AB6DD5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3456C36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Diabetes</w:t>
            </w:r>
          </w:p>
        </w:tc>
        <w:tc>
          <w:tcPr>
            <w:tcW w:w="765" w:type="dxa"/>
            <w:noWrap/>
            <w:vAlign w:val="center"/>
            <w:hideMark/>
          </w:tcPr>
          <w:p w14:paraId="7F93FE7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Physical activity</w:t>
            </w:r>
          </w:p>
        </w:tc>
        <w:tc>
          <w:tcPr>
            <w:tcW w:w="2141" w:type="dxa"/>
            <w:vAlign w:val="center"/>
          </w:tcPr>
          <w:p w14:paraId="6B971611"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rPr>
              <w:t>10.1249/FIT.000000000</w:t>
            </w:r>
            <w:r w:rsidRPr="00307043">
              <w:rPr>
                <w:rFonts w:ascii="Times New Roman" w:hAnsi="Times New Roman" w:cs="Times New Roman"/>
                <w:sz w:val="18"/>
                <w:szCs w:val="18"/>
              </w:rPr>
              <w:br/>
              <w:t>0000817</w:t>
            </w:r>
          </w:p>
        </w:tc>
      </w:tr>
      <w:tr w:rsidR="00307043" w:rsidRPr="00307043" w14:paraId="0A1A0F21" w14:textId="77777777" w:rsidTr="750DD8A1">
        <w:trPr>
          <w:trHeight w:val="288"/>
        </w:trPr>
        <w:tc>
          <w:tcPr>
            <w:tcW w:w="8391" w:type="dxa"/>
            <w:noWrap/>
            <w:vAlign w:val="center"/>
            <w:hideMark/>
          </w:tcPr>
          <w:p w14:paraId="29CFA65F"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Recommendations for a More Organized and Effective Approach to the Early Detection of Pancreatic Cancer From the PRECEDE (Pancreatic Cancer Early Detection) Consortium</w:t>
            </w:r>
          </w:p>
        </w:tc>
        <w:tc>
          <w:tcPr>
            <w:tcW w:w="1531" w:type="dxa"/>
            <w:noWrap/>
            <w:vAlign w:val="center"/>
            <w:hideMark/>
          </w:tcPr>
          <w:p w14:paraId="1E2E52E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2021, USA</w:t>
            </w:r>
          </w:p>
        </w:tc>
        <w:tc>
          <w:tcPr>
            <w:tcW w:w="1410" w:type="dxa"/>
            <w:noWrap/>
            <w:vAlign w:val="center"/>
            <w:hideMark/>
          </w:tcPr>
          <w:p w14:paraId="722EE07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0B67690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1934821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0E706D34"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rPr>
              <w:t>10.1053/j.gastro.2021.0</w:t>
            </w:r>
            <w:r w:rsidRPr="00307043">
              <w:rPr>
                <w:rFonts w:ascii="Times New Roman" w:hAnsi="Times New Roman" w:cs="Times New Roman"/>
                <w:sz w:val="18"/>
                <w:szCs w:val="18"/>
              </w:rPr>
              <w:br/>
              <w:t>8.036</w:t>
            </w:r>
          </w:p>
        </w:tc>
      </w:tr>
      <w:tr w:rsidR="00307043" w:rsidRPr="00307043" w14:paraId="378DCC94" w14:textId="77777777" w:rsidTr="750DD8A1">
        <w:trPr>
          <w:trHeight w:val="288"/>
        </w:trPr>
        <w:tc>
          <w:tcPr>
            <w:tcW w:w="8391" w:type="dxa"/>
            <w:noWrap/>
            <w:vAlign w:val="center"/>
            <w:hideMark/>
          </w:tcPr>
          <w:p w14:paraId="24C3110C"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Clinical Updates and Surveillance Recommendations for DNA Replication Repair Deficiency Syndromes in Children and Young Adults.</w:t>
            </w:r>
          </w:p>
        </w:tc>
        <w:tc>
          <w:tcPr>
            <w:tcW w:w="1531" w:type="dxa"/>
            <w:noWrap/>
            <w:vAlign w:val="center"/>
            <w:hideMark/>
          </w:tcPr>
          <w:p w14:paraId="6A71CBB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USA</w:t>
            </w:r>
          </w:p>
        </w:tc>
        <w:tc>
          <w:tcPr>
            <w:tcW w:w="1410" w:type="dxa"/>
            <w:noWrap/>
            <w:vAlign w:val="center"/>
            <w:hideMark/>
          </w:tcPr>
          <w:p w14:paraId="2AA0AA2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70ABA9D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049FDF5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04471F70"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rPr>
              <w:t>10.1158/1078-0432.CCR</w:t>
            </w:r>
            <w:r w:rsidRPr="00307043">
              <w:rPr>
                <w:rFonts w:ascii="Times New Roman" w:hAnsi="Times New Roman" w:cs="Times New Roman"/>
                <w:sz w:val="18"/>
                <w:szCs w:val="18"/>
              </w:rPr>
              <w:br/>
              <w:t>-23-3994</w:t>
            </w:r>
          </w:p>
        </w:tc>
      </w:tr>
      <w:tr w:rsidR="00307043" w:rsidRPr="00307043" w14:paraId="4E118EDE" w14:textId="77777777" w:rsidTr="750DD8A1">
        <w:trPr>
          <w:trHeight w:val="288"/>
        </w:trPr>
        <w:tc>
          <w:tcPr>
            <w:tcW w:w="8391" w:type="dxa"/>
            <w:noWrap/>
            <w:vAlign w:val="center"/>
            <w:hideMark/>
          </w:tcPr>
          <w:p w14:paraId="55EE08C8"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Recommendations for advancing the diagnosis and management of hereditary breast and ovarian cancer in Brazil</w:t>
            </w:r>
          </w:p>
        </w:tc>
        <w:tc>
          <w:tcPr>
            <w:tcW w:w="1531" w:type="dxa"/>
            <w:noWrap/>
            <w:vAlign w:val="center"/>
            <w:hideMark/>
          </w:tcPr>
          <w:p w14:paraId="27D3B14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2020, Brazil</w:t>
            </w:r>
          </w:p>
        </w:tc>
        <w:tc>
          <w:tcPr>
            <w:tcW w:w="1410" w:type="dxa"/>
            <w:noWrap/>
            <w:vAlign w:val="center"/>
            <w:hideMark/>
          </w:tcPr>
          <w:p w14:paraId="7F44DBB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0FADDD0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1C058F4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1C56EEB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10.1200/JGO.19.00170</w:t>
            </w:r>
          </w:p>
        </w:tc>
      </w:tr>
      <w:tr w:rsidR="00307043" w:rsidRPr="00307043" w14:paraId="207D0821" w14:textId="77777777" w:rsidTr="750DD8A1">
        <w:trPr>
          <w:trHeight w:val="288"/>
        </w:trPr>
        <w:tc>
          <w:tcPr>
            <w:tcW w:w="8391" w:type="dxa"/>
            <w:noWrap/>
            <w:vAlign w:val="center"/>
            <w:hideMark/>
          </w:tcPr>
          <w:p w14:paraId="12A2BC0F"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Recommendations for the Screening of Breast Cancer of the Brazilian College of Radiology and Diagnostic Imaging, Brazilian Society of Mastology and Brazilian Federation of Gynecology and Obstetrics Association</w:t>
            </w:r>
          </w:p>
        </w:tc>
        <w:tc>
          <w:tcPr>
            <w:tcW w:w="1531" w:type="dxa"/>
            <w:noWrap/>
            <w:vAlign w:val="center"/>
            <w:hideMark/>
          </w:tcPr>
          <w:p w14:paraId="0815440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2023, Brazil</w:t>
            </w:r>
          </w:p>
        </w:tc>
        <w:tc>
          <w:tcPr>
            <w:tcW w:w="1410" w:type="dxa"/>
            <w:noWrap/>
            <w:vAlign w:val="center"/>
            <w:hideMark/>
          </w:tcPr>
          <w:p w14:paraId="32DF52F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3C7F0E8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715CEC0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14D73E4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10.1055/s-0043-17724</w:t>
            </w:r>
            <w:r w:rsidRPr="00307043">
              <w:rPr>
                <w:rFonts w:ascii="Times New Roman" w:hAnsi="Times New Roman" w:cs="Times New Roman"/>
                <w:sz w:val="18"/>
                <w:szCs w:val="18"/>
              </w:rPr>
              <w:br/>
              <w:t>98</w:t>
            </w:r>
          </w:p>
        </w:tc>
      </w:tr>
      <w:tr w:rsidR="00307043" w:rsidRPr="00307043" w14:paraId="79A0B651" w14:textId="77777777" w:rsidTr="750DD8A1">
        <w:trPr>
          <w:trHeight w:val="288"/>
        </w:trPr>
        <w:tc>
          <w:tcPr>
            <w:tcW w:w="8391" w:type="dxa"/>
            <w:noWrap/>
            <w:vAlign w:val="center"/>
            <w:hideMark/>
          </w:tcPr>
          <w:p w14:paraId="77ADA7C3"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Recommended approaches for screening and early detection of lung cancer in the Middle East and Africa (MEA) region: a consensus statement</w:t>
            </w:r>
          </w:p>
        </w:tc>
        <w:tc>
          <w:tcPr>
            <w:tcW w:w="1531" w:type="dxa"/>
            <w:noWrap/>
            <w:vAlign w:val="center"/>
            <w:hideMark/>
          </w:tcPr>
          <w:p w14:paraId="5C09D28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International</w:t>
            </w:r>
          </w:p>
        </w:tc>
        <w:tc>
          <w:tcPr>
            <w:tcW w:w="1410" w:type="dxa"/>
            <w:noWrap/>
            <w:vAlign w:val="center"/>
            <w:hideMark/>
          </w:tcPr>
          <w:p w14:paraId="7FDDAA0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Consensus statement</w:t>
            </w:r>
          </w:p>
        </w:tc>
        <w:tc>
          <w:tcPr>
            <w:tcW w:w="770" w:type="dxa"/>
            <w:noWrap/>
            <w:vAlign w:val="center"/>
            <w:hideMark/>
          </w:tcPr>
          <w:p w14:paraId="75CFCDF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401D624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424F5C9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https://dx.doi.org/10.</w:t>
            </w:r>
            <w:r w:rsidRPr="00307043">
              <w:rPr>
                <w:rFonts w:ascii="Times New Roman" w:hAnsi="Times New Roman" w:cs="Times New Roman"/>
                <w:sz w:val="18"/>
                <w:szCs w:val="18"/>
              </w:rPr>
              <w:br/>
              <w:t>21037/jtd</w:t>
            </w:r>
          </w:p>
        </w:tc>
      </w:tr>
      <w:tr w:rsidR="00307043" w:rsidRPr="00307043" w14:paraId="4A520CD5" w14:textId="77777777" w:rsidTr="750DD8A1">
        <w:trPr>
          <w:trHeight w:val="288"/>
        </w:trPr>
        <w:tc>
          <w:tcPr>
            <w:tcW w:w="8391" w:type="dxa"/>
            <w:noWrap/>
            <w:vAlign w:val="center"/>
            <w:hideMark/>
          </w:tcPr>
          <w:p w14:paraId="257F45FA"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Risk reduction and screening of cancer in hereditary breast-ovarian cancer syndromes: ESMO Clinical Practice Guideline ‚òÜ</w:t>
            </w:r>
          </w:p>
        </w:tc>
        <w:tc>
          <w:tcPr>
            <w:tcW w:w="1531" w:type="dxa"/>
            <w:noWrap/>
            <w:vAlign w:val="center"/>
            <w:hideMark/>
          </w:tcPr>
          <w:p w14:paraId="1EAC47B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2022, International</w:t>
            </w:r>
          </w:p>
        </w:tc>
        <w:tc>
          <w:tcPr>
            <w:tcW w:w="1410" w:type="dxa"/>
            <w:noWrap/>
            <w:vAlign w:val="center"/>
            <w:hideMark/>
          </w:tcPr>
          <w:p w14:paraId="5248CED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4E32E16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10FDC5B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7297F2F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10.1016/j.annonc.202</w:t>
            </w:r>
            <w:r w:rsidRPr="00307043">
              <w:rPr>
                <w:rFonts w:ascii="Times New Roman" w:hAnsi="Times New Roman" w:cs="Times New Roman"/>
                <w:sz w:val="18"/>
                <w:szCs w:val="18"/>
              </w:rPr>
              <w:br/>
              <w:t>2.10.004</w:t>
            </w:r>
          </w:p>
        </w:tc>
      </w:tr>
      <w:tr w:rsidR="00307043" w:rsidRPr="00307043" w14:paraId="1A66DA03" w14:textId="77777777" w:rsidTr="750DD8A1">
        <w:trPr>
          <w:trHeight w:val="288"/>
        </w:trPr>
        <w:tc>
          <w:tcPr>
            <w:tcW w:w="8391" w:type="dxa"/>
            <w:noWrap/>
            <w:vAlign w:val="center"/>
            <w:hideMark/>
          </w:tcPr>
          <w:p w14:paraId="48C32C4F"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Consensus document on diagnosis and management of familial hypercholesterolemia from the Italian Society for the Study of Atherosclerosis (SISA).</w:t>
            </w:r>
          </w:p>
        </w:tc>
        <w:tc>
          <w:tcPr>
            <w:tcW w:w="1531" w:type="dxa"/>
            <w:noWrap/>
            <w:vAlign w:val="center"/>
            <w:hideMark/>
          </w:tcPr>
          <w:p w14:paraId="02879FE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Italy</w:t>
            </w:r>
          </w:p>
        </w:tc>
        <w:tc>
          <w:tcPr>
            <w:tcW w:w="1410" w:type="dxa"/>
            <w:noWrap/>
            <w:vAlign w:val="center"/>
            <w:hideMark/>
          </w:tcPr>
          <w:p w14:paraId="280D31A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Consensus statement</w:t>
            </w:r>
          </w:p>
        </w:tc>
        <w:tc>
          <w:tcPr>
            <w:tcW w:w="770" w:type="dxa"/>
            <w:noWrap/>
            <w:vAlign w:val="center"/>
            <w:hideMark/>
          </w:tcPr>
          <w:p w14:paraId="1D36FFB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61FC8F0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3107FC4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10.1016/j.numecd.20</w:t>
            </w:r>
            <w:r w:rsidRPr="00307043">
              <w:rPr>
                <w:rFonts w:ascii="Times New Roman" w:hAnsi="Times New Roman" w:cs="Times New Roman"/>
                <w:sz w:val="18"/>
                <w:szCs w:val="18"/>
              </w:rPr>
              <w:br/>
              <w:t>24.05.002</w:t>
            </w:r>
          </w:p>
        </w:tc>
      </w:tr>
      <w:tr w:rsidR="00307043" w:rsidRPr="00307043" w14:paraId="1762DB3D" w14:textId="77777777" w:rsidTr="750DD8A1">
        <w:trPr>
          <w:trHeight w:val="288"/>
        </w:trPr>
        <w:tc>
          <w:tcPr>
            <w:tcW w:w="8391" w:type="dxa"/>
            <w:noWrap/>
            <w:vAlign w:val="center"/>
            <w:hideMark/>
          </w:tcPr>
          <w:p w14:paraId="76C655DD"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Screening for Abdominal Aortic Aneurysm US Preventive Services Task Force Recommendation Statement</w:t>
            </w:r>
          </w:p>
        </w:tc>
        <w:tc>
          <w:tcPr>
            <w:tcW w:w="1531" w:type="dxa"/>
            <w:noWrap/>
            <w:vAlign w:val="center"/>
            <w:hideMark/>
          </w:tcPr>
          <w:p w14:paraId="31D9090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2019, USA</w:t>
            </w:r>
          </w:p>
        </w:tc>
        <w:tc>
          <w:tcPr>
            <w:tcW w:w="1410" w:type="dxa"/>
            <w:noWrap/>
            <w:vAlign w:val="center"/>
            <w:hideMark/>
          </w:tcPr>
          <w:p w14:paraId="6E3B3FC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720BB6D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46737EB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57D166D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10.1001/jama.2019.1</w:t>
            </w:r>
            <w:r w:rsidRPr="00307043">
              <w:rPr>
                <w:rFonts w:ascii="Times New Roman" w:hAnsi="Times New Roman" w:cs="Times New Roman"/>
                <w:sz w:val="18"/>
                <w:szCs w:val="18"/>
              </w:rPr>
              <w:br/>
              <w:t>8928</w:t>
            </w:r>
          </w:p>
        </w:tc>
      </w:tr>
      <w:tr w:rsidR="00307043" w:rsidRPr="00307043" w14:paraId="3B1376FA" w14:textId="77777777" w:rsidTr="750DD8A1">
        <w:trPr>
          <w:trHeight w:val="288"/>
        </w:trPr>
        <w:tc>
          <w:tcPr>
            <w:tcW w:w="8391" w:type="dxa"/>
            <w:noWrap/>
            <w:vAlign w:val="center"/>
            <w:hideMark/>
          </w:tcPr>
          <w:p w14:paraId="46816F2D"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Screening for lung cancer: 2023 guideline update from the American Cancer Society</w:t>
            </w:r>
          </w:p>
        </w:tc>
        <w:tc>
          <w:tcPr>
            <w:tcW w:w="1531" w:type="dxa"/>
            <w:noWrap/>
            <w:vAlign w:val="center"/>
            <w:hideMark/>
          </w:tcPr>
          <w:p w14:paraId="6E92FE2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USA</w:t>
            </w:r>
          </w:p>
        </w:tc>
        <w:tc>
          <w:tcPr>
            <w:tcW w:w="1410" w:type="dxa"/>
            <w:noWrap/>
            <w:vAlign w:val="center"/>
            <w:hideMark/>
          </w:tcPr>
          <w:p w14:paraId="182CA16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03384BF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21C776B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7C21E32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10.3322/caac.21811</w:t>
            </w:r>
          </w:p>
        </w:tc>
      </w:tr>
      <w:tr w:rsidR="00307043" w:rsidRPr="00307043" w14:paraId="79A579F2" w14:textId="77777777" w:rsidTr="750DD8A1">
        <w:trPr>
          <w:trHeight w:val="288"/>
        </w:trPr>
        <w:tc>
          <w:tcPr>
            <w:tcW w:w="8391" w:type="dxa"/>
            <w:noWrap/>
            <w:vAlign w:val="center"/>
            <w:hideMark/>
          </w:tcPr>
          <w:p w14:paraId="74C836C0"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Screening for Lung Cancer: CHEST Guideline and Expert Panel Report</w:t>
            </w:r>
          </w:p>
        </w:tc>
        <w:tc>
          <w:tcPr>
            <w:tcW w:w="1531" w:type="dxa"/>
            <w:noWrap/>
            <w:vAlign w:val="center"/>
            <w:hideMark/>
          </w:tcPr>
          <w:p w14:paraId="3FE94D1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2021, USA</w:t>
            </w:r>
          </w:p>
        </w:tc>
        <w:tc>
          <w:tcPr>
            <w:tcW w:w="1410" w:type="dxa"/>
            <w:noWrap/>
            <w:vAlign w:val="center"/>
            <w:hideMark/>
          </w:tcPr>
          <w:p w14:paraId="743FA0E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480CC28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2C90157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2E93DD8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10.1016/j.chest.2021</w:t>
            </w:r>
            <w:r w:rsidRPr="00307043">
              <w:rPr>
                <w:rFonts w:ascii="Times New Roman" w:hAnsi="Times New Roman" w:cs="Times New Roman"/>
                <w:sz w:val="18"/>
                <w:szCs w:val="18"/>
              </w:rPr>
              <w:br/>
              <w:t>.06.063</w:t>
            </w:r>
          </w:p>
        </w:tc>
      </w:tr>
      <w:tr w:rsidR="00307043" w:rsidRPr="00307043" w14:paraId="4C9318A0" w14:textId="77777777" w:rsidTr="750DD8A1">
        <w:trPr>
          <w:trHeight w:val="288"/>
        </w:trPr>
        <w:tc>
          <w:tcPr>
            <w:tcW w:w="8391" w:type="dxa"/>
            <w:noWrap/>
            <w:vAlign w:val="center"/>
            <w:hideMark/>
          </w:tcPr>
          <w:p w14:paraId="5C44422E"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Screening for Lung Cancer US Preventive Services Task Force Recommendation Statement</w:t>
            </w:r>
          </w:p>
        </w:tc>
        <w:tc>
          <w:tcPr>
            <w:tcW w:w="1531" w:type="dxa"/>
            <w:noWrap/>
            <w:vAlign w:val="center"/>
            <w:hideMark/>
          </w:tcPr>
          <w:p w14:paraId="41ABD5E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2021, USA</w:t>
            </w:r>
          </w:p>
        </w:tc>
        <w:tc>
          <w:tcPr>
            <w:tcW w:w="1410" w:type="dxa"/>
            <w:noWrap/>
            <w:vAlign w:val="center"/>
            <w:hideMark/>
          </w:tcPr>
          <w:p w14:paraId="783A983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7AEDB1B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0BC7CDE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0B335D6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10.1001/jama.2021.1</w:t>
            </w:r>
            <w:r w:rsidRPr="00307043">
              <w:rPr>
                <w:rFonts w:ascii="Times New Roman" w:hAnsi="Times New Roman" w:cs="Times New Roman"/>
                <w:sz w:val="18"/>
                <w:szCs w:val="18"/>
              </w:rPr>
              <w:br/>
              <w:t>117</w:t>
            </w:r>
          </w:p>
        </w:tc>
      </w:tr>
      <w:tr w:rsidR="00307043" w:rsidRPr="00307043" w14:paraId="23D77570" w14:textId="77777777" w:rsidTr="750DD8A1">
        <w:trPr>
          <w:trHeight w:val="288"/>
        </w:trPr>
        <w:tc>
          <w:tcPr>
            <w:tcW w:w="8391" w:type="dxa"/>
            <w:noWrap/>
            <w:vAlign w:val="center"/>
            <w:hideMark/>
          </w:tcPr>
          <w:p w14:paraId="422494A8"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lastRenderedPageBreak/>
              <w:t>Secondary Prevention of Ischemic Stroke: Updated Guidelines From AHA/ASA</w:t>
            </w:r>
          </w:p>
        </w:tc>
        <w:tc>
          <w:tcPr>
            <w:tcW w:w="1531" w:type="dxa"/>
            <w:noWrap/>
            <w:vAlign w:val="center"/>
            <w:hideMark/>
          </w:tcPr>
          <w:p w14:paraId="1067C56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2022, USA</w:t>
            </w:r>
          </w:p>
        </w:tc>
        <w:tc>
          <w:tcPr>
            <w:tcW w:w="1410" w:type="dxa"/>
            <w:noWrap/>
            <w:vAlign w:val="center"/>
            <w:hideMark/>
          </w:tcPr>
          <w:p w14:paraId="780CC81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1D6646F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77BC8B2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Alcohol, tobacco</w:t>
            </w:r>
          </w:p>
        </w:tc>
        <w:tc>
          <w:tcPr>
            <w:tcW w:w="2141" w:type="dxa"/>
            <w:vAlign w:val="center"/>
          </w:tcPr>
          <w:p w14:paraId="17333DD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hyperlink r:id="rId8" w:history="1">
              <w:r w:rsidRPr="00307043">
                <w:rPr>
                  <w:rStyle w:val="Hyperlink"/>
                  <w:rFonts w:ascii="Times New Roman" w:hAnsi="Times New Roman" w:cs="Times New Roman"/>
                  <w:color w:val="auto"/>
                  <w:sz w:val="18"/>
                  <w:szCs w:val="18"/>
                </w:rPr>
                <w:t>https://www.aafp.org</w:t>
              </w:r>
            </w:hyperlink>
            <w:r w:rsidRPr="00307043">
              <w:rPr>
                <w:rFonts w:ascii="Times New Roman" w:hAnsi="Times New Roman" w:cs="Times New Roman"/>
                <w:sz w:val="18"/>
                <w:szCs w:val="18"/>
              </w:rPr>
              <w:br/>
              <w:t>/pubs/afp/issues/2022</w:t>
            </w:r>
            <w:r w:rsidRPr="00307043">
              <w:rPr>
                <w:rFonts w:ascii="Times New Roman" w:hAnsi="Times New Roman" w:cs="Times New Roman"/>
                <w:sz w:val="18"/>
                <w:szCs w:val="18"/>
              </w:rPr>
              <w:br/>
              <w:t>/0100/p99.html</w:t>
            </w:r>
          </w:p>
        </w:tc>
      </w:tr>
      <w:tr w:rsidR="00307043" w:rsidRPr="00307043" w14:paraId="48BB89D9" w14:textId="77777777" w:rsidTr="750DD8A1">
        <w:trPr>
          <w:trHeight w:val="288"/>
        </w:trPr>
        <w:tc>
          <w:tcPr>
            <w:tcW w:w="8391" w:type="dxa"/>
            <w:noWrap/>
            <w:vAlign w:val="center"/>
            <w:hideMark/>
          </w:tcPr>
          <w:p w14:paraId="1BC0FC7E"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SEOM clinical guideline on hereditary colorectal cancer</w:t>
            </w:r>
          </w:p>
        </w:tc>
        <w:tc>
          <w:tcPr>
            <w:tcW w:w="1531" w:type="dxa"/>
            <w:noWrap/>
            <w:vAlign w:val="center"/>
            <w:hideMark/>
          </w:tcPr>
          <w:p w14:paraId="55A3271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2019, Spain</w:t>
            </w:r>
          </w:p>
        </w:tc>
        <w:tc>
          <w:tcPr>
            <w:tcW w:w="1410" w:type="dxa"/>
            <w:noWrap/>
            <w:vAlign w:val="center"/>
            <w:hideMark/>
          </w:tcPr>
          <w:p w14:paraId="6F1F9BD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2AAA2B9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5D5751B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79E7B29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hyperlink r:id="rId9" w:history="1">
              <w:r w:rsidRPr="00307043">
                <w:rPr>
                  <w:rStyle w:val="Hyperlink"/>
                  <w:rFonts w:ascii="Times New Roman" w:hAnsi="Times New Roman" w:cs="Times New Roman"/>
                  <w:color w:val="auto"/>
                  <w:sz w:val="18"/>
                  <w:szCs w:val="18"/>
                </w:rPr>
                <w:t>https://doi.org/10.100</w:t>
              </w:r>
            </w:hyperlink>
            <w:r w:rsidRPr="00307043">
              <w:rPr>
                <w:rFonts w:ascii="Times New Roman" w:hAnsi="Times New Roman" w:cs="Times New Roman"/>
                <w:sz w:val="18"/>
                <w:szCs w:val="18"/>
              </w:rPr>
              <w:br/>
              <w:t>7/s12094-019-02272-y</w:t>
            </w:r>
          </w:p>
        </w:tc>
      </w:tr>
      <w:tr w:rsidR="00307043" w:rsidRPr="00307043" w14:paraId="3FA8148E" w14:textId="77777777" w:rsidTr="750DD8A1">
        <w:trPr>
          <w:trHeight w:val="288"/>
        </w:trPr>
        <w:tc>
          <w:tcPr>
            <w:tcW w:w="8391" w:type="dxa"/>
            <w:noWrap/>
            <w:vAlign w:val="center"/>
            <w:hideMark/>
          </w:tcPr>
          <w:p w14:paraId="5DA423D2"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2021 ESC Guidelines for the diagnosis and treatment of acute and chronic heart failure: Developed by the Task Force for the diagnosis and treatment of acute and chronic heart failure of the European Society of Cardiology (ESC) With the special contribution of the Heart Failure Association (HFA) of the ESC</w:t>
            </w:r>
          </w:p>
        </w:tc>
        <w:tc>
          <w:tcPr>
            <w:tcW w:w="1531" w:type="dxa"/>
            <w:noWrap/>
            <w:vAlign w:val="center"/>
            <w:hideMark/>
          </w:tcPr>
          <w:p w14:paraId="7CFF0EE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2021, European</w:t>
            </w:r>
          </w:p>
        </w:tc>
        <w:tc>
          <w:tcPr>
            <w:tcW w:w="1410" w:type="dxa"/>
            <w:noWrap/>
            <w:vAlign w:val="center"/>
            <w:hideMark/>
          </w:tcPr>
          <w:p w14:paraId="5FEB5EB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639CEE7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167430B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027E3AF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10.1093/eurheartj/eha</w:t>
            </w:r>
            <w:r w:rsidRPr="00307043">
              <w:rPr>
                <w:rFonts w:ascii="Times New Roman" w:hAnsi="Times New Roman" w:cs="Times New Roman"/>
                <w:sz w:val="18"/>
                <w:szCs w:val="18"/>
              </w:rPr>
              <w:br/>
              <w:t>b368</w:t>
            </w:r>
          </w:p>
        </w:tc>
      </w:tr>
      <w:tr w:rsidR="00307043" w:rsidRPr="00307043" w14:paraId="2660B06E" w14:textId="77777777" w:rsidTr="750DD8A1">
        <w:trPr>
          <w:trHeight w:val="288"/>
        </w:trPr>
        <w:tc>
          <w:tcPr>
            <w:tcW w:w="8391" w:type="dxa"/>
            <w:noWrap/>
            <w:vAlign w:val="center"/>
            <w:hideMark/>
          </w:tcPr>
          <w:p w14:paraId="2E295FBC"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SEOM clinical guideline on heritable TP53-related cancer syndrome (2022)</w:t>
            </w:r>
          </w:p>
        </w:tc>
        <w:tc>
          <w:tcPr>
            <w:tcW w:w="1531" w:type="dxa"/>
            <w:noWrap/>
            <w:vAlign w:val="center"/>
            <w:hideMark/>
          </w:tcPr>
          <w:p w14:paraId="044A791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2022, Spain</w:t>
            </w:r>
          </w:p>
        </w:tc>
        <w:tc>
          <w:tcPr>
            <w:tcW w:w="1410" w:type="dxa"/>
            <w:noWrap/>
            <w:vAlign w:val="center"/>
            <w:hideMark/>
          </w:tcPr>
          <w:p w14:paraId="3814B11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0CD98BC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10D335E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11C7504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hyperlink r:id="rId10" w:history="1">
              <w:r w:rsidRPr="00307043">
                <w:rPr>
                  <w:rStyle w:val="Hyperlink"/>
                  <w:rFonts w:ascii="Times New Roman" w:hAnsi="Times New Roman" w:cs="Times New Roman"/>
                  <w:color w:val="auto"/>
                  <w:sz w:val="18"/>
                  <w:szCs w:val="18"/>
                </w:rPr>
                <w:t>https://doi.org/10.1007</w:t>
              </w:r>
            </w:hyperlink>
            <w:r w:rsidRPr="00307043">
              <w:rPr>
                <w:rFonts w:ascii="Times New Roman" w:hAnsi="Times New Roman" w:cs="Times New Roman"/>
                <w:sz w:val="18"/>
                <w:szCs w:val="18"/>
              </w:rPr>
              <w:br/>
              <w:t>/s12094-023-03202-9</w:t>
            </w:r>
          </w:p>
        </w:tc>
      </w:tr>
      <w:tr w:rsidR="00307043" w:rsidRPr="00307043" w14:paraId="30205443" w14:textId="77777777" w:rsidTr="750DD8A1">
        <w:trPr>
          <w:trHeight w:val="288"/>
        </w:trPr>
        <w:tc>
          <w:tcPr>
            <w:tcW w:w="8391" w:type="dxa"/>
            <w:noWrap/>
            <w:vAlign w:val="center"/>
            <w:hideMark/>
          </w:tcPr>
          <w:p w14:paraId="665D3B9C"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SEOM clinical guidelines in hereditary breast and ovarian cancer (2019)</w:t>
            </w:r>
          </w:p>
        </w:tc>
        <w:tc>
          <w:tcPr>
            <w:tcW w:w="1531" w:type="dxa"/>
            <w:noWrap/>
            <w:vAlign w:val="center"/>
            <w:hideMark/>
          </w:tcPr>
          <w:p w14:paraId="21C4ACB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2020, Spain</w:t>
            </w:r>
          </w:p>
        </w:tc>
        <w:tc>
          <w:tcPr>
            <w:tcW w:w="1410" w:type="dxa"/>
            <w:noWrap/>
            <w:vAlign w:val="center"/>
            <w:hideMark/>
          </w:tcPr>
          <w:p w14:paraId="112372B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17F4250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0C3D5BE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28FA948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10.1007/s12094-019-</w:t>
            </w:r>
            <w:r w:rsidRPr="00307043">
              <w:rPr>
                <w:rFonts w:ascii="Times New Roman" w:hAnsi="Times New Roman" w:cs="Times New Roman"/>
                <w:sz w:val="18"/>
                <w:szCs w:val="18"/>
              </w:rPr>
              <w:br/>
              <w:t>02262-0</w:t>
            </w:r>
          </w:p>
        </w:tc>
      </w:tr>
      <w:tr w:rsidR="00307043" w:rsidRPr="00307043" w14:paraId="067485F2" w14:textId="77777777" w:rsidTr="750DD8A1">
        <w:trPr>
          <w:trHeight w:val="288"/>
        </w:trPr>
        <w:tc>
          <w:tcPr>
            <w:tcW w:w="8391" w:type="dxa"/>
            <w:noWrap/>
            <w:vAlign w:val="center"/>
            <w:hideMark/>
          </w:tcPr>
          <w:p w14:paraId="634D4CAE"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SEOM-GEICO clinical guidelines on endometrial cancer (2021)</w:t>
            </w:r>
          </w:p>
        </w:tc>
        <w:tc>
          <w:tcPr>
            <w:tcW w:w="1531" w:type="dxa"/>
            <w:noWrap/>
            <w:vAlign w:val="center"/>
            <w:hideMark/>
          </w:tcPr>
          <w:p w14:paraId="27838DD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2022, Spain</w:t>
            </w:r>
          </w:p>
        </w:tc>
        <w:tc>
          <w:tcPr>
            <w:tcW w:w="1410" w:type="dxa"/>
            <w:noWrap/>
            <w:vAlign w:val="center"/>
            <w:hideMark/>
          </w:tcPr>
          <w:p w14:paraId="7CE5811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0B973A1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439C1DE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573424C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10.1007/s12094-022-</w:t>
            </w:r>
            <w:r w:rsidRPr="00307043">
              <w:rPr>
                <w:rFonts w:ascii="Times New Roman" w:hAnsi="Times New Roman" w:cs="Times New Roman"/>
                <w:sz w:val="18"/>
                <w:szCs w:val="18"/>
              </w:rPr>
              <w:br/>
              <w:t>02799-7</w:t>
            </w:r>
          </w:p>
        </w:tc>
      </w:tr>
      <w:tr w:rsidR="00307043" w:rsidRPr="00307043" w14:paraId="2E60B330" w14:textId="77777777" w:rsidTr="750DD8A1">
        <w:trPr>
          <w:trHeight w:val="288"/>
        </w:trPr>
        <w:tc>
          <w:tcPr>
            <w:tcW w:w="8391" w:type="dxa"/>
            <w:noWrap/>
            <w:vAlign w:val="center"/>
            <w:hideMark/>
          </w:tcPr>
          <w:p w14:paraId="3F43549A"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Survivorship Guidance for Patients with Colorectal Cancer</w:t>
            </w:r>
          </w:p>
        </w:tc>
        <w:tc>
          <w:tcPr>
            <w:tcW w:w="1531" w:type="dxa"/>
            <w:noWrap/>
            <w:vAlign w:val="center"/>
            <w:hideMark/>
          </w:tcPr>
          <w:p w14:paraId="151180E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2019, USA</w:t>
            </w:r>
          </w:p>
        </w:tc>
        <w:tc>
          <w:tcPr>
            <w:tcW w:w="1410" w:type="dxa"/>
            <w:noWrap/>
            <w:vAlign w:val="center"/>
            <w:hideMark/>
          </w:tcPr>
          <w:p w14:paraId="5B8BA39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170ED69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2F4BC57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08E4035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10.1007/s11864-019-</w:t>
            </w:r>
            <w:r w:rsidRPr="00307043">
              <w:rPr>
                <w:rFonts w:ascii="Times New Roman" w:hAnsi="Times New Roman" w:cs="Times New Roman"/>
                <w:sz w:val="18"/>
                <w:szCs w:val="18"/>
              </w:rPr>
              <w:br/>
              <w:t>0635-4</w:t>
            </w:r>
          </w:p>
        </w:tc>
      </w:tr>
      <w:tr w:rsidR="00307043" w:rsidRPr="00307043" w14:paraId="38F284E3" w14:textId="77777777" w:rsidTr="750DD8A1">
        <w:trPr>
          <w:trHeight w:val="288"/>
        </w:trPr>
        <w:tc>
          <w:tcPr>
            <w:tcW w:w="8391" w:type="dxa"/>
            <w:noWrap/>
            <w:vAlign w:val="center"/>
            <w:hideMark/>
          </w:tcPr>
          <w:p w14:paraId="4EC71413"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The first BGICC consensus and recommendations for breast cancer awareness, early detection and risk reduction in low- and middle-income countries and the MENA region</w:t>
            </w:r>
          </w:p>
        </w:tc>
        <w:tc>
          <w:tcPr>
            <w:tcW w:w="1531" w:type="dxa"/>
            <w:noWrap/>
            <w:vAlign w:val="center"/>
            <w:hideMark/>
          </w:tcPr>
          <w:p w14:paraId="4659FC5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2021, International</w:t>
            </w:r>
          </w:p>
        </w:tc>
        <w:tc>
          <w:tcPr>
            <w:tcW w:w="1410" w:type="dxa"/>
            <w:noWrap/>
            <w:vAlign w:val="center"/>
            <w:hideMark/>
          </w:tcPr>
          <w:p w14:paraId="05333F0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1A0493D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3CA8FC8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39EC4A7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10.1002/ijc.33506</w:t>
            </w:r>
          </w:p>
        </w:tc>
      </w:tr>
      <w:tr w:rsidR="00307043" w:rsidRPr="00307043" w14:paraId="19381E1C" w14:textId="77777777" w:rsidTr="750DD8A1">
        <w:trPr>
          <w:trHeight w:val="288"/>
        </w:trPr>
        <w:tc>
          <w:tcPr>
            <w:tcW w:w="8391" w:type="dxa"/>
            <w:noWrap/>
            <w:vAlign w:val="center"/>
            <w:hideMark/>
          </w:tcPr>
          <w:p w14:paraId="4AE0CC62"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The Japanese Breast Cancer Society clinical practice guidelines for epidemiology and prevention of breast cancer, 2022 edition</w:t>
            </w:r>
          </w:p>
        </w:tc>
        <w:tc>
          <w:tcPr>
            <w:tcW w:w="1531" w:type="dxa"/>
            <w:noWrap/>
            <w:vAlign w:val="center"/>
            <w:hideMark/>
          </w:tcPr>
          <w:p w14:paraId="2D0DB63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Japan</w:t>
            </w:r>
          </w:p>
        </w:tc>
        <w:tc>
          <w:tcPr>
            <w:tcW w:w="1410" w:type="dxa"/>
            <w:noWrap/>
            <w:vAlign w:val="center"/>
            <w:hideMark/>
          </w:tcPr>
          <w:p w14:paraId="021494C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6A9B871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6B9AEC3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3165609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10.1007/s12282-02</w:t>
            </w:r>
            <w:r w:rsidRPr="00307043">
              <w:rPr>
                <w:rFonts w:ascii="Times New Roman" w:hAnsi="Times New Roman" w:cs="Times New Roman"/>
                <w:sz w:val="18"/>
                <w:szCs w:val="18"/>
              </w:rPr>
              <w:br/>
              <w:t>3-01531-9</w:t>
            </w:r>
          </w:p>
        </w:tc>
      </w:tr>
      <w:tr w:rsidR="00307043" w:rsidRPr="00307043" w14:paraId="0B293377" w14:textId="77777777" w:rsidTr="750DD8A1">
        <w:trPr>
          <w:trHeight w:val="288"/>
        </w:trPr>
        <w:tc>
          <w:tcPr>
            <w:tcW w:w="8391" w:type="dxa"/>
            <w:noWrap/>
            <w:vAlign w:val="center"/>
            <w:hideMark/>
          </w:tcPr>
          <w:p w14:paraId="18E7DF0F"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2021 ESC Guidelines on cardiovascular disease prevention in clinical practice</w:t>
            </w:r>
          </w:p>
        </w:tc>
        <w:tc>
          <w:tcPr>
            <w:tcW w:w="1531" w:type="dxa"/>
            <w:noWrap/>
            <w:vAlign w:val="center"/>
            <w:hideMark/>
          </w:tcPr>
          <w:p w14:paraId="1264EF7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2022, European</w:t>
            </w:r>
          </w:p>
        </w:tc>
        <w:tc>
          <w:tcPr>
            <w:tcW w:w="1410" w:type="dxa"/>
            <w:noWrap/>
            <w:vAlign w:val="center"/>
            <w:hideMark/>
          </w:tcPr>
          <w:p w14:paraId="454421E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61D50A5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44FB3FC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75CB167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10.1093/eurjpc/zwab154</w:t>
            </w:r>
          </w:p>
        </w:tc>
      </w:tr>
      <w:tr w:rsidR="00307043" w:rsidRPr="00307043" w14:paraId="2B629FB1" w14:textId="77777777" w:rsidTr="750DD8A1">
        <w:trPr>
          <w:trHeight w:val="288"/>
        </w:trPr>
        <w:tc>
          <w:tcPr>
            <w:tcW w:w="8391" w:type="dxa"/>
            <w:noWrap/>
            <w:vAlign w:val="center"/>
            <w:hideMark/>
          </w:tcPr>
          <w:p w14:paraId="46A80F1B"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UK consensus recommendations for clinical management of cancer risk for women with germline pathogenic variants in cancer predisposition genes: RAD51C, RAD51D, BRIP1 and PALB2</w:t>
            </w:r>
          </w:p>
        </w:tc>
        <w:tc>
          <w:tcPr>
            <w:tcW w:w="1531" w:type="dxa"/>
            <w:noWrap/>
            <w:vAlign w:val="center"/>
            <w:hideMark/>
          </w:tcPr>
          <w:p w14:paraId="3858657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2022, United Kingdom</w:t>
            </w:r>
          </w:p>
        </w:tc>
        <w:tc>
          <w:tcPr>
            <w:tcW w:w="1410" w:type="dxa"/>
            <w:noWrap/>
            <w:vAlign w:val="center"/>
            <w:hideMark/>
          </w:tcPr>
          <w:p w14:paraId="323933D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Consensus statement</w:t>
            </w:r>
          </w:p>
        </w:tc>
        <w:tc>
          <w:tcPr>
            <w:tcW w:w="770" w:type="dxa"/>
            <w:noWrap/>
            <w:vAlign w:val="center"/>
            <w:hideMark/>
          </w:tcPr>
          <w:p w14:paraId="5787708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01F4398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114F545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10.1136/jmg-2022-1</w:t>
            </w:r>
            <w:r w:rsidRPr="00307043">
              <w:rPr>
                <w:rFonts w:ascii="Times New Roman" w:hAnsi="Times New Roman" w:cs="Times New Roman"/>
                <w:sz w:val="18"/>
                <w:szCs w:val="18"/>
              </w:rPr>
              <w:br/>
              <w:t>08898</w:t>
            </w:r>
          </w:p>
        </w:tc>
      </w:tr>
      <w:tr w:rsidR="00307043" w:rsidRPr="00307043" w14:paraId="72436134" w14:textId="77777777" w:rsidTr="750DD8A1">
        <w:trPr>
          <w:trHeight w:val="288"/>
        </w:trPr>
        <w:tc>
          <w:tcPr>
            <w:tcW w:w="8391" w:type="dxa"/>
            <w:noWrap/>
            <w:vAlign w:val="center"/>
            <w:hideMark/>
          </w:tcPr>
          <w:p w14:paraId="019501E0"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Update on the Recommendations on Breast Cancer Screening by the Cancer Expert Working Group on Cancer Prevention and Screening</w:t>
            </w:r>
          </w:p>
        </w:tc>
        <w:tc>
          <w:tcPr>
            <w:tcW w:w="1531" w:type="dxa"/>
            <w:noWrap/>
            <w:vAlign w:val="center"/>
            <w:hideMark/>
          </w:tcPr>
          <w:p w14:paraId="4C75A72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2022, Hong Kong</w:t>
            </w:r>
          </w:p>
        </w:tc>
        <w:tc>
          <w:tcPr>
            <w:tcW w:w="1410" w:type="dxa"/>
            <w:noWrap/>
            <w:vAlign w:val="center"/>
            <w:hideMark/>
          </w:tcPr>
          <w:p w14:paraId="589B10A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4FDBFCB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457BBF7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 physical activity</w:t>
            </w:r>
          </w:p>
        </w:tc>
        <w:tc>
          <w:tcPr>
            <w:tcW w:w="2141" w:type="dxa"/>
            <w:vAlign w:val="center"/>
          </w:tcPr>
          <w:p w14:paraId="376D2C2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10.12809/hkmj219622</w:t>
            </w:r>
          </w:p>
        </w:tc>
      </w:tr>
      <w:tr w:rsidR="00307043" w:rsidRPr="00307043" w14:paraId="2DD8B60A" w14:textId="77777777" w:rsidTr="750DD8A1">
        <w:trPr>
          <w:trHeight w:val="288"/>
        </w:trPr>
        <w:tc>
          <w:tcPr>
            <w:tcW w:w="8391" w:type="dxa"/>
            <w:noWrap/>
            <w:vAlign w:val="center"/>
            <w:hideMark/>
          </w:tcPr>
          <w:p w14:paraId="1DF4F8F6"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Updated cardiovascular prevention guideline of the Brazilian society of cardiology ‚Äì 2019</w:t>
            </w:r>
          </w:p>
        </w:tc>
        <w:tc>
          <w:tcPr>
            <w:tcW w:w="1531" w:type="dxa"/>
            <w:noWrap/>
            <w:vAlign w:val="center"/>
            <w:hideMark/>
          </w:tcPr>
          <w:p w14:paraId="59FFAC9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2019, Brazil</w:t>
            </w:r>
          </w:p>
        </w:tc>
        <w:tc>
          <w:tcPr>
            <w:tcW w:w="1410" w:type="dxa"/>
            <w:noWrap/>
            <w:vAlign w:val="center"/>
            <w:hideMark/>
          </w:tcPr>
          <w:p w14:paraId="408CF1A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7A2044F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4303F1F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09661FA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10.5935/abc.20190204</w:t>
            </w:r>
          </w:p>
        </w:tc>
      </w:tr>
      <w:tr w:rsidR="00307043" w:rsidRPr="00307043" w14:paraId="51423449" w14:textId="77777777" w:rsidTr="750DD8A1">
        <w:trPr>
          <w:trHeight w:val="288"/>
        </w:trPr>
        <w:tc>
          <w:tcPr>
            <w:tcW w:w="8391" w:type="dxa"/>
            <w:noWrap/>
            <w:vAlign w:val="center"/>
            <w:hideMark/>
          </w:tcPr>
          <w:p w14:paraId="6DCC60D7"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Updated Geriatric Cardiology Guidelines of the Brazilian Society of Cardiology – 2019</w:t>
            </w:r>
          </w:p>
        </w:tc>
        <w:tc>
          <w:tcPr>
            <w:tcW w:w="1531" w:type="dxa"/>
            <w:noWrap/>
            <w:vAlign w:val="center"/>
            <w:hideMark/>
          </w:tcPr>
          <w:p w14:paraId="54AC15A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2019, Brazil</w:t>
            </w:r>
          </w:p>
        </w:tc>
        <w:tc>
          <w:tcPr>
            <w:tcW w:w="1410" w:type="dxa"/>
            <w:noWrap/>
            <w:vAlign w:val="center"/>
            <w:hideMark/>
          </w:tcPr>
          <w:p w14:paraId="68C8C4E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79367BB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3A35760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2FFE7E5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10.5935/abc.20190086</w:t>
            </w:r>
          </w:p>
        </w:tc>
      </w:tr>
      <w:tr w:rsidR="00307043" w:rsidRPr="00307043" w14:paraId="23A7AAF4" w14:textId="77777777" w:rsidTr="750DD8A1">
        <w:trPr>
          <w:trHeight w:val="288"/>
        </w:trPr>
        <w:tc>
          <w:tcPr>
            <w:tcW w:w="8391" w:type="dxa"/>
            <w:noWrap/>
            <w:vAlign w:val="center"/>
            <w:hideMark/>
          </w:tcPr>
          <w:p w14:paraId="73DCBC71"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2022 ACC/AHA guideline for the diagnosis and management of aortic disease</w:t>
            </w:r>
          </w:p>
        </w:tc>
        <w:tc>
          <w:tcPr>
            <w:tcW w:w="1531" w:type="dxa"/>
            <w:noWrap/>
            <w:vAlign w:val="center"/>
            <w:hideMark/>
          </w:tcPr>
          <w:p w14:paraId="763638C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2023, USA</w:t>
            </w:r>
          </w:p>
        </w:tc>
        <w:tc>
          <w:tcPr>
            <w:tcW w:w="1410" w:type="dxa"/>
            <w:noWrap/>
            <w:vAlign w:val="center"/>
            <w:hideMark/>
          </w:tcPr>
          <w:p w14:paraId="192D22B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7399295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55D388D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 tobacco</w:t>
            </w:r>
          </w:p>
        </w:tc>
        <w:tc>
          <w:tcPr>
            <w:tcW w:w="2141" w:type="dxa"/>
            <w:vAlign w:val="center"/>
          </w:tcPr>
          <w:p w14:paraId="2F351D0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10.1016/j.jtcvs.2023.</w:t>
            </w:r>
            <w:r w:rsidRPr="00307043">
              <w:rPr>
                <w:rFonts w:ascii="Times New Roman" w:hAnsi="Times New Roman" w:cs="Times New Roman"/>
                <w:sz w:val="18"/>
                <w:szCs w:val="18"/>
              </w:rPr>
              <w:br/>
              <w:t>04.023</w:t>
            </w:r>
          </w:p>
        </w:tc>
      </w:tr>
      <w:tr w:rsidR="00307043" w:rsidRPr="00307043" w14:paraId="4B4943F7" w14:textId="77777777" w:rsidTr="750DD8A1">
        <w:trPr>
          <w:trHeight w:val="288"/>
        </w:trPr>
        <w:tc>
          <w:tcPr>
            <w:tcW w:w="8391" w:type="dxa"/>
            <w:noWrap/>
            <w:vAlign w:val="center"/>
            <w:hideMark/>
          </w:tcPr>
          <w:p w14:paraId="72560D75"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Endoscopic management of Lynch syndrome and of familial risk of colorectal cancer: European Society of Gastrointestinal Endoscopy (ESGE) Guideline</w:t>
            </w:r>
          </w:p>
        </w:tc>
        <w:tc>
          <w:tcPr>
            <w:tcW w:w="1531" w:type="dxa"/>
            <w:noWrap/>
            <w:vAlign w:val="center"/>
            <w:hideMark/>
          </w:tcPr>
          <w:p w14:paraId="6A4F31E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2019, European</w:t>
            </w:r>
          </w:p>
        </w:tc>
        <w:tc>
          <w:tcPr>
            <w:tcW w:w="1410" w:type="dxa"/>
            <w:noWrap/>
            <w:vAlign w:val="center"/>
            <w:hideMark/>
          </w:tcPr>
          <w:p w14:paraId="7B3A09B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7C937E0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4157D18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610D036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10.1055/a-1016-4977</w:t>
            </w:r>
          </w:p>
        </w:tc>
      </w:tr>
      <w:tr w:rsidR="00307043" w:rsidRPr="00307043" w14:paraId="7B370DE9" w14:textId="77777777" w:rsidTr="750DD8A1">
        <w:trPr>
          <w:trHeight w:val="288"/>
        </w:trPr>
        <w:tc>
          <w:tcPr>
            <w:tcW w:w="8391" w:type="dxa"/>
            <w:noWrap/>
            <w:vAlign w:val="center"/>
            <w:hideMark/>
          </w:tcPr>
          <w:p w14:paraId="54C12CA0"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Clinical Pharmacogenetics Implementation Consortium Guideline for CYP2C19 Genotype and Clopidogrel Therapy: 2022 Update</w:t>
            </w:r>
          </w:p>
        </w:tc>
        <w:tc>
          <w:tcPr>
            <w:tcW w:w="1531" w:type="dxa"/>
            <w:noWrap/>
            <w:vAlign w:val="center"/>
            <w:hideMark/>
          </w:tcPr>
          <w:p w14:paraId="11D9E46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2022, USA - Canada</w:t>
            </w:r>
          </w:p>
        </w:tc>
        <w:tc>
          <w:tcPr>
            <w:tcW w:w="1410" w:type="dxa"/>
            <w:noWrap/>
            <w:vAlign w:val="center"/>
            <w:hideMark/>
          </w:tcPr>
          <w:p w14:paraId="6F1CC51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3DC21CF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5ADDCAE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09BEE3D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10.1002/cpt.2526</w:t>
            </w:r>
          </w:p>
        </w:tc>
      </w:tr>
      <w:tr w:rsidR="00307043" w:rsidRPr="00307043" w14:paraId="6135F385" w14:textId="77777777" w:rsidTr="750DD8A1">
        <w:trPr>
          <w:trHeight w:val="288"/>
        </w:trPr>
        <w:tc>
          <w:tcPr>
            <w:tcW w:w="8391" w:type="dxa"/>
            <w:noWrap/>
            <w:vAlign w:val="center"/>
            <w:hideMark/>
          </w:tcPr>
          <w:p w14:paraId="0A1D91F1"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Fluoropyrimidine chemotherapy: Recommendations for DPYD genotyping and therapeutic drug monitoring of the swiss group of pharmacogenomics and personalised therapy</w:t>
            </w:r>
          </w:p>
        </w:tc>
        <w:tc>
          <w:tcPr>
            <w:tcW w:w="1531" w:type="dxa"/>
            <w:noWrap/>
            <w:vAlign w:val="center"/>
            <w:hideMark/>
          </w:tcPr>
          <w:p w14:paraId="2B748C6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2020, Switzerland</w:t>
            </w:r>
          </w:p>
        </w:tc>
        <w:tc>
          <w:tcPr>
            <w:tcW w:w="1410" w:type="dxa"/>
            <w:noWrap/>
            <w:vAlign w:val="center"/>
            <w:hideMark/>
          </w:tcPr>
          <w:p w14:paraId="313B8B6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545F166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5EEA50A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5E258A4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10.4414/smw.2020.</w:t>
            </w:r>
            <w:r w:rsidRPr="00307043">
              <w:rPr>
                <w:rFonts w:ascii="Times New Roman" w:hAnsi="Times New Roman" w:cs="Times New Roman"/>
                <w:sz w:val="18"/>
                <w:szCs w:val="18"/>
              </w:rPr>
              <w:br/>
              <w:t>20375</w:t>
            </w:r>
          </w:p>
        </w:tc>
      </w:tr>
      <w:tr w:rsidR="00307043" w:rsidRPr="00307043" w14:paraId="4E97630E" w14:textId="77777777" w:rsidTr="750DD8A1">
        <w:trPr>
          <w:trHeight w:val="288"/>
        </w:trPr>
        <w:tc>
          <w:tcPr>
            <w:tcW w:w="8391" w:type="dxa"/>
            <w:noWrap/>
            <w:vAlign w:val="center"/>
            <w:hideMark/>
          </w:tcPr>
          <w:p w14:paraId="6DCC2495"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Genetic/Familial High-Risk Assessment: Colorectal, Endometrial, and Gastric, Version 3.2024, NCCN Clinical Practice Guidelines In Oncology.</w:t>
            </w:r>
          </w:p>
        </w:tc>
        <w:tc>
          <w:tcPr>
            <w:tcW w:w="1531" w:type="dxa"/>
            <w:noWrap/>
            <w:vAlign w:val="center"/>
            <w:hideMark/>
          </w:tcPr>
          <w:p w14:paraId="4BA45E3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International</w:t>
            </w:r>
          </w:p>
        </w:tc>
        <w:tc>
          <w:tcPr>
            <w:tcW w:w="1410" w:type="dxa"/>
            <w:noWrap/>
            <w:vAlign w:val="center"/>
            <w:hideMark/>
          </w:tcPr>
          <w:p w14:paraId="7BBF480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743A615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7EB6620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35DBDC1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10.6004/jnccn.2024.0</w:t>
            </w:r>
            <w:r w:rsidRPr="00307043">
              <w:rPr>
                <w:rFonts w:ascii="Times New Roman" w:hAnsi="Times New Roman" w:cs="Times New Roman"/>
                <w:sz w:val="18"/>
                <w:szCs w:val="18"/>
              </w:rPr>
              <w:br/>
              <w:t>061</w:t>
            </w:r>
          </w:p>
        </w:tc>
      </w:tr>
      <w:tr w:rsidR="00307043" w:rsidRPr="00307043" w14:paraId="48B59786" w14:textId="77777777" w:rsidTr="750DD8A1">
        <w:trPr>
          <w:trHeight w:val="288"/>
        </w:trPr>
        <w:tc>
          <w:tcPr>
            <w:tcW w:w="8391" w:type="dxa"/>
            <w:noWrap/>
            <w:vAlign w:val="center"/>
            <w:hideMark/>
          </w:tcPr>
          <w:p w14:paraId="20BFDDDD"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UKCGG Consensus Group guidelines for the management of patients with constitutional TP53 pathogenic variants</w:t>
            </w:r>
          </w:p>
        </w:tc>
        <w:tc>
          <w:tcPr>
            <w:tcW w:w="1531" w:type="dxa"/>
            <w:noWrap/>
            <w:vAlign w:val="center"/>
            <w:hideMark/>
          </w:tcPr>
          <w:p w14:paraId="7BAF2F9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2020, UK</w:t>
            </w:r>
          </w:p>
        </w:tc>
        <w:tc>
          <w:tcPr>
            <w:tcW w:w="1410" w:type="dxa"/>
            <w:noWrap/>
            <w:vAlign w:val="center"/>
            <w:hideMark/>
          </w:tcPr>
          <w:p w14:paraId="0AC1989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4006849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551931C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42977D7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10.1136/jmedgenet-</w:t>
            </w:r>
            <w:r w:rsidRPr="00307043">
              <w:rPr>
                <w:rFonts w:ascii="Times New Roman" w:hAnsi="Times New Roman" w:cs="Times New Roman"/>
                <w:sz w:val="18"/>
                <w:szCs w:val="18"/>
              </w:rPr>
              <w:br/>
              <w:t>2020-106876</w:t>
            </w:r>
          </w:p>
        </w:tc>
      </w:tr>
      <w:tr w:rsidR="00307043" w:rsidRPr="00307043" w14:paraId="6AA261D1" w14:textId="77777777" w:rsidTr="750DD8A1">
        <w:trPr>
          <w:trHeight w:val="288"/>
        </w:trPr>
        <w:tc>
          <w:tcPr>
            <w:tcW w:w="8391" w:type="dxa"/>
            <w:noWrap/>
            <w:vAlign w:val="center"/>
            <w:hideMark/>
          </w:tcPr>
          <w:p w14:paraId="7982C039"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lastRenderedPageBreak/>
              <w:t>The Clinical Pharmacogenetics Implementation Consortium Guideline for SLCO1B1, ABCG2, and CYP2C9 genotypes and Statin-Associated Musculoskeletal Symptoms</w:t>
            </w:r>
          </w:p>
        </w:tc>
        <w:tc>
          <w:tcPr>
            <w:tcW w:w="1531" w:type="dxa"/>
            <w:noWrap/>
            <w:vAlign w:val="center"/>
            <w:hideMark/>
          </w:tcPr>
          <w:p w14:paraId="2815550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2023, International</w:t>
            </w:r>
          </w:p>
        </w:tc>
        <w:tc>
          <w:tcPr>
            <w:tcW w:w="1410" w:type="dxa"/>
            <w:noWrap/>
            <w:vAlign w:val="center"/>
            <w:hideMark/>
          </w:tcPr>
          <w:p w14:paraId="556BAD0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1ED8F9C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04F3D94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19E4692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10.1002/cpt.2557</w:t>
            </w:r>
          </w:p>
        </w:tc>
      </w:tr>
      <w:tr w:rsidR="00307043" w:rsidRPr="00307043" w14:paraId="1F81D25C" w14:textId="77777777" w:rsidTr="750DD8A1">
        <w:trPr>
          <w:trHeight w:val="288"/>
        </w:trPr>
        <w:tc>
          <w:tcPr>
            <w:tcW w:w="8391" w:type="dxa"/>
            <w:noWrap/>
            <w:vAlign w:val="center"/>
            <w:hideMark/>
          </w:tcPr>
          <w:p w14:paraId="728F83A9"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European guidelines from the EHTG and ESCP for Lynch syndrome: An updated third edition of the Mallorca guidelines based on gene and gender</w:t>
            </w:r>
          </w:p>
        </w:tc>
        <w:tc>
          <w:tcPr>
            <w:tcW w:w="1531" w:type="dxa"/>
            <w:noWrap/>
            <w:vAlign w:val="center"/>
            <w:hideMark/>
          </w:tcPr>
          <w:p w14:paraId="06BAEA7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2021, European</w:t>
            </w:r>
          </w:p>
        </w:tc>
        <w:tc>
          <w:tcPr>
            <w:tcW w:w="1410" w:type="dxa"/>
            <w:noWrap/>
            <w:vAlign w:val="center"/>
            <w:hideMark/>
          </w:tcPr>
          <w:p w14:paraId="4BC1019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4666C01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6EE4221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40FC061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hyperlink r:id="rId11" w:history="1">
              <w:r w:rsidRPr="00307043">
                <w:rPr>
                  <w:rStyle w:val="Hyperlink"/>
                  <w:rFonts w:ascii="Times New Roman" w:hAnsi="Times New Roman" w:cs="Times New Roman"/>
                  <w:color w:val="auto"/>
                  <w:sz w:val="18"/>
                  <w:szCs w:val="18"/>
                </w:rPr>
                <w:t>https://doi.org/10.10</w:t>
              </w:r>
            </w:hyperlink>
            <w:r w:rsidRPr="00307043">
              <w:rPr>
                <w:rFonts w:ascii="Times New Roman" w:hAnsi="Times New Roman" w:cs="Times New Roman"/>
                <w:sz w:val="18"/>
                <w:szCs w:val="18"/>
              </w:rPr>
              <w:br/>
              <w:t>02/bjs.11902</w:t>
            </w:r>
          </w:p>
        </w:tc>
      </w:tr>
      <w:tr w:rsidR="00307043" w:rsidRPr="00307043" w14:paraId="05308DC3" w14:textId="77777777" w:rsidTr="750DD8A1">
        <w:trPr>
          <w:trHeight w:val="288"/>
        </w:trPr>
        <w:tc>
          <w:tcPr>
            <w:tcW w:w="8391" w:type="dxa"/>
            <w:noWrap/>
            <w:vAlign w:val="center"/>
            <w:hideMark/>
          </w:tcPr>
          <w:p w14:paraId="526FC386"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Update on Cancer Predisposition Syndromes and Surveillance Guidelines for Childhood Brain Tumors</w:t>
            </w:r>
          </w:p>
        </w:tc>
        <w:tc>
          <w:tcPr>
            <w:tcW w:w="1531" w:type="dxa"/>
            <w:noWrap/>
            <w:vAlign w:val="center"/>
            <w:hideMark/>
          </w:tcPr>
          <w:p w14:paraId="24ACDD0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International</w:t>
            </w:r>
          </w:p>
        </w:tc>
        <w:tc>
          <w:tcPr>
            <w:tcW w:w="1410" w:type="dxa"/>
            <w:noWrap/>
            <w:vAlign w:val="center"/>
            <w:hideMark/>
          </w:tcPr>
          <w:p w14:paraId="16A8E86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68E7B4F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1C165ED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21423D2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10.1158/1078-0432.C</w:t>
            </w:r>
            <w:r w:rsidRPr="00307043">
              <w:rPr>
                <w:rFonts w:ascii="Times New Roman" w:hAnsi="Times New Roman" w:cs="Times New Roman"/>
                <w:sz w:val="18"/>
                <w:szCs w:val="18"/>
              </w:rPr>
              <w:br/>
              <w:t>CR-23-4033</w:t>
            </w:r>
          </w:p>
        </w:tc>
      </w:tr>
      <w:tr w:rsidR="00307043" w:rsidRPr="00307043" w14:paraId="616656D9" w14:textId="77777777" w:rsidTr="750DD8A1">
        <w:trPr>
          <w:trHeight w:val="288"/>
        </w:trPr>
        <w:tc>
          <w:tcPr>
            <w:tcW w:w="8391" w:type="dxa"/>
            <w:noWrap/>
            <w:vAlign w:val="center"/>
            <w:hideMark/>
          </w:tcPr>
          <w:p w14:paraId="32BB12BC"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Updated European guidelines for clinical management of familial adenomatous polyposis (FAP), MUTYH-associated polyposis (MAP), gastric adenocarcinoma, proximal polyposis of the stomach (GAPPS) and other rare adenomatous polyposis syndromes: a joint EHTG-ESCP revision</w:t>
            </w:r>
          </w:p>
        </w:tc>
        <w:tc>
          <w:tcPr>
            <w:tcW w:w="1531" w:type="dxa"/>
            <w:noWrap/>
            <w:vAlign w:val="center"/>
            <w:hideMark/>
          </w:tcPr>
          <w:p w14:paraId="4DCA862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International</w:t>
            </w:r>
          </w:p>
        </w:tc>
        <w:tc>
          <w:tcPr>
            <w:tcW w:w="1410" w:type="dxa"/>
            <w:noWrap/>
            <w:vAlign w:val="center"/>
            <w:hideMark/>
          </w:tcPr>
          <w:p w14:paraId="6D8A119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64D18BE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55F0B95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0F022C3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hyperlink r:id="rId12" w:history="1">
              <w:r w:rsidRPr="00307043">
                <w:rPr>
                  <w:rStyle w:val="Hyperlink"/>
                  <w:rFonts w:ascii="Times New Roman" w:hAnsi="Times New Roman" w:cs="Times New Roman"/>
                  <w:color w:val="auto"/>
                  <w:sz w:val="18"/>
                  <w:szCs w:val="18"/>
                </w:rPr>
                <w:t>https://doi.org/10.109</w:t>
              </w:r>
            </w:hyperlink>
            <w:r w:rsidRPr="00307043">
              <w:rPr>
                <w:rFonts w:ascii="Times New Roman" w:hAnsi="Times New Roman" w:cs="Times New Roman"/>
                <w:sz w:val="18"/>
                <w:szCs w:val="18"/>
              </w:rPr>
              <w:br/>
              <w:t>3/bjs/znae070</w:t>
            </w:r>
          </w:p>
        </w:tc>
      </w:tr>
      <w:tr w:rsidR="00307043" w:rsidRPr="00307043" w14:paraId="2DF415DD" w14:textId="77777777" w:rsidTr="750DD8A1">
        <w:trPr>
          <w:trHeight w:val="288"/>
        </w:trPr>
        <w:tc>
          <w:tcPr>
            <w:tcW w:w="8391" w:type="dxa"/>
            <w:noWrap/>
            <w:vAlign w:val="center"/>
            <w:hideMark/>
          </w:tcPr>
          <w:p w14:paraId="2E1EB71F"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Dutch pharmacogenetics working group (DPWG) guideline for the gene–drug interaction between UGT1A1 and irinotecan</w:t>
            </w:r>
          </w:p>
        </w:tc>
        <w:tc>
          <w:tcPr>
            <w:tcW w:w="1531" w:type="dxa"/>
            <w:noWrap/>
            <w:vAlign w:val="center"/>
            <w:hideMark/>
          </w:tcPr>
          <w:p w14:paraId="6B63F68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2023, Netherland</w:t>
            </w:r>
          </w:p>
        </w:tc>
        <w:tc>
          <w:tcPr>
            <w:tcW w:w="1410" w:type="dxa"/>
            <w:noWrap/>
            <w:vAlign w:val="center"/>
            <w:hideMark/>
          </w:tcPr>
          <w:p w14:paraId="74F48F5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652B42A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47AA243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653B45D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10.1038/s41431-022-0</w:t>
            </w:r>
            <w:r w:rsidRPr="00307043">
              <w:rPr>
                <w:rFonts w:ascii="Times New Roman" w:hAnsi="Times New Roman" w:cs="Times New Roman"/>
                <w:sz w:val="18"/>
                <w:szCs w:val="18"/>
              </w:rPr>
              <w:br/>
              <w:t>1243-2</w:t>
            </w:r>
          </w:p>
        </w:tc>
      </w:tr>
      <w:tr w:rsidR="00307043" w:rsidRPr="00307043" w14:paraId="762EA1F5" w14:textId="77777777" w:rsidTr="750DD8A1">
        <w:trPr>
          <w:trHeight w:val="288"/>
        </w:trPr>
        <w:tc>
          <w:tcPr>
            <w:tcW w:w="8391" w:type="dxa"/>
            <w:noWrap/>
            <w:vAlign w:val="center"/>
            <w:hideMark/>
          </w:tcPr>
          <w:p w14:paraId="07F78C51"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Clinical Pharmacogenetics Implementation Consortium (CPIC) Guideline for CYP2D6, CYP2C19, CYP2B6, SLC6A4, and HTR2A Genotypes and Serotonin Reuptake Inhibitor Antidepressants</w:t>
            </w:r>
          </w:p>
        </w:tc>
        <w:tc>
          <w:tcPr>
            <w:tcW w:w="1531" w:type="dxa"/>
            <w:noWrap/>
            <w:vAlign w:val="center"/>
            <w:hideMark/>
          </w:tcPr>
          <w:p w14:paraId="3ECEA86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2023, USA - Canada</w:t>
            </w:r>
          </w:p>
        </w:tc>
        <w:tc>
          <w:tcPr>
            <w:tcW w:w="1410" w:type="dxa"/>
            <w:noWrap/>
            <w:vAlign w:val="center"/>
            <w:hideMark/>
          </w:tcPr>
          <w:p w14:paraId="191FABB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6F0AA68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Mental health</w:t>
            </w:r>
          </w:p>
        </w:tc>
        <w:tc>
          <w:tcPr>
            <w:tcW w:w="765" w:type="dxa"/>
            <w:noWrap/>
            <w:vAlign w:val="center"/>
            <w:hideMark/>
          </w:tcPr>
          <w:p w14:paraId="06A455B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697986A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10.1002/cpt.2903</w:t>
            </w:r>
          </w:p>
        </w:tc>
      </w:tr>
      <w:tr w:rsidR="00307043" w:rsidRPr="00307043" w14:paraId="7288981B" w14:textId="77777777" w:rsidTr="750DD8A1">
        <w:trPr>
          <w:trHeight w:val="288"/>
        </w:trPr>
        <w:tc>
          <w:tcPr>
            <w:tcW w:w="8391" w:type="dxa"/>
            <w:noWrap/>
            <w:vAlign w:val="center"/>
            <w:hideMark/>
          </w:tcPr>
          <w:p w14:paraId="76081B2D"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Cancer risk-reducing surgery: Brazilian society of surgical oncology guideline part 1 (gynecology and breast)</w:t>
            </w:r>
          </w:p>
        </w:tc>
        <w:tc>
          <w:tcPr>
            <w:tcW w:w="1531" w:type="dxa"/>
            <w:noWrap/>
            <w:vAlign w:val="center"/>
            <w:hideMark/>
          </w:tcPr>
          <w:p w14:paraId="3007923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2022, Brazil</w:t>
            </w:r>
          </w:p>
        </w:tc>
        <w:tc>
          <w:tcPr>
            <w:tcW w:w="1410" w:type="dxa"/>
            <w:noWrap/>
            <w:vAlign w:val="center"/>
            <w:hideMark/>
          </w:tcPr>
          <w:p w14:paraId="2D8063F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31874EA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2EE1FDD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2ED312E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10.1002/jso.26812</w:t>
            </w:r>
          </w:p>
        </w:tc>
      </w:tr>
      <w:tr w:rsidR="00307043" w:rsidRPr="00307043" w14:paraId="708F6DE4" w14:textId="77777777" w:rsidTr="750DD8A1">
        <w:trPr>
          <w:trHeight w:val="300"/>
        </w:trPr>
        <w:tc>
          <w:tcPr>
            <w:tcW w:w="8391" w:type="dxa"/>
            <w:noWrap/>
            <w:vAlign w:val="center"/>
            <w:hideMark/>
          </w:tcPr>
          <w:p w14:paraId="7D40377F"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Guidelines for the Li–Fraumeni and heritable TP53-related cancer syndromes</w:t>
            </w:r>
          </w:p>
        </w:tc>
        <w:tc>
          <w:tcPr>
            <w:tcW w:w="1531" w:type="dxa"/>
            <w:noWrap/>
            <w:vAlign w:val="center"/>
            <w:hideMark/>
          </w:tcPr>
          <w:p w14:paraId="239DEE5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2020, International</w:t>
            </w:r>
          </w:p>
        </w:tc>
        <w:tc>
          <w:tcPr>
            <w:tcW w:w="1410" w:type="dxa"/>
            <w:noWrap/>
            <w:vAlign w:val="center"/>
            <w:hideMark/>
          </w:tcPr>
          <w:p w14:paraId="7CCE168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094475A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2262F59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49738A5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10.1038/s41431-020-0</w:t>
            </w:r>
            <w:r w:rsidRPr="00307043">
              <w:rPr>
                <w:rFonts w:ascii="Times New Roman" w:hAnsi="Times New Roman" w:cs="Times New Roman"/>
                <w:sz w:val="18"/>
                <w:szCs w:val="18"/>
              </w:rPr>
              <w:br/>
              <w:t>638-4</w:t>
            </w:r>
          </w:p>
        </w:tc>
      </w:tr>
      <w:tr w:rsidR="00307043" w:rsidRPr="00307043" w14:paraId="6EB56CA3" w14:textId="77777777" w:rsidTr="750DD8A1">
        <w:trPr>
          <w:trHeight w:val="288"/>
        </w:trPr>
        <w:tc>
          <w:tcPr>
            <w:tcW w:w="8391" w:type="dxa"/>
            <w:noWrap/>
            <w:vAlign w:val="center"/>
            <w:hideMark/>
          </w:tcPr>
          <w:p w14:paraId="4977C3CE"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2022 Consensus Statement on the Management of Familial Hypercholesterolemia in Korea</w:t>
            </w:r>
          </w:p>
        </w:tc>
        <w:tc>
          <w:tcPr>
            <w:tcW w:w="1531" w:type="dxa"/>
            <w:noWrap/>
            <w:vAlign w:val="center"/>
            <w:hideMark/>
          </w:tcPr>
          <w:p w14:paraId="129F98F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2022, South korea</w:t>
            </w:r>
          </w:p>
        </w:tc>
        <w:tc>
          <w:tcPr>
            <w:tcW w:w="1410" w:type="dxa"/>
            <w:noWrap/>
            <w:vAlign w:val="center"/>
            <w:hideMark/>
          </w:tcPr>
          <w:p w14:paraId="0FBC217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Consensus statement</w:t>
            </w:r>
          </w:p>
        </w:tc>
        <w:tc>
          <w:tcPr>
            <w:tcW w:w="770" w:type="dxa"/>
            <w:noWrap/>
            <w:vAlign w:val="center"/>
            <w:hideMark/>
          </w:tcPr>
          <w:p w14:paraId="3F5D5F2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7C180B1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416F87B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hyperlink r:id="rId13" w:history="1">
              <w:r w:rsidRPr="00307043">
                <w:rPr>
                  <w:rStyle w:val="Hyperlink"/>
                  <w:rFonts w:ascii="Times New Roman" w:hAnsi="Times New Roman" w:cs="Times New Roman"/>
                  <w:color w:val="auto"/>
                  <w:sz w:val="18"/>
                  <w:szCs w:val="18"/>
                </w:rPr>
                <w:t>https://doi.org/10.129</w:t>
              </w:r>
            </w:hyperlink>
            <w:r w:rsidRPr="00307043">
              <w:rPr>
                <w:rFonts w:ascii="Times New Roman" w:hAnsi="Times New Roman" w:cs="Times New Roman"/>
                <w:sz w:val="18"/>
                <w:szCs w:val="18"/>
              </w:rPr>
              <w:br/>
              <w:t>97/jla.2022.11.3.213</w:t>
            </w:r>
          </w:p>
        </w:tc>
      </w:tr>
      <w:tr w:rsidR="00307043" w:rsidRPr="00307043" w14:paraId="23C725EF" w14:textId="77777777" w:rsidTr="750DD8A1">
        <w:trPr>
          <w:trHeight w:val="288"/>
        </w:trPr>
        <w:tc>
          <w:tcPr>
            <w:tcW w:w="8391" w:type="dxa"/>
            <w:noWrap/>
            <w:vAlign w:val="center"/>
            <w:hideMark/>
          </w:tcPr>
          <w:p w14:paraId="4115932A"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Dutch Pharmacogenetics Working Group (DPWG) guideline for the gene–drug interaction of DPYD and fluoropyrimidines</w:t>
            </w:r>
          </w:p>
        </w:tc>
        <w:tc>
          <w:tcPr>
            <w:tcW w:w="1531" w:type="dxa"/>
            <w:noWrap/>
            <w:vAlign w:val="center"/>
            <w:hideMark/>
          </w:tcPr>
          <w:p w14:paraId="73BB861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2020, Netherland</w:t>
            </w:r>
          </w:p>
        </w:tc>
        <w:tc>
          <w:tcPr>
            <w:tcW w:w="1410" w:type="dxa"/>
            <w:noWrap/>
            <w:vAlign w:val="center"/>
            <w:hideMark/>
          </w:tcPr>
          <w:p w14:paraId="7C14771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3829EA6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3B122FA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43BC243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10.1038/s41431-019-0</w:t>
            </w:r>
            <w:r w:rsidRPr="00307043">
              <w:rPr>
                <w:rFonts w:ascii="Times New Roman" w:hAnsi="Times New Roman" w:cs="Times New Roman"/>
                <w:sz w:val="18"/>
                <w:szCs w:val="18"/>
              </w:rPr>
              <w:br/>
              <w:t>540-0</w:t>
            </w:r>
          </w:p>
        </w:tc>
      </w:tr>
      <w:tr w:rsidR="00307043" w:rsidRPr="00307043" w14:paraId="361C54F4" w14:textId="77777777" w:rsidTr="750DD8A1">
        <w:trPr>
          <w:trHeight w:val="288"/>
        </w:trPr>
        <w:tc>
          <w:tcPr>
            <w:tcW w:w="8391" w:type="dxa"/>
            <w:noWrap/>
            <w:vAlign w:val="center"/>
            <w:hideMark/>
          </w:tcPr>
          <w:p w14:paraId="2A06F946"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2018 AHA/ACC/AACVPR/AAPA/ABC/ACPM/ADA/AGS/APhA/ASPC/NLA/PCNA Guideline on the Management of Blood Cholesterol: A Report of the American College of Cardiology/American Heart Association Task Force on Clinical Practice Guidelines</w:t>
            </w:r>
          </w:p>
        </w:tc>
        <w:tc>
          <w:tcPr>
            <w:tcW w:w="1531" w:type="dxa"/>
            <w:noWrap/>
            <w:vAlign w:val="center"/>
            <w:hideMark/>
          </w:tcPr>
          <w:p w14:paraId="6895B5C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2019, International</w:t>
            </w:r>
          </w:p>
        </w:tc>
        <w:tc>
          <w:tcPr>
            <w:tcW w:w="1410" w:type="dxa"/>
            <w:noWrap/>
            <w:vAlign w:val="center"/>
            <w:hideMark/>
          </w:tcPr>
          <w:p w14:paraId="526BEB8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1137C8D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2421241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2673735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10.1161/CIR.0000000</w:t>
            </w:r>
            <w:r w:rsidRPr="00307043">
              <w:rPr>
                <w:rFonts w:ascii="Times New Roman" w:hAnsi="Times New Roman" w:cs="Times New Roman"/>
                <w:sz w:val="18"/>
                <w:szCs w:val="18"/>
              </w:rPr>
              <w:br/>
              <w:t>000000625</w:t>
            </w:r>
          </w:p>
        </w:tc>
      </w:tr>
      <w:tr w:rsidR="00307043" w:rsidRPr="00307043" w14:paraId="1105B481" w14:textId="77777777" w:rsidTr="750DD8A1">
        <w:trPr>
          <w:trHeight w:val="288"/>
        </w:trPr>
        <w:tc>
          <w:tcPr>
            <w:tcW w:w="8391" w:type="dxa"/>
            <w:noWrap/>
            <w:vAlign w:val="center"/>
            <w:hideMark/>
          </w:tcPr>
          <w:p w14:paraId="77F3DCA5"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2021 Focused update of the 2017 consensus guidelines of the Asia Pacific Heart Rhythm Society (APHRS) on stroke prevention in atrial fibrillation</w:t>
            </w:r>
          </w:p>
        </w:tc>
        <w:tc>
          <w:tcPr>
            <w:tcW w:w="1531" w:type="dxa"/>
            <w:noWrap/>
            <w:vAlign w:val="center"/>
            <w:hideMark/>
          </w:tcPr>
          <w:p w14:paraId="6164952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2021, Asia</w:t>
            </w:r>
          </w:p>
        </w:tc>
        <w:tc>
          <w:tcPr>
            <w:tcW w:w="1410" w:type="dxa"/>
            <w:noWrap/>
            <w:vAlign w:val="center"/>
            <w:hideMark/>
          </w:tcPr>
          <w:p w14:paraId="6ABA287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02AF6BC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1EC5444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Alcohol</w:t>
            </w:r>
          </w:p>
        </w:tc>
        <w:tc>
          <w:tcPr>
            <w:tcW w:w="2141" w:type="dxa"/>
            <w:vAlign w:val="center"/>
          </w:tcPr>
          <w:p w14:paraId="10D9DD2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10.1055/s-0041-173</w:t>
            </w:r>
            <w:r w:rsidRPr="00307043">
              <w:rPr>
                <w:rFonts w:ascii="Times New Roman" w:hAnsi="Times New Roman" w:cs="Times New Roman"/>
                <w:sz w:val="18"/>
                <w:szCs w:val="18"/>
              </w:rPr>
              <w:br/>
              <w:t>9411</w:t>
            </w:r>
          </w:p>
        </w:tc>
      </w:tr>
      <w:tr w:rsidR="00307043" w:rsidRPr="00307043" w14:paraId="0244C1F0" w14:textId="77777777" w:rsidTr="750DD8A1">
        <w:trPr>
          <w:trHeight w:val="288"/>
        </w:trPr>
        <w:tc>
          <w:tcPr>
            <w:tcW w:w="8391" w:type="dxa"/>
            <w:noWrap/>
            <w:vAlign w:val="center"/>
            <w:hideMark/>
          </w:tcPr>
          <w:p w14:paraId="22EA6719"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Chinese Stroke Association guidelines for clinical management of ischaemic cerebrovascular diseases: executive summary and 2023 update</w:t>
            </w:r>
          </w:p>
        </w:tc>
        <w:tc>
          <w:tcPr>
            <w:tcW w:w="1531" w:type="dxa"/>
            <w:noWrap/>
            <w:vAlign w:val="center"/>
            <w:hideMark/>
          </w:tcPr>
          <w:p w14:paraId="1581E05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2023, China</w:t>
            </w:r>
          </w:p>
        </w:tc>
        <w:tc>
          <w:tcPr>
            <w:tcW w:w="1410" w:type="dxa"/>
            <w:noWrap/>
            <w:vAlign w:val="center"/>
            <w:hideMark/>
          </w:tcPr>
          <w:p w14:paraId="3287E3D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223C631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01B2DEE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Alcohol, tobacco</w:t>
            </w:r>
          </w:p>
        </w:tc>
        <w:tc>
          <w:tcPr>
            <w:tcW w:w="2141" w:type="dxa"/>
            <w:vAlign w:val="center"/>
          </w:tcPr>
          <w:p w14:paraId="461DDA1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10.1136/svn-2023-0</w:t>
            </w:r>
            <w:r w:rsidRPr="00307043">
              <w:rPr>
                <w:rFonts w:ascii="Times New Roman" w:hAnsi="Times New Roman" w:cs="Times New Roman"/>
                <w:sz w:val="18"/>
                <w:szCs w:val="18"/>
              </w:rPr>
              <w:br/>
              <w:t>02998</w:t>
            </w:r>
          </w:p>
        </w:tc>
      </w:tr>
      <w:tr w:rsidR="00307043" w:rsidRPr="00307043" w14:paraId="639F4DB1" w14:textId="77777777" w:rsidTr="750DD8A1">
        <w:trPr>
          <w:trHeight w:val="288"/>
        </w:trPr>
        <w:tc>
          <w:tcPr>
            <w:tcW w:w="8391" w:type="dxa"/>
            <w:noWrap/>
            <w:vAlign w:val="center"/>
            <w:hideMark/>
          </w:tcPr>
          <w:p w14:paraId="22D0B7EE"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Ovarian cancer: identifying and managing familial and genetic risk</w:t>
            </w:r>
          </w:p>
        </w:tc>
        <w:tc>
          <w:tcPr>
            <w:tcW w:w="1531" w:type="dxa"/>
            <w:noWrap/>
            <w:vAlign w:val="center"/>
            <w:hideMark/>
          </w:tcPr>
          <w:p w14:paraId="3C2CF19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UK</w:t>
            </w:r>
          </w:p>
        </w:tc>
        <w:tc>
          <w:tcPr>
            <w:tcW w:w="1410" w:type="dxa"/>
            <w:noWrap/>
            <w:vAlign w:val="center"/>
            <w:hideMark/>
          </w:tcPr>
          <w:p w14:paraId="233D0D5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78349FA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15DD076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5B72F14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https://www.nice.org.</w:t>
            </w:r>
            <w:r w:rsidRPr="00307043">
              <w:rPr>
                <w:rFonts w:ascii="Times New Roman" w:hAnsi="Times New Roman" w:cs="Times New Roman"/>
                <w:sz w:val="18"/>
                <w:szCs w:val="18"/>
              </w:rPr>
              <w:br/>
              <w:t>uk/guidance/ng241</w:t>
            </w:r>
          </w:p>
        </w:tc>
      </w:tr>
      <w:tr w:rsidR="00307043" w:rsidRPr="00307043" w14:paraId="25A14C87" w14:textId="77777777" w:rsidTr="750DD8A1">
        <w:trPr>
          <w:trHeight w:val="288"/>
        </w:trPr>
        <w:tc>
          <w:tcPr>
            <w:tcW w:w="8391" w:type="dxa"/>
            <w:noWrap/>
            <w:vAlign w:val="center"/>
            <w:hideMark/>
          </w:tcPr>
          <w:p w14:paraId="717466C6"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2023 ESC Guidelines for the management of cardiomyopathies</w:t>
            </w:r>
          </w:p>
        </w:tc>
        <w:tc>
          <w:tcPr>
            <w:tcW w:w="1531" w:type="dxa"/>
            <w:noWrap/>
            <w:vAlign w:val="center"/>
            <w:hideMark/>
          </w:tcPr>
          <w:p w14:paraId="1997B43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2023, International</w:t>
            </w:r>
          </w:p>
        </w:tc>
        <w:tc>
          <w:tcPr>
            <w:tcW w:w="1410" w:type="dxa"/>
            <w:noWrap/>
            <w:vAlign w:val="center"/>
            <w:hideMark/>
          </w:tcPr>
          <w:p w14:paraId="6BE9663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74041E3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5D07AE6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0ABA3C2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10.1093/eurheartj/</w:t>
            </w:r>
            <w:r w:rsidRPr="00307043">
              <w:rPr>
                <w:rFonts w:ascii="Times New Roman" w:hAnsi="Times New Roman" w:cs="Times New Roman"/>
                <w:sz w:val="18"/>
                <w:szCs w:val="18"/>
              </w:rPr>
              <w:br/>
              <w:t>ehad194</w:t>
            </w:r>
          </w:p>
        </w:tc>
      </w:tr>
      <w:tr w:rsidR="00307043" w:rsidRPr="00307043" w14:paraId="3E08142D" w14:textId="77777777" w:rsidTr="750DD8A1">
        <w:trPr>
          <w:trHeight w:val="288"/>
        </w:trPr>
        <w:tc>
          <w:tcPr>
            <w:tcW w:w="8391" w:type="dxa"/>
            <w:noWrap/>
            <w:vAlign w:val="center"/>
            <w:hideMark/>
          </w:tcPr>
          <w:p w14:paraId="47609E57"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Behavioral Counseling Interventions to Promote a Healthy Diet and Physical Activity for Cardiovascular Disease Prevention in Adults With Cardiovascular Risk FactorsUS Preventive Services Task Force Recommendation Statement</w:t>
            </w:r>
          </w:p>
        </w:tc>
        <w:tc>
          <w:tcPr>
            <w:tcW w:w="1531" w:type="dxa"/>
            <w:noWrap/>
            <w:vAlign w:val="center"/>
            <w:hideMark/>
          </w:tcPr>
          <w:p w14:paraId="60A74C2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2020, USA</w:t>
            </w:r>
          </w:p>
        </w:tc>
        <w:tc>
          <w:tcPr>
            <w:tcW w:w="1410" w:type="dxa"/>
            <w:noWrap/>
            <w:vAlign w:val="center"/>
            <w:hideMark/>
          </w:tcPr>
          <w:p w14:paraId="0D20E76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425B457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4284022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5D526C0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10.1001/jama.2</w:t>
            </w:r>
            <w:r w:rsidRPr="00307043">
              <w:rPr>
                <w:rFonts w:ascii="Times New Roman" w:hAnsi="Times New Roman" w:cs="Times New Roman"/>
                <w:sz w:val="18"/>
                <w:szCs w:val="18"/>
              </w:rPr>
              <w:br/>
              <w:t>020.21749</w:t>
            </w:r>
          </w:p>
        </w:tc>
      </w:tr>
      <w:tr w:rsidR="00307043" w:rsidRPr="00307043" w14:paraId="39075481" w14:textId="77777777" w:rsidTr="750DD8A1">
        <w:trPr>
          <w:trHeight w:val="288"/>
        </w:trPr>
        <w:tc>
          <w:tcPr>
            <w:tcW w:w="8391" w:type="dxa"/>
            <w:noWrap/>
            <w:vAlign w:val="center"/>
            <w:hideMark/>
          </w:tcPr>
          <w:p w14:paraId="56FAD9F0"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2024 GOLD Report. GLOBAL STRATEGY FOR PREVENTION, DIAGNOSIS AND MANAGEMENT OF COPD: 2024 Report</w:t>
            </w:r>
          </w:p>
        </w:tc>
        <w:tc>
          <w:tcPr>
            <w:tcW w:w="1531" w:type="dxa"/>
            <w:noWrap/>
            <w:vAlign w:val="center"/>
            <w:hideMark/>
          </w:tcPr>
          <w:p w14:paraId="7087B2F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International</w:t>
            </w:r>
          </w:p>
        </w:tc>
        <w:tc>
          <w:tcPr>
            <w:tcW w:w="1410" w:type="dxa"/>
            <w:noWrap/>
            <w:vAlign w:val="center"/>
            <w:hideMark/>
          </w:tcPr>
          <w:p w14:paraId="20EA75D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5DB7A28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 CRD</w:t>
            </w:r>
          </w:p>
        </w:tc>
        <w:tc>
          <w:tcPr>
            <w:tcW w:w="765" w:type="dxa"/>
            <w:noWrap/>
            <w:vAlign w:val="center"/>
            <w:hideMark/>
          </w:tcPr>
          <w:p w14:paraId="68E304A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6837A02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https://goldcopd.org/</w:t>
            </w:r>
            <w:r w:rsidRPr="00307043">
              <w:rPr>
                <w:rFonts w:ascii="Times New Roman" w:hAnsi="Times New Roman" w:cs="Times New Roman"/>
                <w:sz w:val="18"/>
                <w:szCs w:val="18"/>
              </w:rPr>
              <w:br/>
              <w:t>2024-gold-report/</w:t>
            </w:r>
          </w:p>
        </w:tc>
      </w:tr>
      <w:tr w:rsidR="00307043" w:rsidRPr="00307043" w14:paraId="24D29786" w14:textId="77777777" w:rsidTr="750DD8A1">
        <w:trPr>
          <w:trHeight w:val="288"/>
        </w:trPr>
        <w:tc>
          <w:tcPr>
            <w:tcW w:w="8391" w:type="dxa"/>
            <w:noWrap/>
            <w:vAlign w:val="center"/>
            <w:hideMark/>
          </w:tcPr>
          <w:p w14:paraId="6941A104"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Smoking Cessation, Version 3.2022, NCCN Clinical Practice Guidelines in Oncology</w:t>
            </w:r>
          </w:p>
        </w:tc>
        <w:tc>
          <w:tcPr>
            <w:tcW w:w="1531" w:type="dxa"/>
            <w:noWrap/>
            <w:vAlign w:val="center"/>
            <w:hideMark/>
          </w:tcPr>
          <w:p w14:paraId="15CB139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2023, USA</w:t>
            </w:r>
          </w:p>
        </w:tc>
        <w:tc>
          <w:tcPr>
            <w:tcW w:w="1410" w:type="dxa"/>
            <w:noWrap/>
            <w:vAlign w:val="center"/>
            <w:hideMark/>
          </w:tcPr>
          <w:p w14:paraId="2ABB220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6814694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7217149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7A7CE7B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hyperlink r:id="rId14" w:history="1">
              <w:r w:rsidRPr="00307043">
                <w:rPr>
                  <w:rStyle w:val="Hyperlink"/>
                  <w:rFonts w:ascii="Times New Roman" w:hAnsi="Times New Roman" w:cs="Times New Roman"/>
                  <w:color w:val="auto"/>
                  <w:sz w:val="18"/>
                  <w:szCs w:val="18"/>
                </w:rPr>
                <w:t>https://doi.org/10.60</w:t>
              </w:r>
            </w:hyperlink>
            <w:r w:rsidRPr="00307043">
              <w:rPr>
                <w:rFonts w:ascii="Times New Roman" w:hAnsi="Times New Roman" w:cs="Times New Roman"/>
                <w:sz w:val="18"/>
                <w:szCs w:val="18"/>
              </w:rPr>
              <w:br/>
              <w:t>04/jnccn.2023.0013</w:t>
            </w:r>
          </w:p>
        </w:tc>
      </w:tr>
      <w:tr w:rsidR="00307043" w:rsidRPr="00307043" w14:paraId="7200A28C" w14:textId="77777777" w:rsidTr="750DD8A1">
        <w:trPr>
          <w:trHeight w:val="288"/>
        </w:trPr>
        <w:tc>
          <w:tcPr>
            <w:tcW w:w="8391" w:type="dxa"/>
            <w:noWrap/>
            <w:vAlign w:val="center"/>
            <w:hideMark/>
          </w:tcPr>
          <w:p w14:paraId="3E0BB823"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Effectiveness of aspirin in the prevention of colorectal cancer in people with Lynch syndrome</w:t>
            </w:r>
          </w:p>
        </w:tc>
        <w:tc>
          <w:tcPr>
            <w:tcW w:w="1531" w:type="dxa"/>
            <w:noWrap/>
            <w:vAlign w:val="center"/>
            <w:hideMark/>
          </w:tcPr>
          <w:p w14:paraId="62A3E2F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2020, UK</w:t>
            </w:r>
          </w:p>
        </w:tc>
        <w:tc>
          <w:tcPr>
            <w:tcW w:w="1410" w:type="dxa"/>
            <w:noWrap/>
            <w:vAlign w:val="center"/>
            <w:hideMark/>
          </w:tcPr>
          <w:p w14:paraId="444800A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194E642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6F6529A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16FC8ED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hyperlink r:id="rId15" w:history="1">
              <w:r w:rsidRPr="00307043">
                <w:rPr>
                  <w:rStyle w:val="Hyperlink"/>
                  <w:rFonts w:ascii="Times New Roman" w:hAnsi="Times New Roman" w:cs="Times New Roman"/>
                  <w:color w:val="auto"/>
                  <w:sz w:val="18"/>
                  <w:szCs w:val="18"/>
                </w:rPr>
                <w:t>https://www.ncbi.nlm.nih</w:t>
              </w:r>
            </w:hyperlink>
            <w:r w:rsidRPr="00307043">
              <w:rPr>
                <w:rFonts w:ascii="Times New Roman" w:hAnsi="Times New Roman" w:cs="Times New Roman"/>
                <w:sz w:val="18"/>
                <w:szCs w:val="18"/>
              </w:rPr>
              <w:br/>
              <w:t>.gov/books/NBK559923/</w:t>
            </w:r>
          </w:p>
        </w:tc>
      </w:tr>
      <w:tr w:rsidR="00307043" w:rsidRPr="00307043" w14:paraId="1735859C" w14:textId="77777777" w:rsidTr="750DD8A1">
        <w:trPr>
          <w:trHeight w:val="288"/>
        </w:trPr>
        <w:tc>
          <w:tcPr>
            <w:tcW w:w="8391" w:type="dxa"/>
            <w:noWrap/>
            <w:vAlign w:val="center"/>
            <w:hideMark/>
          </w:tcPr>
          <w:p w14:paraId="1D68C9E6"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2018 Guidelines for the Management of Dyslipidemia in Korea</w:t>
            </w:r>
          </w:p>
        </w:tc>
        <w:tc>
          <w:tcPr>
            <w:tcW w:w="1531" w:type="dxa"/>
            <w:noWrap/>
            <w:vAlign w:val="center"/>
            <w:hideMark/>
          </w:tcPr>
          <w:p w14:paraId="58164BE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2019, South korea</w:t>
            </w:r>
          </w:p>
        </w:tc>
        <w:tc>
          <w:tcPr>
            <w:tcW w:w="1410" w:type="dxa"/>
            <w:noWrap/>
            <w:vAlign w:val="center"/>
            <w:hideMark/>
          </w:tcPr>
          <w:p w14:paraId="6A6AC47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1D000A7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259EF73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5E7DB27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10.12997/jla.2019.8.2.78</w:t>
            </w:r>
          </w:p>
        </w:tc>
      </w:tr>
      <w:tr w:rsidR="00307043" w:rsidRPr="00307043" w14:paraId="62526473" w14:textId="77777777" w:rsidTr="750DD8A1">
        <w:trPr>
          <w:trHeight w:val="288"/>
        </w:trPr>
        <w:tc>
          <w:tcPr>
            <w:tcW w:w="8391" w:type="dxa"/>
            <w:noWrap/>
            <w:vAlign w:val="center"/>
            <w:hideMark/>
          </w:tcPr>
          <w:p w14:paraId="7B53727B"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lastRenderedPageBreak/>
              <w:t>2022 ESC Guidelines on cardio-oncology developed in collaboration with the European Hematology Association (EHA), the European Society for Therapeutic Radiology and Oncology (ESTRO) and the International Cardio-Oncology Society (IC-OS)</w:t>
            </w:r>
          </w:p>
        </w:tc>
        <w:tc>
          <w:tcPr>
            <w:tcW w:w="1531" w:type="dxa"/>
            <w:noWrap/>
            <w:vAlign w:val="center"/>
            <w:hideMark/>
          </w:tcPr>
          <w:p w14:paraId="4B5BDD7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2022, European</w:t>
            </w:r>
          </w:p>
        </w:tc>
        <w:tc>
          <w:tcPr>
            <w:tcW w:w="1410" w:type="dxa"/>
            <w:noWrap/>
            <w:vAlign w:val="center"/>
            <w:hideMark/>
          </w:tcPr>
          <w:p w14:paraId="1E4BA64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5735A96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40B1EC6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04C7068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https://doi.org/10.1093/</w:t>
            </w:r>
            <w:r w:rsidRPr="00307043">
              <w:rPr>
                <w:rFonts w:ascii="Times New Roman" w:hAnsi="Times New Roman" w:cs="Times New Roman"/>
                <w:sz w:val="18"/>
                <w:szCs w:val="18"/>
              </w:rPr>
              <w:br/>
              <w:t>eurheartj/ehac244</w:t>
            </w:r>
          </w:p>
        </w:tc>
      </w:tr>
      <w:tr w:rsidR="00307043" w:rsidRPr="00307043" w14:paraId="4BC2057F" w14:textId="77777777" w:rsidTr="750DD8A1">
        <w:trPr>
          <w:trHeight w:val="288"/>
        </w:trPr>
        <w:tc>
          <w:tcPr>
            <w:tcW w:w="8391" w:type="dxa"/>
            <w:noWrap/>
            <w:vAlign w:val="center"/>
            <w:hideMark/>
          </w:tcPr>
          <w:p w14:paraId="0DE46FD7"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2021 Canadian Cardiovascular Society Guidelines for the Management of Dyslipidemia for the Prevention of Cardiovascular Disease in Adults</w:t>
            </w:r>
          </w:p>
        </w:tc>
        <w:tc>
          <w:tcPr>
            <w:tcW w:w="1531" w:type="dxa"/>
            <w:noWrap/>
            <w:vAlign w:val="center"/>
            <w:hideMark/>
          </w:tcPr>
          <w:p w14:paraId="0FA3395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2021, Canada</w:t>
            </w:r>
          </w:p>
        </w:tc>
        <w:tc>
          <w:tcPr>
            <w:tcW w:w="1410" w:type="dxa"/>
            <w:noWrap/>
            <w:vAlign w:val="center"/>
            <w:hideMark/>
          </w:tcPr>
          <w:p w14:paraId="03DB74D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151EBC8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5732EE5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57ED758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10.1016/j.cjca.2021</w:t>
            </w:r>
            <w:r w:rsidRPr="00307043">
              <w:rPr>
                <w:rFonts w:ascii="Times New Roman" w:hAnsi="Times New Roman" w:cs="Times New Roman"/>
                <w:sz w:val="18"/>
                <w:szCs w:val="18"/>
              </w:rPr>
              <w:br/>
              <w:t>.03.016</w:t>
            </w:r>
          </w:p>
        </w:tc>
      </w:tr>
      <w:tr w:rsidR="00307043" w:rsidRPr="00307043" w14:paraId="4CCB8EB6" w14:textId="77777777" w:rsidTr="750DD8A1">
        <w:trPr>
          <w:trHeight w:val="288"/>
        </w:trPr>
        <w:tc>
          <w:tcPr>
            <w:tcW w:w="8391" w:type="dxa"/>
            <w:noWrap/>
            <w:vAlign w:val="center"/>
            <w:hideMark/>
          </w:tcPr>
          <w:p w14:paraId="68FA78F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Ovarian Cancer Screening Guidelines</w:t>
            </w:r>
          </w:p>
        </w:tc>
        <w:tc>
          <w:tcPr>
            <w:tcW w:w="1531" w:type="dxa"/>
            <w:noWrap/>
            <w:vAlign w:val="center"/>
            <w:hideMark/>
          </w:tcPr>
          <w:p w14:paraId="6BFF0C3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USA</w:t>
            </w:r>
          </w:p>
        </w:tc>
        <w:tc>
          <w:tcPr>
            <w:tcW w:w="1410" w:type="dxa"/>
            <w:noWrap/>
            <w:vAlign w:val="center"/>
            <w:hideMark/>
          </w:tcPr>
          <w:p w14:paraId="3284A98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2669143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283A1A5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5812301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hyperlink r:id="rId16" w:history="1">
              <w:r w:rsidRPr="00307043">
                <w:rPr>
                  <w:rStyle w:val="Hyperlink"/>
                  <w:rFonts w:ascii="Times New Roman" w:hAnsi="Times New Roman" w:cs="Times New Roman"/>
                  <w:color w:val="auto"/>
                  <w:sz w:val="18"/>
                  <w:szCs w:val="18"/>
                </w:rPr>
                <w:t>https://cancer.uthscsa.edu</w:t>
              </w:r>
            </w:hyperlink>
            <w:r w:rsidRPr="00307043">
              <w:rPr>
                <w:rFonts w:ascii="Times New Roman" w:hAnsi="Times New Roman" w:cs="Times New Roman"/>
                <w:sz w:val="18"/>
                <w:szCs w:val="18"/>
              </w:rPr>
              <w:br/>
              <w:t>/cancer-care/cancer-preve</w:t>
            </w:r>
            <w:r w:rsidRPr="00307043">
              <w:rPr>
                <w:rFonts w:ascii="Times New Roman" w:hAnsi="Times New Roman" w:cs="Times New Roman"/>
                <w:sz w:val="18"/>
                <w:szCs w:val="18"/>
              </w:rPr>
              <w:br/>
              <w:t>ntion-screenings/ovarian-c</w:t>
            </w:r>
            <w:r w:rsidRPr="00307043">
              <w:rPr>
                <w:rFonts w:ascii="Times New Roman" w:hAnsi="Times New Roman" w:cs="Times New Roman"/>
                <w:sz w:val="18"/>
                <w:szCs w:val="18"/>
              </w:rPr>
              <w:br/>
              <w:t>ancer-screening-guidelines</w:t>
            </w:r>
          </w:p>
        </w:tc>
      </w:tr>
      <w:tr w:rsidR="00307043" w:rsidRPr="00307043" w14:paraId="29DB5763" w14:textId="77777777" w:rsidTr="750DD8A1">
        <w:trPr>
          <w:trHeight w:val="288"/>
        </w:trPr>
        <w:tc>
          <w:tcPr>
            <w:tcW w:w="8391" w:type="dxa"/>
            <w:noWrap/>
            <w:vAlign w:val="center"/>
            <w:hideMark/>
          </w:tcPr>
          <w:p w14:paraId="382ECA56" w14:textId="164E9118"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Family history of breast cancer and inherited genes</w:t>
            </w:r>
          </w:p>
        </w:tc>
        <w:tc>
          <w:tcPr>
            <w:tcW w:w="1531" w:type="dxa"/>
            <w:noWrap/>
            <w:vAlign w:val="center"/>
            <w:hideMark/>
          </w:tcPr>
          <w:p w14:paraId="7615267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UK</w:t>
            </w:r>
          </w:p>
        </w:tc>
        <w:tc>
          <w:tcPr>
            <w:tcW w:w="1410" w:type="dxa"/>
            <w:noWrap/>
            <w:vAlign w:val="center"/>
            <w:hideMark/>
          </w:tcPr>
          <w:p w14:paraId="2472CD8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6342689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05B422F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6AADD54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hyperlink r:id="rId17" w:history="1">
              <w:r w:rsidRPr="00307043">
                <w:rPr>
                  <w:rStyle w:val="Hyperlink"/>
                  <w:rFonts w:ascii="Times New Roman" w:hAnsi="Times New Roman" w:cs="Times New Roman"/>
                  <w:color w:val="auto"/>
                  <w:sz w:val="18"/>
                  <w:szCs w:val="18"/>
                </w:rPr>
                <w:t>https://www.cancerresear</w:t>
              </w:r>
            </w:hyperlink>
            <w:r w:rsidRPr="00307043">
              <w:rPr>
                <w:rFonts w:ascii="Times New Roman" w:hAnsi="Times New Roman" w:cs="Times New Roman"/>
                <w:sz w:val="18"/>
                <w:szCs w:val="18"/>
              </w:rPr>
              <w:br/>
              <w:t>chuk.org/about-cancer/br</w:t>
            </w:r>
            <w:r w:rsidRPr="00307043">
              <w:rPr>
                <w:rFonts w:ascii="Times New Roman" w:hAnsi="Times New Roman" w:cs="Times New Roman"/>
                <w:sz w:val="18"/>
                <w:szCs w:val="18"/>
              </w:rPr>
              <w:br/>
              <w:t>east-cancer/risks-causes/f</w:t>
            </w:r>
            <w:r w:rsidRPr="00307043">
              <w:rPr>
                <w:rFonts w:ascii="Times New Roman" w:hAnsi="Times New Roman" w:cs="Times New Roman"/>
                <w:sz w:val="18"/>
                <w:szCs w:val="18"/>
              </w:rPr>
              <w:br/>
              <w:t>amily-history-and-inherite</w:t>
            </w:r>
            <w:r w:rsidRPr="00307043">
              <w:rPr>
                <w:rFonts w:ascii="Times New Roman" w:hAnsi="Times New Roman" w:cs="Times New Roman"/>
                <w:sz w:val="18"/>
                <w:szCs w:val="18"/>
              </w:rPr>
              <w:br/>
              <w:t>d-genes</w:t>
            </w:r>
          </w:p>
        </w:tc>
      </w:tr>
      <w:tr w:rsidR="00307043" w:rsidRPr="00307043" w14:paraId="2827307F" w14:textId="77777777" w:rsidTr="750DD8A1">
        <w:trPr>
          <w:trHeight w:val="288"/>
        </w:trPr>
        <w:tc>
          <w:tcPr>
            <w:tcW w:w="8391" w:type="dxa"/>
            <w:noWrap/>
            <w:vAlign w:val="center"/>
            <w:hideMark/>
          </w:tcPr>
          <w:p w14:paraId="5EB447F4"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Alcohol and Cancer Risks A Guide for Health Professionals</w:t>
            </w:r>
          </w:p>
        </w:tc>
        <w:tc>
          <w:tcPr>
            <w:tcW w:w="1531" w:type="dxa"/>
            <w:noWrap/>
            <w:vAlign w:val="center"/>
            <w:hideMark/>
          </w:tcPr>
          <w:p w14:paraId="4539576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2025, International</w:t>
            </w:r>
          </w:p>
        </w:tc>
        <w:tc>
          <w:tcPr>
            <w:tcW w:w="1410" w:type="dxa"/>
            <w:noWrap/>
            <w:vAlign w:val="center"/>
            <w:hideMark/>
          </w:tcPr>
          <w:p w14:paraId="43DBA6C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5C99B9E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107E4AD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Alcohol</w:t>
            </w:r>
          </w:p>
        </w:tc>
        <w:tc>
          <w:tcPr>
            <w:tcW w:w="2141" w:type="dxa"/>
            <w:vAlign w:val="center"/>
          </w:tcPr>
          <w:p w14:paraId="580A8F4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hyperlink r:id="rId18" w:history="1">
              <w:r w:rsidRPr="00307043">
                <w:rPr>
                  <w:rStyle w:val="Hyperlink"/>
                  <w:rFonts w:ascii="Times New Roman" w:hAnsi="Times New Roman" w:cs="Times New Roman"/>
                  <w:color w:val="auto"/>
                  <w:sz w:val="18"/>
                  <w:szCs w:val="18"/>
                </w:rPr>
                <w:t>http://eurocarearchive.or</w:t>
              </w:r>
            </w:hyperlink>
            <w:r w:rsidRPr="00307043">
              <w:rPr>
                <w:rFonts w:ascii="Times New Roman" w:hAnsi="Times New Roman" w:cs="Times New Roman"/>
                <w:sz w:val="18"/>
                <w:szCs w:val="18"/>
              </w:rPr>
              <w:br/>
              <w:t>g/media/7H1G1C6P0K/do</w:t>
            </w:r>
            <w:r w:rsidRPr="00307043">
              <w:rPr>
                <w:rFonts w:ascii="Times New Roman" w:hAnsi="Times New Roman" w:cs="Times New Roman"/>
                <w:sz w:val="18"/>
                <w:szCs w:val="18"/>
              </w:rPr>
              <w:br/>
              <w:t>cs/shaapalcoholandcancer</w:t>
            </w:r>
            <w:r w:rsidRPr="00307043">
              <w:rPr>
                <w:rFonts w:ascii="Times New Roman" w:hAnsi="Times New Roman" w:cs="Times New Roman"/>
                <w:sz w:val="18"/>
                <w:szCs w:val="18"/>
              </w:rPr>
              <w:br/>
              <w:t>bookletweb.pdf</w:t>
            </w:r>
          </w:p>
        </w:tc>
      </w:tr>
      <w:tr w:rsidR="00307043" w:rsidRPr="00307043" w14:paraId="0F54B0F9" w14:textId="77777777" w:rsidTr="750DD8A1">
        <w:trPr>
          <w:trHeight w:val="288"/>
        </w:trPr>
        <w:tc>
          <w:tcPr>
            <w:tcW w:w="8391" w:type="dxa"/>
            <w:noWrap/>
            <w:vAlign w:val="center"/>
            <w:hideMark/>
          </w:tcPr>
          <w:p w14:paraId="027C373B"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2024 Guidelines of the Taiwan Society of Cardiology on the Primary Prevention of Atherosclerotic Cardiovascular Disease --- Part II</w:t>
            </w:r>
          </w:p>
        </w:tc>
        <w:tc>
          <w:tcPr>
            <w:tcW w:w="1531" w:type="dxa"/>
            <w:noWrap/>
            <w:vAlign w:val="center"/>
            <w:hideMark/>
          </w:tcPr>
          <w:p w14:paraId="725F83A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Taiwan</w:t>
            </w:r>
          </w:p>
        </w:tc>
        <w:tc>
          <w:tcPr>
            <w:tcW w:w="1410" w:type="dxa"/>
            <w:noWrap/>
            <w:vAlign w:val="center"/>
            <w:hideMark/>
          </w:tcPr>
          <w:p w14:paraId="554AD13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3248642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1E37D33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 tobacco</w:t>
            </w:r>
          </w:p>
        </w:tc>
        <w:tc>
          <w:tcPr>
            <w:tcW w:w="2141" w:type="dxa"/>
            <w:vAlign w:val="center"/>
          </w:tcPr>
          <w:p w14:paraId="5EAF8A2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10.6515/ACS.202411_4</w:t>
            </w:r>
            <w:r w:rsidRPr="00307043">
              <w:rPr>
                <w:rFonts w:ascii="Times New Roman" w:hAnsi="Times New Roman" w:cs="Times New Roman"/>
                <w:sz w:val="18"/>
                <w:szCs w:val="18"/>
              </w:rPr>
              <w:br/>
              <w:t>0(6).20240724B</w:t>
            </w:r>
          </w:p>
        </w:tc>
      </w:tr>
      <w:tr w:rsidR="00307043" w:rsidRPr="00307043" w14:paraId="78D02DCC" w14:textId="77777777" w:rsidTr="750DD8A1">
        <w:trPr>
          <w:trHeight w:val="288"/>
        </w:trPr>
        <w:tc>
          <w:tcPr>
            <w:tcW w:w="8391" w:type="dxa"/>
            <w:noWrap/>
            <w:vAlign w:val="center"/>
            <w:hideMark/>
          </w:tcPr>
          <w:p w14:paraId="3F160504"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Recommendations of the Experts of the Polish Cardiac Society (PCS) and        the Polish Lipid Association (PoLA) on the diagnosis and management of        elevated lipoprotein(a) levels</w:t>
            </w:r>
          </w:p>
        </w:tc>
        <w:tc>
          <w:tcPr>
            <w:tcW w:w="1531" w:type="dxa"/>
            <w:noWrap/>
            <w:vAlign w:val="center"/>
            <w:hideMark/>
          </w:tcPr>
          <w:p w14:paraId="4ACB4C0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Poland</w:t>
            </w:r>
          </w:p>
        </w:tc>
        <w:tc>
          <w:tcPr>
            <w:tcW w:w="1410" w:type="dxa"/>
            <w:noWrap/>
            <w:vAlign w:val="center"/>
            <w:hideMark/>
          </w:tcPr>
          <w:p w14:paraId="742FD59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6A22257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3B056DF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5A57E3E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10.5114/aoms/183522</w:t>
            </w:r>
          </w:p>
        </w:tc>
      </w:tr>
      <w:tr w:rsidR="00307043" w:rsidRPr="00307043" w14:paraId="0C51D3F9" w14:textId="77777777" w:rsidTr="750DD8A1">
        <w:trPr>
          <w:trHeight w:val="288"/>
        </w:trPr>
        <w:tc>
          <w:tcPr>
            <w:tcW w:w="8391" w:type="dxa"/>
            <w:noWrap/>
            <w:vAlign w:val="center"/>
            <w:hideMark/>
          </w:tcPr>
          <w:p w14:paraId="6579F37A"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ERN GENTURIS clinical practice guidelines for the diagnosis, surveillance and management of people with Birt-Hogg-Dubé syndrome</w:t>
            </w:r>
          </w:p>
        </w:tc>
        <w:tc>
          <w:tcPr>
            <w:tcW w:w="1531" w:type="dxa"/>
            <w:noWrap/>
            <w:vAlign w:val="center"/>
            <w:hideMark/>
          </w:tcPr>
          <w:p w14:paraId="127E7FA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European</w:t>
            </w:r>
          </w:p>
        </w:tc>
        <w:tc>
          <w:tcPr>
            <w:tcW w:w="1410" w:type="dxa"/>
            <w:noWrap/>
            <w:vAlign w:val="center"/>
            <w:hideMark/>
          </w:tcPr>
          <w:p w14:paraId="19F374C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2BD37A4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 CRD</w:t>
            </w:r>
          </w:p>
        </w:tc>
        <w:tc>
          <w:tcPr>
            <w:tcW w:w="765" w:type="dxa"/>
            <w:noWrap/>
            <w:vAlign w:val="center"/>
            <w:hideMark/>
          </w:tcPr>
          <w:p w14:paraId="6B064E3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6BF40AD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10.1038/s41431-024-01</w:t>
            </w:r>
            <w:r w:rsidRPr="00307043">
              <w:rPr>
                <w:rFonts w:ascii="Times New Roman" w:hAnsi="Times New Roman" w:cs="Times New Roman"/>
                <w:sz w:val="18"/>
                <w:szCs w:val="18"/>
              </w:rPr>
              <w:br/>
              <w:t>671-2</w:t>
            </w:r>
          </w:p>
        </w:tc>
      </w:tr>
      <w:tr w:rsidR="00307043" w:rsidRPr="00307043" w14:paraId="14D83B1A" w14:textId="77777777" w:rsidTr="750DD8A1">
        <w:trPr>
          <w:trHeight w:val="288"/>
        </w:trPr>
        <w:tc>
          <w:tcPr>
            <w:tcW w:w="8391" w:type="dxa"/>
            <w:noWrap/>
            <w:vAlign w:val="center"/>
            <w:hideMark/>
          </w:tcPr>
          <w:p w14:paraId="3A3DAB88"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ERN GENTURIS guidelines on constitutional mismatch repair deficiency diagnosis, genetic counselling, surveillance, quality of life, and clinical management.</w:t>
            </w:r>
          </w:p>
        </w:tc>
        <w:tc>
          <w:tcPr>
            <w:tcW w:w="1531" w:type="dxa"/>
            <w:noWrap/>
            <w:vAlign w:val="center"/>
            <w:hideMark/>
          </w:tcPr>
          <w:p w14:paraId="6AEA637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European</w:t>
            </w:r>
          </w:p>
        </w:tc>
        <w:tc>
          <w:tcPr>
            <w:tcW w:w="1410" w:type="dxa"/>
            <w:noWrap/>
            <w:vAlign w:val="center"/>
            <w:hideMark/>
          </w:tcPr>
          <w:p w14:paraId="3CF684A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584BCBF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6EDC9FA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20E5396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10.1038/s41431-024-01</w:t>
            </w:r>
            <w:r w:rsidRPr="00307043">
              <w:rPr>
                <w:rFonts w:ascii="Times New Roman" w:hAnsi="Times New Roman" w:cs="Times New Roman"/>
                <w:sz w:val="18"/>
                <w:szCs w:val="18"/>
              </w:rPr>
              <w:br/>
              <w:t>708-6</w:t>
            </w:r>
          </w:p>
        </w:tc>
      </w:tr>
      <w:tr w:rsidR="00307043" w:rsidRPr="00307043" w14:paraId="7FD6E473" w14:textId="77777777" w:rsidTr="750DD8A1">
        <w:trPr>
          <w:trHeight w:val="288"/>
        </w:trPr>
        <w:tc>
          <w:tcPr>
            <w:tcW w:w="8391" w:type="dxa"/>
            <w:noWrap/>
            <w:vAlign w:val="center"/>
            <w:hideMark/>
          </w:tcPr>
          <w:p w14:paraId="466012A3"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French AFU Cancer Committee Guidelines - Update 2024-2026: Prostate cancer - Diagnosis and management of localised disease.</w:t>
            </w:r>
          </w:p>
        </w:tc>
        <w:tc>
          <w:tcPr>
            <w:tcW w:w="1531" w:type="dxa"/>
            <w:noWrap/>
            <w:vAlign w:val="center"/>
            <w:hideMark/>
          </w:tcPr>
          <w:p w14:paraId="6EB7C7E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Frence</w:t>
            </w:r>
          </w:p>
        </w:tc>
        <w:tc>
          <w:tcPr>
            <w:tcW w:w="1410" w:type="dxa"/>
            <w:noWrap/>
            <w:vAlign w:val="center"/>
            <w:hideMark/>
          </w:tcPr>
          <w:p w14:paraId="1B7D278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2B62903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7F43082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499BFA1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hyperlink r:id="rId19" w:history="1">
              <w:r w:rsidRPr="00307043">
                <w:rPr>
                  <w:rStyle w:val="Hyperlink"/>
                  <w:rFonts w:ascii="Times New Roman" w:hAnsi="Times New Roman" w:cs="Times New Roman"/>
                  <w:color w:val="auto"/>
                  <w:sz w:val="18"/>
                  <w:szCs w:val="18"/>
                </w:rPr>
                <w:t>https://doi.org/10.1016</w:t>
              </w:r>
            </w:hyperlink>
            <w:r w:rsidRPr="00307043">
              <w:rPr>
                <w:rFonts w:ascii="Times New Roman" w:hAnsi="Times New Roman" w:cs="Times New Roman"/>
                <w:sz w:val="18"/>
                <w:szCs w:val="18"/>
              </w:rPr>
              <w:br/>
              <w:t>/j.fjurol.2024.102717</w:t>
            </w:r>
          </w:p>
        </w:tc>
      </w:tr>
      <w:tr w:rsidR="00307043" w:rsidRPr="00307043" w14:paraId="3C051357" w14:textId="77777777" w:rsidTr="750DD8A1">
        <w:trPr>
          <w:trHeight w:val="288"/>
        </w:trPr>
        <w:tc>
          <w:tcPr>
            <w:tcW w:w="8391" w:type="dxa"/>
            <w:noWrap/>
            <w:vAlign w:val="center"/>
            <w:hideMark/>
          </w:tcPr>
          <w:p w14:paraId="72071FA3"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2022 ESC Guidelines for the management of patients with ventricular arrhythmias and the prevention of sudden cardiac death</w:t>
            </w:r>
          </w:p>
        </w:tc>
        <w:tc>
          <w:tcPr>
            <w:tcW w:w="1531" w:type="dxa"/>
            <w:noWrap/>
            <w:vAlign w:val="center"/>
            <w:hideMark/>
          </w:tcPr>
          <w:p w14:paraId="1655A6D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2022, European</w:t>
            </w:r>
          </w:p>
        </w:tc>
        <w:tc>
          <w:tcPr>
            <w:tcW w:w="1410" w:type="dxa"/>
            <w:noWrap/>
            <w:vAlign w:val="center"/>
            <w:hideMark/>
          </w:tcPr>
          <w:p w14:paraId="6EEDDB2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35FDFDC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6BFC95C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540AC3C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10.1093/eurheartj/ehac</w:t>
            </w:r>
            <w:r w:rsidRPr="00307043">
              <w:rPr>
                <w:rFonts w:ascii="Times New Roman" w:hAnsi="Times New Roman" w:cs="Times New Roman"/>
                <w:sz w:val="18"/>
                <w:szCs w:val="18"/>
              </w:rPr>
              <w:br/>
              <w:t>262</w:t>
            </w:r>
          </w:p>
        </w:tc>
      </w:tr>
      <w:tr w:rsidR="00307043" w:rsidRPr="00307043" w14:paraId="057F9BEE" w14:textId="77777777" w:rsidTr="750DD8A1">
        <w:trPr>
          <w:trHeight w:val="288"/>
        </w:trPr>
        <w:tc>
          <w:tcPr>
            <w:tcW w:w="8391" w:type="dxa"/>
            <w:noWrap/>
            <w:vAlign w:val="center"/>
            <w:hideMark/>
          </w:tcPr>
          <w:p w14:paraId="29C3C1FB"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Recommendations for the diagnosis and treatment of alpha-1 antitrypsin deficiency.</w:t>
            </w:r>
          </w:p>
        </w:tc>
        <w:tc>
          <w:tcPr>
            <w:tcW w:w="1531" w:type="dxa"/>
            <w:noWrap/>
            <w:vAlign w:val="center"/>
            <w:hideMark/>
          </w:tcPr>
          <w:p w14:paraId="55F577B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Brazil</w:t>
            </w:r>
          </w:p>
        </w:tc>
        <w:tc>
          <w:tcPr>
            <w:tcW w:w="1410" w:type="dxa"/>
            <w:noWrap/>
            <w:vAlign w:val="center"/>
            <w:hideMark/>
          </w:tcPr>
          <w:p w14:paraId="44FDECB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5C6FD8E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CRD</w:t>
            </w:r>
          </w:p>
        </w:tc>
        <w:tc>
          <w:tcPr>
            <w:tcW w:w="765" w:type="dxa"/>
            <w:noWrap/>
            <w:vAlign w:val="center"/>
            <w:hideMark/>
          </w:tcPr>
          <w:p w14:paraId="49E1631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66A2901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hyperlink r:id="rId20" w:history="1">
              <w:r w:rsidRPr="00307043">
                <w:rPr>
                  <w:rStyle w:val="Hyperlink"/>
                  <w:rFonts w:ascii="Times New Roman" w:hAnsi="Times New Roman" w:cs="Times New Roman"/>
                  <w:color w:val="auto"/>
                  <w:sz w:val="18"/>
                  <w:szCs w:val="18"/>
                </w:rPr>
                <w:t>https://doi.org/10.3641</w:t>
              </w:r>
            </w:hyperlink>
            <w:r w:rsidRPr="00307043">
              <w:rPr>
                <w:rFonts w:ascii="Times New Roman" w:hAnsi="Times New Roman" w:cs="Times New Roman"/>
                <w:sz w:val="18"/>
                <w:szCs w:val="18"/>
              </w:rPr>
              <w:br/>
              <w:t>6/1806-3756/e20240235</w:t>
            </w:r>
          </w:p>
        </w:tc>
      </w:tr>
      <w:tr w:rsidR="00307043" w:rsidRPr="00307043" w14:paraId="3282D60F" w14:textId="77777777" w:rsidTr="750DD8A1">
        <w:trPr>
          <w:trHeight w:val="288"/>
        </w:trPr>
        <w:tc>
          <w:tcPr>
            <w:tcW w:w="8391" w:type="dxa"/>
            <w:noWrap/>
            <w:vAlign w:val="center"/>
            <w:hideMark/>
          </w:tcPr>
          <w:p w14:paraId="0B8DA273"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The Guidelines for use and promotion of low sodium salt inChina</w:t>
            </w:r>
          </w:p>
        </w:tc>
        <w:tc>
          <w:tcPr>
            <w:tcW w:w="1531" w:type="dxa"/>
            <w:noWrap/>
            <w:vAlign w:val="center"/>
            <w:hideMark/>
          </w:tcPr>
          <w:p w14:paraId="539DD6F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China</w:t>
            </w:r>
          </w:p>
        </w:tc>
        <w:tc>
          <w:tcPr>
            <w:tcW w:w="1410" w:type="dxa"/>
            <w:noWrap/>
            <w:vAlign w:val="center"/>
            <w:hideMark/>
          </w:tcPr>
          <w:p w14:paraId="694C9C9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3B213FE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059D46F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7DB8B84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10.1111/jebm.12621</w:t>
            </w:r>
          </w:p>
        </w:tc>
      </w:tr>
      <w:tr w:rsidR="00307043" w:rsidRPr="00307043" w14:paraId="0416B80D" w14:textId="77777777" w:rsidTr="750DD8A1">
        <w:trPr>
          <w:trHeight w:val="288"/>
        </w:trPr>
        <w:tc>
          <w:tcPr>
            <w:tcW w:w="8391" w:type="dxa"/>
            <w:noWrap/>
            <w:vAlign w:val="center"/>
            <w:hideMark/>
          </w:tcPr>
          <w:p w14:paraId="605ADBEF"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Genetic Counselling, Testing, and Management of Hereditary Breast and Ovarian Cancer Syndrome in India: Updated Expert Consensus Recommendations from Indian Society of Medical and Pediatric Oncology</w:t>
            </w:r>
          </w:p>
        </w:tc>
        <w:tc>
          <w:tcPr>
            <w:tcW w:w="1531" w:type="dxa"/>
            <w:noWrap/>
            <w:vAlign w:val="center"/>
            <w:hideMark/>
          </w:tcPr>
          <w:p w14:paraId="18B43B8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2025, India</w:t>
            </w:r>
          </w:p>
        </w:tc>
        <w:tc>
          <w:tcPr>
            <w:tcW w:w="1410" w:type="dxa"/>
            <w:noWrap/>
            <w:vAlign w:val="center"/>
            <w:hideMark/>
          </w:tcPr>
          <w:p w14:paraId="555CDD3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669EAC9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705100F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6E9FD0B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10.1055/s-0044-1788727</w:t>
            </w:r>
          </w:p>
        </w:tc>
      </w:tr>
      <w:tr w:rsidR="00307043" w:rsidRPr="00307043" w14:paraId="77196DDF" w14:textId="77777777" w:rsidTr="750DD8A1">
        <w:trPr>
          <w:trHeight w:val="288"/>
        </w:trPr>
        <w:tc>
          <w:tcPr>
            <w:tcW w:w="8391" w:type="dxa"/>
            <w:noWrap/>
            <w:vAlign w:val="center"/>
            <w:hideMark/>
          </w:tcPr>
          <w:p w14:paraId="769F8DC8"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AGO Recommendations for the Diagnosis and Treatment of Patients with Locally Advanced and Metastatic Breast Cancer: Update 2020</w:t>
            </w:r>
          </w:p>
        </w:tc>
        <w:tc>
          <w:tcPr>
            <w:tcW w:w="1531" w:type="dxa"/>
            <w:noWrap/>
            <w:vAlign w:val="center"/>
            <w:hideMark/>
          </w:tcPr>
          <w:p w14:paraId="620F214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2020, Germany</w:t>
            </w:r>
          </w:p>
        </w:tc>
        <w:tc>
          <w:tcPr>
            <w:tcW w:w="1410" w:type="dxa"/>
            <w:noWrap/>
            <w:vAlign w:val="center"/>
            <w:hideMark/>
          </w:tcPr>
          <w:p w14:paraId="797D535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57F2748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0B6CAC0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630FFAE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10.1159/000508736</w:t>
            </w:r>
          </w:p>
        </w:tc>
      </w:tr>
      <w:tr w:rsidR="00307043" w:rsidRPr="00307043" w14:paraId="39E24DA9" w14:textId="77777777" w:rsidTr="750DD8A1">
        <w:trPr>
          <w:trHeight w:val="288"/>
        </w:trPr>
        <w:tc>
          <w:tcPr>
            <w:tcW w:w="8391" w:type="dxa"/>
            <w:noWrap/>
            <w:vAlign w:val="center"/>
            <w:hideMark/>
          </w:tcPr>
          <w:p w14:paraId="2598EAD1"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Argentine consensus recommendations for lung cancer screening programmes: a RAND/UCLA-</w:t>
            </w:r>
            <w:r w:rsidRPr="00307043">
              <w:rPr>
                <w:rFonts w:ascii="Times New Roman" w:hAnsi="Times New Roman" w:cs="Times New Roman"/>
                <w:sz w:val="18"/>
                <w:szCs w:val="18"/>
                <w:lang w:val="en-US"/>
              </w:rPr>
              <w:softHyphen/>
              <w:t>modified Delphi study</w:t>
            </w:r>
          </w:p>
        </w:tc>
        <w:tc>
          <w:tcPr>
            <w:tcW w:w="1531" w:type="dxa"/>
            <w:noWrap/>
            <w:vAlign w:val="center"/>
            <w:hideMark/>
          </w:tcPr>
          <w:p w14:paraId="76750F7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2023, Argentina</w:t>
            </w:r>
          </w:p>
        </w:tc>
        <w:tc>
          <w:tcPr>
            <w:tcW w:w="1410" w:type="dxa"/>
            <w:noWrap/>
            <w:vAlign w:val="center"/>
            <w:hideMark/>
          </w:tcPr>
          <w:p w14:paraId="03E03E2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Consensus statement</w:t>
            </w:r>
          </w:p>
        </w:tc>
        <w:tc>
          <w:tcPr>
            <w:tcW w:w="770" w:type="dxa"/>
            <w:noWrap/>
            <w:vAlign w:val="center"/>
            <w:hideMark/>
          </w:tcPr>
          <w:p w14:paraId="4CBC141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665B6E4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5CA17A6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10.1136/bmjopen-20</w:t>
            </w:r>
            <w:r w:rsidRPr="00307043">
              <w:rPr>
                <w:rFonts w:ascii="Times New Roman" w:hAnsi="Times New Roman" w:cs="Times New Roman"/>
                <w:sz w:val="18"/>
                <w:szCs w:val="18"/>
              </w:rPr>
              <w:br/>
              <w:t>22-068271</w:t>
            </w:r>
          </w:p>
        </w:tc>
      </w:tr>
      <w:tr w:rsidR="00307043" w:rsidRPr="00307043" w14:paraId="0C2699BB" w14:textId="77777777" w:rsidTr="750DD8A1">
        <w:trPr>
          <w:trHeight w:val="288"/>
        </w:trPr>
        <w:tc>
          <w:tcPr>
            <w:tcW w:w="8391" w:type="dxa"/>
            <w:noWrap/>
            <w:vAlign w:val="center"/>
            <w:hideMark/>
          </w:tcPr>
          <w:p w14:paraId="39CA30B9"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Clinical practice guidelines for ovarian cancer: an update to the Korean Society of Gynecologic Oncology guidelines</w:t>
            </w:r>
          </w:p>
        </w:tc>
        <w:tc>
          <w:tcPr>
            <w:tcW w:w="1531" w:type="dxa"/>
            <w:noWrap/>
            <w:vAlign w:val="center"/>
            <w:hideMark/>
          </w:tcPr>
          <w:p w14:paraId="1CBC0B5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2025, South korea</w:t>
            </w:r>
          </w:p>
        </w:tc>
        <w:tc>
          <w:tcPr>
            <w:tcW w:w="1410" w:type="dxa"/>
            <w:noWrap/>
            <w:vAlign w:val="center"/>
            <w:hideMark/>
          </w:tcPr>
          <w:p w14:paraId="750CC6A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062EB72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4935715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224A017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10.3802/jgo.2025.36.</w:t>
            </w:r>
            <w:r w:rsidRPr="00307043">
              <w:rPr>
                <w:rFonts w:ascii="Times New Roman" w:hAnsi="Times New Roman" w:cs="Times New Roman"/>
                <w:sz w:val="18"/>
                <w:szCs w:val="18"/>
              </w:rPr>
              <w:br/>
              <w:t>e69</w:t>
            </w:r>
          </w:p>
        </w:tc>
      </w:tr>
      <w:tr w:rsidR="00307043" w:rsidRPr="00307043" w14:paraId="616CF04D" w14:textId="77777777" w:rsidTr="750DD8A1">
        <w:trPr>
          <w:trHeight w:val="288"/>
        </w:trPr>
        <w:tc>
          <w:tcPr>
            <w:tcW w:w="8391" w:type="dxa"/>
            <w:noWrap/>
            <w:vAlign w:val="center"/>
            <w:hideMark/>
          </w:tcPr>
          <w:p w14:paraId="3FE46590"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lastRenderedPageBreak/>
              <w:t>Breast Cancer Screening for Women at Higher-Than-Average Risk: Updated Recommendations From the ACR</w:t>
            </w:r>
          </w:p>
        </w:tc>
        <w:tc>
          <w:tcPr>
            <w:tcW w:w="1531" w:type="dxa"/>
            <w:noWrap/>
            <w:vAlign w:val="center"/>
            <w:hideMark/>
          </w:tcPr>
          <w:p w14:paraId="38191BD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2023, USA</w:t>
            </w:r>
          </w:p>
        </w:tc>
        <w:tc>
          <w:tcPr>
            <w:tcW w:w="1410" w:type="dxa"/>
            <w:noWrap/>
            <w:vAlign w:val="center"/>
            <w:hideMark/>
          </w:tcPr>
          <w:p w14:paraId="364E728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7A8C9A4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7F08867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051A6A4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10.1016/j.jacr.2023.0</w:t>
            </w:r>
            <w:r w:rsidRPr="00307043">
              <w:rPr>
                <w:rFonts w:ascii="Times New Roman" w:hAnsi="Times New Roman" w:cs="Times New Roman"/>
                <w:sz w:val="18"/>
                <w:szCs w:val="18"/>
              </w:rPr>
              <w:br/>
              <w:t>4.002</w:t>
            </w:r>
          </w:p>
        </w:tc>
      </w:tr>
      <w:tr w:rsidR="00307043" w:rsidRPr="00307043" w14:paraId="375CC8B4" w14:textId="77777777" w:rsidTr="750DD8A1">
        <w:trPr>
          <w:trHeight w:val="288"/>
        </w:trPr>
        <w:tc>
          <w:tcPr>
            <w:tcW w:w="8391" w:type="dxa"/>
            <w:noWrap/>
            <w:vAlign w:val="center"/>
            <w:hideMark/>
          </w:tcPr>
          <w:p w14:paraId="2B4B9C21"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Update on Surveillance Guidelines in Emerging Wilms Tumor Predisposition Syndromes</w:t>
            </w:r>
          </w:p>
        </w:tc>
        <w:tc>
          <w:tcPr>
            <w:tcW w:w="1531" w:type="dxa"/>
            <w:noWrap/>
            <w:vAlign w:val="center"/>
            <w:hideMark/>
          </w:tcPr>
          <w:p w14:paraId="0EB175E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2025, USA</w:t>
            </w:r>
          </w:p>
        </w:tc>
        <w:tc>
          <w:tcPr>
            <w:tcW w:w="1410" w:type="dxa"/>
            <w:noWrap/>
            <w:vAlign w:val="center"/>
            <w:hideMark/>
          </w:tcPr>
          <w:p w14:paraId="4904150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3CA8652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233E0D7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1E978F2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10.1158/1078-0432.C</w:t>
            </w:r>
            <w:r w:rsidRPr="00307043">
              <w:rPr>
                <w:rFonts w:ascii="Times New Roman" w:hAnsi="Times New Roman" w:cs="Times New Roman"/>
                <w:sz w:val="18"/>
                <w:szCs w:val="18"/>
              </w:rPr>
              <w:br/>
              <w:t>CR-24-2488</w:t>
            </w:r>
          </w:p>
        </w:tc>
      </w:tr>
      <w:tr w:rsidR="00307043" w:rsidRPr="00307043" w14:paraId="0202A8F4" w14:textId="77777777" w:rsidTr="750DD8A1">
        <w:trPr>
          <w:trHeight w:val="288"/>
        </w:trPr>
        <w:tc>
          <w:tcPr>
            <w:tcW w:w="8391" w:type="dxa"/>
            <w:noWrap/>
            <w:vAlign w:val="center"/>
            <w:hideMark/>
          </w:tcPr>
          <w:p w14:paraId="7D8C77EE"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The Saudi Thoracic Society Evidence-based guidelines for the diagnosis and management of chronic obstructive pulmonary disease</w:t>
            </w:r>
          </w:p>
        </w:tc>
        <w:tc>
          <w:tcPr>
            <w:tcW w:w="1531" w:type="dxa"/>
            <w:noWrap/>
            <w:vAlign w:val="center"/>
            <w:hideMark/>
          </w:tcPr>
          <w:p w14:paraId="10E1DDC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2025, Saudi Arabia</w:t>
            </w:r>
          </w:p>
        </w:tc>
        <w:tc>
          <w:tcPr>
            <w:tcW w:w="1410" w:type="dxa"/>
            <w:noWrap/>
            <w:vAlign w:val="center"/>
            <w:hideMark/>
          </w:tcPr>
          <w:p w14:paraId="4406AA2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4EBAB29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CRD</w:t>
            </w:r>
          </w:p>
        </w:tc>
        <w:tc>
          <w:tcPr>
            <w:tcW w:w="765" w:type="dxa"/>
            <w:noWrap/>
            <w:vAlign w:val="center"/>
            <w:hideMark/>
          </w:tcPr>
          <w:p w14:paraId="6B61766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15087F2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10.4103/atm.atm_15</w:t>
            </w:r>
            <w:r w:rsidRPr="00307043">
              <w:rPr>
                <w:rFonts w:ascii="Times New Roman" w:hAnsi="Times New Roman" w:cs="Times New Roman"/>
                <w:sz w:val="18"/>
                <w:szCs w:val="18"/>
              </w:rPr>
              <w:br/>
              <w:t>5_24</w:t>
            </w:r>
          </w:p>
        </w:tc>
      </w:tr>
      <w:tr w:rsidR="00307043" w:rsidRPr="00307043" w14:paraId="41C85C11" w14:textId="77777777" w:rsidTr="750DD8A1">
        <w:trPr>
          <w:trHeight w:val="288"/>
        </w:trPr>
        <w:tc>
          <w:tcPr>
            <w:tcW w:w="8391" w:type="dxa"/>
            <w:noWrap/>
            <w:vAlign w:val="center"/>
            <w:hideMark/>
          </w:tcPr>
          <w:p w14:paraId="3B184B71"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Update on Cancer Screening Recommendations for Individuals with Li–Fraumeni Syndrome</w:t>
            </w:r>
          </w:p>
        </w:tc>
        <w:tc>
          <w:tcPr>
            <w:tcW w:w="1531" w:type="dxa"/>
            <w:noWrap/>
            <w:vAlign w:val="center"/>
            <w:hideMark/>
          </w:tcPr>
          <w:p w14:paraId="2E130DB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2025, Canada</w:t>
            </w:r>
          </w:p>
        </w:tc>
        <w:tc>
          <w:tcPr>
            <w:tcW w:w="1410" w:type="dxa"/>
            <w:noWrap/>
            <w:vAlign w:val="center"/>
            <w:hideMark/>
          </w:tcPr>
          <w:p w14:paraId="2C02D46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039BCEA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0B53EF4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2E1048D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10.1158/1078-0432.C</w:t>
            </w:r>
            <w:r w:rsidRPr="00307043">
              <w:rPr>
                <w:rFonts w:ascii="Times New Roman" w:hAnsi="Times New Roman" w:cs="Times New Roman"/>
                <w:sz w:val="18"/>
                <w:szCs w:val="18"/>
              </w:rPr>
              <w:br/>
              <w:t>CR-24-3301</w:t>
            </w:r>
          </w:p>
        </w:tc>
      </w:tr>
      <w:tr w:rsidR="00307043" w:rsidRPr="00307043" w14:paraId="42411297" w14:textId="77777777" w:rsidTr="750DD8A1">
        <w:trPr>
          <w:trHeight w:val="288"/>
        </w:trPr>
        <w:tc>
          <w:tcPr>
            <w:tcW w:w="8391" w:type="dxa"/>
            <w:noWrap/>
            <w:vAlign w:val="center"/>
            <w:hideMark/>
          </w:tcPr>
          <w:p w14:paraId="3E80D5D6"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Cancer and Overgrowth Manifestations of PTEN Hamartoma Tumor Syndrome: Management Recommendations from the International PHTS Consensus Guidelines Working Group</w:t>
            </w:r>
          </w:p>
        </w:tc>
        <w:tc>
          <w:tcPr>
            <w:tcW w:w="1531" w:type="dxa"/>
            <w:noWrap/>
            <w:vAlign w:val="center"/>
            <w:hideMark/>
          </w:tcPr>
          <w:p w14:paraId="6F984E8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2025, International</w:t>
            </w:r>
          </w:p>
        </w:tc>
        <w:tc>
          <w:tcPr>
            <w:tcW w:w="1410" w:type="dxa"/>
            <w:noWrap/>
            <w:vAlign w:val="center"/>
            <w:hideMark/>
          </w:tcPr>
          <w:p w14:paraId="41097E7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2444700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708A47C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03F0A6F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10.1158/1078-0432.C</w:t>
            </w:r>
            <w:r w:rsidRPr="00307043">
              <w:rPr>
                <w:rFonts w:ascii="Times New Roman" w:hAnsi="Times New Roman" w:cs="Times New Roman"/>
                <w:sz w:val="18"/>
                <w:szCs w:val="18"/>
              </w:rPr>
              <w:br/>
              <w:t>CR-24-3819</w:t>
            </w:r>
          </w:p>
        </w:tc>
      </w:tr>
      <w:tr w:rsidR="00307043" w:rsidRPr="00307043" w14:paraId="5830C0D2" w14:textId="77777777" w:rsidTr="750DD8A1">
        <w:trPr>
          <w:trHeight w:val="288"/>
        </w:trPr>
        <w:tc>
          <w:tcPr>
            <w:tcW w:w="8391" w:type="dxa"/>
            <w:noWrap/>
            <w:vAlign w:val="center"/>
            <w:hideMark/>
          </w:tcPr>
          <w:p w14:paraId="5572F6AF"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2018 Korean Society of Hypertension Guidelines for the management of hypertension: part II-diagnosis and treatment of hypertension</w:t>
            </w:r>
          </w:p>
        </w:tc>
        <w:tc>
          <w:tcPr>
            <w:tcW w:w="1531" w:type="dxa"/>
            <w:noWrap/>
            <w:vAlign w:val="center"/>
            <w:hideMark/>
          </w:tcPr>
          <w:p w14:paraId="366E6A8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2019, South korea</w:t>
            </w:r>
          </w:p>
        </w:tc>
        <w:tc>
          <w:tcPr>
            <w:tcW w:w="1410" w:type="dxa"/>
            <w:noWrap/>
            <w:vAlign w:val="center"/>
            <w:hideMark/>
          </w:tcPr>
          <w:p w14:paraId="44F94D1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2B0ECD2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71E1700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7093264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10.1186/s40885-019-</w:t>
            </w:r>
            <w:r w:rsidRPr="00307043">
              <w:rPr>
                <w:rFonts w:ascii="Times New Roman" w:hAnsi="Times New Roman" w:cs="Times New Roman"/>
                <w:sz w:val="18"/>
                <w:szCs w:val="18"/>
              </w:rPr>
              <w:br/>
              <w:t>0124-x</w:t>
            </w:r>
          </w:p>
        </w:tc>
      </w:tr>
      <w:tr w:rsidR="00307043" w:rsidRPr="00307043" w14:paraId="4F169395" w14:textId="77777777" w:rsidTr="750DD8A1">
        <w:trPr>
          <w:trHeight w:val="288"/>
        </w:trPr>
        <w:tc>
          <w:tcPr>
            <w:tcW w:w="8391" w:type="dxa"/>
            <w:noWrap/>
            <w:vAlign w:val="center"/>
            <w:hideMark/>
          </w:tcPr>
          <w:p w14:paraId="61620D55"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ACG Clinical Guideline: Diagnosis and Management of Gastric Premalignant Conditions</w:t>
            </w:r>
          </w:p>
        </w:tc>
        <w:tc>
          <w:tcPr>
            <w:tcW w:w="1531" w:type="dxa"/>
            <w:noWrap/>
            <w:vAlign w:val="center"/>
            <w:hideMark/>
          </w:tcPr>
          <w:p w14:paraId="09A655F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2025, USA</w:t>
            </w:r>
          </w:p>
        </w:tc>
        <w:tc>
          <w:tcPr>
            <w:tcW w:w="1410" w:type="dxa"/>
            <w:noWrap/>
            <w:vAlign w:val="center"/>
            <w:hideMark/>
          </w:tcPr>
          <w:p w14:paraId="4D3BACC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0560514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5B1A8B0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24543F8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10.14309/ajg.000000</w:t>
            </w:r>
            <w:r w:rsidRPr="00307043">
              <w:rPr>
                <w:rFonts w:ascii="Times New Roman" w:hAnsi="Times New Roman" w:cs="Times New Roman"/>
                <w:sz w:val="18"/>
                <w:szCs w:val="18"/>
              </w:rPr>
              <w:br/>
              <w:t>0000003350</w:t>
            </w:r>
          </w:p>
        </w:tc>
      </w:tr>
      <w:tr w:rsidR="00307043" w:rsidRPr="00307043" w14:paraId="0A79E728" w14:textId="77777777" w:rsidTr="750DD8A1">
        <w:trPr>
          <w:trHeight w:val="288"/>
        </w:trPr>
        <w:tc>
          <w:tcPr>
            <w:tcW w:w="8391" w:type="dxa"/>
            <w:noWrap/>
            <w:vAlign w:val="center"/>
            <w:hideMark/>
          </w:tcPr>
          <w:p w14:paraId="30289E09"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AGO Recommendations for the Diagnosis and Treatment of Patients with Early Breast Cancer: Update 2022</w:t>
            </w:r>
          </w:p>
        </w:tc>
        <w:tc>
          <w:tcPr>
            <w:tcW w:w="1531" w:type="dxa"/>
            <w:noWrap/>
            <w:vAlign w:val="center"/>
            <w:hideMark/>
          </w:tcPr>
          <w:p w14:paraId="2143901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2022, Germany</w:t>
            </w:r>
          </w:p>
        </w:tc>
        <w:tc>
          <w:tcPr>
            <w:tcW w:w="1410" w:type="dxa"/>
            <w:noWrap/>
            <w:vAlign w:val="center"/>
            <w:hideMark/>
          </w:tcPr>
          <w:p w14:paraId="37FCA85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72D3CCF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426B80D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31399E4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10.1159/000524879</w:t>
            </w:r>
          </w:p>
        </w:tc>
      </w:tr>
      <w:tr w:rsidR="00307043" w:rsidRPr="00307043" w14:paraId="56AB861A" w14:textId="77777777" w:rsidTr="750DD8A1">
        <w:trPr>
          <w:trHeight w:val="288"/>
        </w:trPr>
        <w:tc>
          <w:tcPr>
            <w:tcW w:w="8391" w:type="dxa"/>
            <w:noWrap/>
            <w:vAlign w:val="center"/>
            <w:hideMark/>
          </w:tcPr>
          <w:p w14:paraId="01A5A973"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Part II: consensus statements and expert recommendations for BRCA-associated breast cancer in the Asia-Pacific region: clinical management</w:t>
            </w:r>
          </w:p>
        </w:tc>
        <w:tc>
          <w:tcPr>
            <w:tcW w:w="1531" w:type="dxa"/>
            <w:noWrap/>
            <w:vAlign w:val="center"/>
            <w:hideMark/>
          </w:tcPr>
          <w:p w14:paraId="4B6251E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2025, Asia</w:t>
            </w:r>
          </w:p>
        </w:tc>
        <w:tc>
          <w:tcPr>
            <w:tcW w:w="1410" w:type="dxa"/>
            <w:noWrap/>
            <w:vAlign w:val="center"/>
            <w:hideMark/>
          </w:tcPr>
          <w:p w14:paraId="15EDF74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Consensus statement</w:t>
            </w:r>
          </w:p>
        </w:tc>
        <w:tc>
          <w:tcPr>
            <w:tcW w:w="770" w:type="dxa"/>
            <w:noWrap/>
            <w:vAlign w:val="center"/>
            <w:hideMark/>
          </w:tcPr>
          <w:p w14:paraId="6534E9C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39F8BEC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16BC739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10.3389/fonc.2025.1</w:t>
            </w:r>
            <w:r w:rsidRPr="00307043">
              <w:rPr>
                <w:rFonts w:ascii="Times New Roman" w:hAnsi="Times New Roman" w:cs="Times New Roman"/>
                <w:sz w:val="18"/>
                <w:szCs w:val="18"/>
              </w:rPr>
              <w:br/>
              <w:t>507840</w:t>
            </w:r>
          </w:p>
        </w:tc>
      </w:tr>
      <w:tr w:rsidR="00307043" w:rsidRPr="00307043" w14:paraId="5D2A35F3" w14:textId="77777777" w:rsidTr="750DD8A1">
        <w:trPr>
          <w:trHeight w:val="288"/>
        </w:trPr>
        <w:tc>
          <w:tcPr>
            <w:tcW w:w="8391" w:type="dxa"/>
            <w:noWrap/>
            <w:vAlign w:val="center"/>
            <w:hideMark/>
          </w:tcPr>
          <w:p w14:paraId="0D448544"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ASGE guideline on screening for pancreatic cancer in individuals with genetic susceptibility: summary and recommendations</w:t>
            </w:r>
          </w:p>
        </w:tc>
        <w:tc>
          <w:tcPr>
            <w:tcW w:w="1531" w:type="dxa"/>
            <w:noWrap/>
            <w:vAlign w:val="center"/>
            <w:hideMark/>
          </w:tcPr>
          <w:p w14:paraId="18B931C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2022, USA</w:t>
            </w:r>
          </w:p>
        </w:tc>
        <w:tc>
          <w:tcPr>
            <w:tcW w:w="1410" w:type="dxa"/>
            <w:noWrap/>
            <w:vAlign w:val="center"/>
            <w:hideMark/>
          </w:tcPr>
          <w:p w14:paraId="13B89D3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2C73A6E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6BD71C5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36685FA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10.1016/j.gie.2021.1</w:t>
            </w:r>
            <w:r w:rsidRPr="00307043">
              <w:rPr>
                <w:rFonts w:ascii="Times New Roman" w:hAnsi="Times New Roman" w:cs="Times New Roman"/>
                <w:sz w:val="18"/>
                <w:szCs w:val="18"/>
              </w:rPr>
              <w:br/>
              <w:t>2.001</w:t>
            </w:r>
          </w:p>
        </w:tc>
      </w:tr>
      <w:tr w:rsidR="00307043" w:rsidRPr="00307043" w14:paraId="60E4C3E5" w14:textId="77777777" w:rsidTr="750DD8A1">
        <w:trPr>
          <w:trHeight w:val="288"/>
        </w:trPr>
        <w:tc>
          <w:tcPr>
            <w:tcW w:w="8391" w:type="dxa"/>
            <w:noWrap/>
            <w:vAlign w:val="center"/>
            <w:hideMark/>
          </w:tcPr>
          <w:p w14:paraId="3764928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Lung Cancer Screening</w:t>
            </w:r>
          </w:p>
        </w:tc>
        <w:tc>
          <w:tcPr>
            <w:tcW w:w="1531" w:type="dxa"/>
            <w:noWrap/>
            <w:vAlign w:val="center"/>
            <w:hideMark/>
          </w:tcPr>
          <w:p w14:paraId="28562A6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2025, USA</w:t>
            </w:r>
          </w:p>
        </w:tc>
        <w:tc>
          <w:tcPr>
            <w:tcW w:w="1410" w:type="dxa"/>
            <w:noWrap/>
            <w:vAlign w:val="center"/>
            <w:hideMark/>
          </w:tcPr>
          <w:p w14:paraId="0CA641D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6139597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702AA53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2F12020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https://www.nccn.org/</w:t>
            </w:r>
            <w:r w:rsidRPr="00307043">
              <w:rPr>
                <w:rFonts w:ascii="Times New Roman" w:hAnsi="Times New Roman" w:cs="Times New Roman"/>
                <w:sz w:val="18"/>
                <w:szCs w:val="18"/>
              </w:rPr>
              <w:br/>
              <w:t>search-result?indexCatal</w:t>
            </w:r>
            <w:r w:rsidRPr="00307043">
              <w:rPr>
                <w:rFonts w:ascii="Times New Roman" w:hAnsi="Times New Roman" w:cs="Times New Roman"/>
                <w:sz w:val="18"/>
                <w:szCs w:val="18"/>
              </w:rPr>
              <w:br/>
              <w:t>ogue=nccn-search-index</w:t>
            </w:r>
            <w:r w:rsidRPr="00307043">
              <w:rPr>
                <w:rFonts w:ascii="Times New Roman" w:hAnsi="Times New Roman" w:cs="Times New Roman"/>
                <w:sz w:val="18"/>
                <w:szCs w:val="18"/>
              </w:rPr>
              <w:br/>
              <w:t>&amp;searchQuery=Lung%2</w:t>
            </w:r>
            <w:r w:rsidRPr="00307043">
              <w:rPr>
                <w:rFonts w:ascii="Times New Roman" w:hAnsi="Times New Roman" w:cs="Times New Roman"/>
                <w:sz w:val="18"/>
                <w:szCs w:val="18"/>
              </w:rPr>
              <w:br/>
              <w:t>0Cancer%20Screening</w:t>
            </w:r>
          </w:p>
        </w:tc>
      </w:tr>
      <w:tr w:rsidR="00307043" w:rsidRPr="00307043" w14:paraId="3ECE6167" w14:textId="77777777" w:rsidTr="750DD8A1">
        <w:trPr>
          <w:trHeight w:val="288"/>
        </w:trPr>
        <w:tc>
          <w:tcPr>
            <w:tcW w:w="8391" w:type="dxa"/>
            <w:noWrap/>
            <w:vAlign w:val="center"/>
            <w:hideMark/>
          </w:tcPr>
          <w:p w14:paraId="433C23F9"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UK clinical practice guidelines for the management of patients with constitutional POT1 pathogenic variants</w:t>
            </w:r>
          </w:p>
        </w:tc>
        <w:tc>
          <w:tcPr>
            <w:tcW w:w="1531" w:type="dxa"/>
            <w:noWrap/>
            <w:vAlign w:val="center"/>
            <w:hideMark/>
          </w:tcPr>
          <w:p w14:paraId="753CE3F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2025, UK</w:t>
            </w:r>
          </w:p>
        </w:tc>
        <w:tc>
          <w:tcPr>
            <w:tcW w:w="1410" w:type="dxa"/>
            <w:noWrap/>
            <w:vAlign w:val="center"/>
            <w:hideMark/>
          </w:tcPr>
          <w:p w14:paraId="3C036DA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6A9171C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68C6092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1058EED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10.1136/jmg-2025-110638</w:t>
            </w:r>
          </w:p>
        </w:tc>
      </w:tr>
      <w:tr w:rsidR="00307043" w:rsidRPr="00307043" w14:paraId="2D35B18A" w14:textId="77777777" w:rsidTr="750DD8A1">
        <w:trPr>
          <w:trHeight w:val="288"/>
        </w:trPr>
        <w:tc>
          <w:tcPr>
            <w:tcW w:w="8391" w:type="dxa"/>
            <w:noWrap/>
            <w:vAlign w:val="center"/>
            <w:hideMark/>
          </w:tcPr>
          <w:p w14:paraId="0E7B7CF8"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Multiple endocrine neoplasia type 1 (MEN1): recommendations and guidelines for best practice</w:t>
            </w:r>
          </w:p>
        </w:tc>
        <w:tc>
          <w:tcPr>
            <w:tcW w:w="1531" w:type="dxa"/>
            <w:noWrap/>
            <w:vAlign w:val="center"/>
            <w:hideMark/>
          </w:tcPr>
          <w:p w14:paraId="3275F3B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2025, International</w:t>
            </w:r>
          </w:p>
        </w:tc>
        <w:tc>
          <w:tcPr>
            <w:tcW w:w="1410" w:type="dxa"/>
            <w:noWrap/>
            <w:vAlign w:val="center"/>
            <w:hideMark/>
          </w:tcPr>
          <w:p w14:paraId="7212664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46E991B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098926D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6DA34FB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10.1016/ S2213-8587</w:t>
            </w:r>
            <w:r w:rsidRPr="00307043">
              <w:rPr>
                <w:rFonts w:ascii="Times New Roman" w:hAnsi="Times New Roman" w:cs="Times New Roman"/>
                <w:sz w:val="18"/>
                <w:szCs w:val="18"/>
              </w:rPr>
              <w:br/>
              <w:t>(25)00119-6</w:t>
            </w:r>
          </w:p>
        </w:tc>
      </w:tr>
      <w:tr w:rsidR="00307043" w:rsidRPr="00307043" w14:paraId="18BC72D4" w14:textId="77777777" w:rsidTr="750DD8A1">
        <w:trPr>
          <w:trHeight w:val="288"/>
        </w:trPr>
        <w:tc>
          <w:tcPr>
            <w:tcW w:w="8391" w:type="dxa"/>
            <w:noWrap/>
            <w:vAlign w:val="center"/>
            <w:hideMark/>
          </w:tcPr>
          <w:p w14:paraId="7FE8CC6D"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Canadian Cardiovascular Society 2022 Guidelines for Peripheral Arterial Disease</w:t>
            </w:r>
          </w:p>
        </w:tc>
        <w:tc>
          <w:tcPr>
            <w:tcW w:w="1531" w:type="dxa"/>
            <w:noWrap/>
            <w:vAlign w:val="center"/>
            <w:hideMark/>
          </w:tcPr>
          <w:p w14:paraId="20F774E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2022, Canada</w:t>
            </w:r>
          </w:p>
        </w:tc>
        <w:tc>
          <w:tcPr>
            <w:tcW w:w="1410" w:type="dxa"/>
            <w:noWrap/>
            <w:vAlign w:val="center"/>
            <w:hideMark/>
          </w:tcPr>
          <w:p w14:paraId="504B71D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795B355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3B1A74E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0104304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10.1016/j.cjca.2022.02.029</w:t>
            </w:r>
          </w:p>
        </w:tc>
      </w:tr>
      <w:tr w:rsidR="00307043" w:rsidRPr="00307043" w14:paraId="129675ED" w14:textId="77777777" w:rsidTr="750DD8A1">
        <w:trPr>
          <w:trHeight w:val="288"/>
        </w:trPr>
        <w:tc>
          <w:tcPr>
            <w:tcW w:w="8391" w:type="dxa"/>
            <w:noWrap/>
            <w:vAlign w:val="center"/>
            <w:hideMark/>
          </w:tcPr>
          <w:p w14:paraId="108DE57E"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CDH1 (E-cadherin) mutation and gastric cancer: Genetics, molecular mechanisms and guidelines for management</w:t>
            </w:r>
          </w:p>
        </w:tc>
        <w:tc>
          <w:tcPr>
            <w:tcW w:w="1531" w:type="dxa"/>
            <w:noWrap/>
            <w:vAlign w:val="center"/>
            <w:hideMark/>
          </w:tcPr>
          <w:p w14:paraId="2EA9D3C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2019, USA</w:t>
            </w:r>
          </w:p>
        </w:tc>
        <w:tc>
          <w:tcPr>
            <w:tcW w:w="1410" w:type="dxa"/>
            <w:noWrap/>
            <w:vAlign w:val="center"/>
            <w:hideMark/>
          </w:tcPr>
          <w:p w14:paraId="442E2F9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3AE41E6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5C6EA76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1C19531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10.2147/CMAR.S208818</w:t>
            </w:r>
          </w:p>
        </w:tc>
      </w:tr>
      <w:tr w:rsidR="00307043" w:rsidRPr="00307043" w14:paraId="0C2E7DFD" w14:textId="77777777" w:rsidTr="750DD8A1">
        <w:trPr>
          <w:trHeight w:val="288"/>
        </w:trPr>
        <w:tc>
          <w:tcPr>
            <w:tcW w:w="8391" w:type="dxa"/>
            <w:noWrap/>
            <w:vAlign w:val="center"/>
            <w:hideMark/>
          </w:tcPr>
          <w:p w14:paraId="3136B846"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The risk of endocrine interventions in carriers of a genetic predisposition for breast and gynecologic cancers: recommendations of the German Consortium for Hereditary Breast and Ovarian Cancer.</w:t>
            </w:r>
          </w:p>
        </w:tc>
        <w:tc>
          <w:tcPr>
            <w:tcW w:w="1531" w:type="dxa"/>
            <w:noWrap/>
            <w:vAlign w:val="center"/>
            <w:hideMark/>
          </w:tcPr>
          <w:p w14:paraId="1B48319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Germany</w:t>
            </w:r>
          </w:p>
        </w:tc>
        <w:tc>
          <w:tcPr>
            <w:tcW w:w="1410" w:type="dxa"/>
            <w:noWrap/>
            <w:vAlign w:val="center"/>
            <w:hideMark/>
          </w:tcPr>
          <w:p w14:paraId="3BA357B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04696DA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5BA0C63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41E1BD7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10.1007/s00432-024-</w:t>
            </w:r>
            <w:r w:rsidRPr="00307043">
              <w:rPr>
                <w:rFonts w:ascii="Times New Roman" w:hAnsi="Times New Roman" w:cs="Times New Roman"/>
                <w:sz w:val="18"/>
                <w:szCs w:val="18"/>
              </w:rPr>
              <w:br/>
              <w:t>05936-7</w:t>
            </w:r>
          </w:p>
        </w:tc>
      </w:tr>
      <w:tr w:rsidR="00307043" w:rsidRPr="00307043" w14:paraId="75879757" w14:textId="77777777" w:rsidTr="750DD8A1">
        <w:trPr>
          <w:trHeight w:val="288"/>
        </w:trPr>
        <w:tc>
          <w:tcPr>
            <w:tcW w:w="8391" w:type="dxa"/>
            <w:noWrap/>
            <w:vAlign w:val="center"/>
            <w:hideMark/>
          </w:tcPr>
          <w:p w14:paraId="6EA3FAC5"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French-Speaking Network of Pharmacogenetics (RNPGx) Recommendations for Clinical Use of Mavacamten</w:t>
            </w:r>
          </w:p>
        </w:tc>
        <w:tc>
          <w:tcPr>
            <w:tcW w:w="1531" w:type="dxa"/>
            <w:noWrap/>
            <w:vAlign w:val="center"/>
            <w:hideMark/>
          </w:tcPr>
          <w:p w14:paraId="23D849A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2025, France</w:t>
            </w:r>
          </w:p>
        </w:tc>
        <w:tc>
          <w:tcPr>
            <w:tcW w:w="1410" w:type="dxa"/>
            <w:noWrap/>
            <w:vAlign w:val="center"/>
            <w:hideMark/>
          </w:tcPr>
          <w:p w14:paraId="3B8F8AA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0CC603F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23935E3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6792605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10.1002/cpt.3502</w:t>
            </w:r>
          </w:p>
        </w:tc>
      </w:tr>
      <w:tr w:rsidR="00307043" w:rsidRPr="00307043" w14:paraId="57E60379" w14:textId="77777777" w:rsidTr="750DD8A1">
        <w:trPr>
          <w:trHeight w:val="288"/>
        </w:trPr>
        <w:tc>
          <w:tcPr>
            <w:tcW w:w="8391" w:type="dxa"/>
            <w:noWrap/>
            <w:vAlign w:val="center"/>
            <w:hideMark/>
          </w:tcPr>
          <w:p w14:paraId="6DC5D05A"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Consensus Statement of Endocrinology, Cardiology, and Nephrology (ENCARNE) Experts on Prevention, Diagnosis, and Management of Cardiovascular and Renal Complications of Diabetes</w:t>
            </w:r>
          </w:p>
        </w:tc>
        <w:tc>
          <w:tcPr>
            <w:tcW w:w="1531" w:type="dxa"/>
            <w:noWrap/>
            <w:vAlign w:val="center"/>
            <w:hideMark/>
          </w:tcPr>
          <w:p w14:paraId="58D6EE5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2021, Turkey</w:t>
            </w:r>
          </w:p>
        </w:tc>
        <w:tc>
          <w:tcPr>
            <w:tcW w:w="1410" w:type="dxa"/>
            <w:noWrap/>
            <w:vAlign w:val="center"/>
            <w:hideMark/>
          </w:tcPr>
          <w:p w14:paraId="4881DA1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Consensus statement</w:t>
            </w:r>
          </w:p>
        </w:tc>
        <w:tc>
          <w:tcPr>
            <w:tcW w:w="770" w:type="dxa"/>
            <w:noWrap/>
            <w:vAlign w:val="center"/>
            <w:hideMark/>
          </w:tcPr>
          <w:p w14:paraId="389797F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2AACC34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40CB722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10.25179/tjem.2021-</w:t>
            </w:r>
            <w:r w:rsidRPr="00307043">
              <w:rPr>
                <w:rFonts w:ascii="Times New Roman" w:hAnsi="Times New Roman" w:cs="Times New Roman"/>
                <w:sz w:val="18"/>
                <w:szCs w:val="18"/>
              </w:rPr>
              <w:br/>
              <w:t>85173</w:t>
            </w:r>
          </w:p>
        </w:tc>
      </w:tr>
      <w:tr w:rsidR="00307043" w:rsidRPr="00307043" w14:paraId="6F491778" w14:textId="77777777" w:rsidTr="750DD8A1">
        <w:trPr>
          <w:trHeight w:val="288"/>
        </w:trPr>
        <w:tc>
          <w:tcPr>
            <w:tcW w:w="8391" w:type="dxa"/>
            <w:noWrap/>
            <w:vAlign w:val="center"/>
            <w:hideMark/>
          </w:tcPr>
          <w:p w14:paraId="2E202E99"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Early breast cancer: ESMO Clinical Practice Guidelines for diagnosis, treatment and follow-up</w:t>
            </w:r>
          </w:p>
        </w:tc>
        <w:tc>
          <w:tcPr>
            <w:tcW w:w="1531" w:type="dxa"/>
            <w:noWrap/>
            <w:vAlign w:val="center"/>
            <w:hideMark/>
          </w:tcPr>
          <w:p w14:paraId="23A85DC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2019, International</w:t>
            </w:r>
          </w:p>
        </w:tc>
        <w:tc>
          <w:tcPr>
            <w:tcW w:w="1410" w:type="dxa"/>
            <w:noWrap/>
            <w:vAlign w:val="center"/>
            <w:hideMark/>
          </w:tcPr>
          <w:p w14:paraId="0D23607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213934D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2AABD92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1DB6222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10.1093/annonc/mdz173</w:t>
            </w:r>
          </w:p>
        </w:tc>
      </w:tr>
      <w:tr w:rsidR="00307043" w:rsidRPr="00307043" w14:paraId="7D6763C8" w14:textId="77777777" w:rsidTr="750DD8A1">
        <w:trPr>
          <w:trHeight w:val="288"/>
        </w:trPr>
        <w:tc>
          <w:tcPr>
            <w:tcW w:w="8391" w:type="dxa"/>
            <w:noWrap/>
            <w:vAlign w:val="center"/>
            <w:hideMark/>
          </w:tcPr>
          <w:p w14:paraId="6216469C"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Early diagnosis of lung cancer in the United Arab Emirates: Challenges and strategic recommendations</w:t>
            </w:r>
          </w:p>
        </w:tc>
        <w:tc>
          <w:tcPr>
            <w:tcW w:w="1531" w:type="dxa"/>
            <w:noWrap/>
            <w:vAlign w:val="center"/>
            <w:hideMark/>
          </w:tcPr>
          <w:p w14:paraId="0B9FBDC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2021, United Arab Emirates</w:t>
            </w:r>
          </w:p>
        </w:tc>
        <w:tc>
          <w:tcPr>
            <w:tcW w:w="1410" w:type="dxa"/>
            <w:noWrap/>
            <w:vAlign w:val="center"/>
            <w:hideMark/>
          </w:tcPr>
          <w:p w14:paraId="0A40D68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74730BA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7C93D7B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4EC8837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10.3390/clinpract11</w:t>
            </w:r>
            <w:r w:rsidRPr="00307043">
              <w:rPr>
                <w:rFonts w:ascii="Times New Roman" w:hAnsi="Times New Roman" w:cs="Times New Roman"/>
                <w:sz w:val="18"/>
                <w:szCs w:val="18"/>
              </w:rPr>
              <w:br/>
              <w:t>030082</w:t>
            </w:r>
          </w:p>
        </w:tc>
      </w:tr>
      <w:tr w:rsidR="00307043" w:rsidRPr="00307043" w14:paraId="242D1617" w14:textId="77777777" w:rsidTr="750DD8A1">
        <w:trPr>
          <w:trHeight w:val="288"/>
        </w:trPr>
        <w:tc>
          <w:tcPr>
            <w:tcW w:w="8391" w:type="dxa"/>
            <w:noWrap/>
            <w:vAlign w:val="center"/>
            <w:hideMark/>
          </w:tcPr>
          <w:p w14:paraId="026BF8C7"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Egyptian practical guidance in hypertriglyceridemia management 2021</w:t>
            </w:r>
          </w:p>
        </w:tc>
        <w:tc>
          <w:tcPr>
            <w:tcW w:w="1531" w:type="dxa"/>
            <w:noWrap/>
            <w:vAlign w:val="center"/>
            <w:hideMark/>
          </w:tcPr>
          <w:p w14:paraId="0333AD5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2021, Egypt</w:t>
            </w:r>
          </w:p>
        </w:tc>
        <w:tc>
          <w:tcPr>
            <w:tcW w:w="1410" w:type="dxa"/>
            <w:noWrap/>
            <w:vAlign w:val="center"/>
            <w:hideMark/>
          </w:tcPr>
          <w:p w14:paraId="708E455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1D06FDC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3043AD1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2F5327D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10.1186/s43044-021</w:t>
            </w:r>
            <w:r w:rsidRPr="00307043">
              <w:rPr>
                <w:rFonts w:ascii="Times New Roman" w:hAnsi="Times New Roman" w:cs="Times New Roman"/>
                <w:sz w:val="18"/>
                <w:szCs w:val="18"/>
              </w:rPr>
              <w:br/>
              <w:t>-00235-9</w:t>
            </w:r>
          </w:p>
        </w:tc>
      </w:tr>
      <w:tr w:rsidR="00307043" w:rsidRPr="00307043" w14:paraId="74C08DFB" w14:textId="77777777" w:rsidTr="750DD8A1">
        <w:trPr>
          <w:trHeight w:val="288"/>
        </w:trPr>
        <w:tc>
          <w:tcPr>
            <w:tcW w:w="8391" w:type="dxa"/>
            <w:noWrap/>
            <w:vAlign w:val="center"/>
            <w:hideMark/>
          </w:tcPr>
          <w:p w14:paraId="70B52ACC"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lastRenderedPageBreak/>
              <w:t>ESO‚ÄìESMO fifth international consensus guidelines for breast cancer in young women (BCY5)</w:t>
            </w:r>
          </w:p>
        </w:tc>
        <w:tc>
          <w:tcPr>
            <w:tcW w:w="1531" w:type="dxa"/>
            <w:noWrap/>
            <w:vAlign w:val="center"/>
            <w:hideMark/>
          </w:tcPr>
          <w:p w14:paraId="7137C80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2022, International</w:t>
            </w:r>
          </w:p>
        </w:tc>
        <w:tc>
          <w:tcPr>
            <w:tcW w:w="1410" w:type="dxa"/>
            <w:noWrap/>
            <w:vAlign w:val="center"/>
            <w:hideMark/>
          </w:tcPr>
          <w:p w14:paraId="0401680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Consensus statement</w:t>
            </w:r>
          </w:p>
        </w:tc>
        <w:tc>
          <w:tcPr>
            <w:tcW w:w="770" w:type="dxa"/>
            <w:noWrap/>
            <w:vAlign w:val="center"/>
            <w:hideMark/>
          </w:tcPr>
          <w:p w14:paraId="4500599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3978C9A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69DD959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hyperlink r:id="rId21" w:history="1">
              <w:r w:rsidRPr="00307043">
                <w:rPr>
                  <w:rStyle w:val="Hyperlink"/>
                  <w:rFonts w:ascii="Times New Roman" w:hAnsi="Times New Roman" w:cs="Times New Roman"/>
                  <w:color w:val="auto"/>
                  <w:sz w:val="18"/>
                  <w:szCs w:val="18"/>
                </w:rPr>
                <w:t>https://doi.org/10.1016</w:t>
              </w:r>
            </w:hyperlink>
            <w:r w:rsidRPr="00307043">
              <w:rPr>
                <w:rFonts w:ascii="Times New Roman" w:hAnsi="Times New Roman" w:cs="Times New Roman"/>
                <w:sz w:val="18"/>
                <w:szCs w:val="18"/>
              </w:rPr>
              <w:br/>
              <w:t>/j.annonc.2022.07.007</w:t>
            </w:r>
          </w:p>
        </w:tc>
      </w:tr>
      <w:tr w:rsidR="00307043" w:rsidRPr="00307043" w14:paraId="58FA86FC" w14:textId="77777777" w:rsidTr="750DD8A1">
        <w:trPr>
          <w:trHeight w:val="288"/>
        </w:trPr>
        <w:tc>
          <w:tcPr>
            <w:tcW w:w="8391" w:type="dxa"/>
            <w:noWrap/>
            <w:vAlign w:val="center"/>
            <w:hideMark/>
          </w:tcPr>
          <w:p w14:paraId="1A13C501"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Executive summary of the 2020 clinical practice guidelines for the management of dyslipidemia in the philippines</w:t>
            </w:r>
          </w:p>
        </w:tc>
        <w:tc>
          <w:tcPr>
            <w:tcW w:w="1531" w:type="dxa"/>
            <w:noWrap/>
            <w:vAlign w:val="center"/>
            <w:hideMark/>
          </w:tcPr>
          <w:p w14:paraId="037983B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2021, Philippines</w:t>
            </w:r>
          </w:p>
        </w:tc>
        <w:tc>
          <w:tcPr>
            <w:tcW w:w="1410" w:type="dxa"/>
            <w:noWrap/>
            <w:vAlign w:val="center"/>
            <w:hideMark/>
          </w:tcPr>
          <w:p w14:paraId="67BEE0D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20C47E6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2D314D1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576857B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10.15605/JAFES.036.01.01</w:t>
            </w:r>
          </w:p>
        </w:tc>
      </w:tr>
      <w:tr w:rsidR="00307043" w:rsidRPr="00307043" w14:paraId="565A741D" w14:textId="77777777" w:rsidTr="750DD8A1">
        <w:trPr>
          <w:trHeight w:val="288"/>
        </w:trPr>
        <w:tc>
          <w:tcPr>
            <w:tcW w:w="8391" w:type="dxa"/>
            <w:noWrap/>
            <w:vAlign w:val="center"/>
            <w:hideMark/>
          </w:tcPr>
          <w:p w14:paraId="1E195A86"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Executive summary of the Hellenic Atherosclerosis Society guidelines for the diagnosis and treatment of dyslipidemias - 2023</w:t>
            </w:r>
          </w:p>
        </w:tc>
        <w:tc>
          <w:tcPr>
            <w:tcW w:w="1531" w:type="dxa"/>
            <w:noWrap/>
            <w:vAlign w:val="center"/>
            <w:hideMark/>
          </w:tcPr>
          <w:p w14:paraId="4DB28C8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2023, Greece</w:t>
            </w:r>
          </w:p>
        </w:tc>
        <w:tc>
          <w:tcPr>
            <w:tcW w:w="1410" w:type="dxa"/>
            <w:noWrap/>
            <w:vAlign w:val="center"/>
            <w:hideMark/>
          </w:tcPr>
          <w:p w14:paraId="55C5628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1061557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0119A01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4F1E3EC2"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hyperlink r:id="rId22" w:history="1">
              <w:r w:rsidRPr="00307043">
                <w:rPr>
                  <w:rStyle w:val="Hyperlink"/>
                  <w:rFonts w:ascii="Times New Roman" w:hAnsi="Times New Roman" w:cs="Times New Roman"/>
                  <w:color w:val="auto"/>
                  <w:sz w:val="18"/>
                  <w:szCs w:val="18"/>
                </w:rPr>
                <w:t>https://pmc.ncbi.nlm.nih.g</w:t>
              </w:r>
            </w:hyperlink>
            <w:r w:rsidRPr="00307043">
              <w:rPr>
                <w:rFonts w:ascii="Times New Roman" w:hAnsi="Times New Roman" w:cs="Times New Roman"/>
                <w:sz w:val="18"/>
                <w:szCs w:val="18"/>
              </w:rPr>
              <w:br/>
              <w:t>ov/articles/PMC10901915/</w:t>
            </w:r>
          </w:p>
        </w:tc>
      </w:tr>
      <w:tr w:rsidR="00307043" w:rsidRPr="00307043" w14:paraId="13019AD7" w14:textId="77777777" w:rsidTr="750DD8A1">
        <w:trPr>
          <w:trHeight w:val="288"/>
        </w:trPr>
        <w:tc>
          <w:tcPr>
            <w:tcW w:w="8391" w:type="dxa"/>
            <w:noWrap/>
            <w:vAlign w:val="center"/>
            <w:hideMark/>
          </w:tcPr>
          <w:p w14:paraId="67256775"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Genetic/Familial High-Risk Assessment: Breast, Ovarian, and Pancreatic, Version 2.2024 Featured Updates to the NCCN Guidelines</w:t>
            </w:r>
          </w:p>
        </w:tc>
        <w:tc>
          <w:tcPr>
            <w:tcW w:w="1531" w:type="dxa"/>
            <w:noWrap/>
            <w:vAlign w:val="center"/>
            <w:hideMark/>
          </w:tcPr>
          <w:p w14:paraId="20FED51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2023, USA</w:t>
            </w:r>
          </w:p>
        </w:tc>
        <w:tc>
          <w:tcPr>
            <w:tcW w:w="1410" w:type="dxa"/>
            <w:noWrap/>
            <w:vAlign w:val="center"/>
            <w:hideMark/>
          </w:tcPr>
          <w:p w14:paraId="6B408D5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267A59B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3ED0433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56AF028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10.6004/jnccn.2023.0051</w:t>
            </w:r>
          </w:p>
        </w:tc>
      </w:tr>
      <w:tr w:rsidR="00307043" w:rsidRPr="00307043" w14:paraId="6B51788E" w14:textId="77777777" w:rsidTr="750DD8A1">
        <w:trPr>
          <w:trHeight w:val="288"/>
        </w:trPr>
        <w:tc>
          <w:tcPr>
            <w:tcW w:w="8391" w:type="dxa"/>
            <w:noWrap/>
            <w:vAlign w:val="center"/>
            <w:hideMark/>
          </w:tcPr>
          <w:p w14:paraId="6670F665"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Germline and Somatic Tumor Testing in Epithelial Ovarian Cancer: ASCO Guideline</w:t>
            </w:r>
          </w:p>
        </w:tc>
        <w:tc>
          <w:tcPr>
            <w:tcW w:w="1531" w:type="dxa"/>
            <w:noWrap/>
            <w:vAlign w:val="center"/>
            <w:hideMark/>
          </w:tcPr>
          <w:p w14:paraId="16A96ED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2020, USA</w:t>
            </w:r>
          </w:p>
        </w:tc>
        <w:tc>
          <w:tcPr>
            <w:tcW w:w="1410" w:type="dxa"/>
            <w:noWrap/>
            <w:vAlign w:val="center"/>
            <w:hideMark/>
          </w:tcPr>
          <w:p w14:paraId="7D0DE20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18A5220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1217273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1D47ECB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10.1200/JCO.19.02960</w:t>
            </w:r>
          </w:p>
        </w:tc>
      </w:tr>
      <w:tr w:rsidR="00307043" w:rsidRPr="00307043" w14:paraId="27853532" w14:textId="77777777" w:rsidTr="750DD8A1">
        <w:trPr>
          <w:trHeight w:val="288"/>
        </w:trPr>
        <w:tc>
          <w:tcPr>
            <w:tcW w:w="8391" w:type="dxa"/>
            <w:noWrap/>
            <w:vAlign w:val="center"/>
            <w:hideMark/>
          </w:tcPr>
          <w:p w14:paraId="2F8AC963"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2019 Update of Indian National Association for Study of the Liver Consensus on Prevention, Diagnosis, and Management of Hepatocellular Carcinoma in India: The Puri II Recommendations</w:t>
            </w:r>
          </w:p>
        </w:tc>
        <w:tc>
          <w:tcPr>
            <w:tcW w:w="1531" w:type="dxa"/>
            <w:noWrap/>
            <w:vAlign w:val="center"/>
            <w:hideMark/>
          </w:tcPr>
          <w:p w14:paraId="7A5CA0B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2019, India</w:t>
            </w:r>
          </w:p>
        </w:tc>
        <w:tc>
          <w:tcPr>
            <w:tcW w:w="1410" w:type="dxa"/>
            <w:noWrap/>
            <w:vAlign w:val="center"/>
            <w:hideMark/>
          </w:tcPr>
          <w:p w14:paraId="4E8EB72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5415BE1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61297D0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Alcohol</w:t>
            </w:r>
          </w:p>
        </w:tc>
        <w:tc>
          <w:tcPr>
            <w:tcW w:w="2141" w:type="dxa"/>
            <w:vAlign w:val="center"/>
          </w:tcPr>
          <w:p w14:paraId="0FAE29C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10.1016/j.jceh.2019</w:t>
            </w:r>
            <w:r w:rsidRPr="00307043">
              <w:rPr>
                <w:rFonts w:ascii="Times New Roman" w:hAnsi="Times New Roman" w:cs="Times New Roman"/>
                <w:sz w:val="18"/>
                <w:szCs w:val="18"/>
              </w:rPr>
              <w:br/>
              <w:t>.09.007</w:t>
            </w:r>
          </w:p>
        </w:tc>
      </w:tr>
      <w:tr w:rsidR="00307043" w:rsidRPr="00307043" w14:paraId="0E8CC28D" w14:textId="77777777" w:rsidTr="750DD8A1">
        <w:trPr>
          <w:trHeight w:val="288"/>
        </w:trPr>
        <w:tc>
          <w:tcPr>
            <w:tcW w:w="8391" w:type="dxa"/>
            <w:noWrap/>
            <w:vAlign w:val="center"/>
            <w:hideMark/>
          </w:tcPr>
          <w:p w14:paraId="3C5695B5"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Guidelines for the management of hereditary colorectal cancer from the British Society of Gastroenterology (BSG)/Association of Coloproctology of Great Britain and Ireland (ACPGBI)/United Kingdom Cancer Genetics Group (UKCGG)</w:t>
            </w:r>
          </w:p>
        </w:tc>
        <w:tc>
          <w:tcPr>
            <w:tcW w:w="1531" w:type="dxa"/>
            <w:noWrap/>
            <w:vAlign w:val="center"/>
            <w:hideMark/>
          </w:tcPr>
          <w:p w14:paraId="60BA12B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2020, Great Britain -  Ireland</w:t>
            </w:r>
          </w:p>
        </w:tc>
        <w:tc>
          <w:tcPr>
            <w:tcW w:w="1410" w:type="dxa"/>
            <w:noWrap/>
            <w:vAlign w:val="center"/>
            <w:hideMark/>
          </w:tcPr>
          <w:p w14:paraId="5D6D387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421C37B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4F919B4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1FFED70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10.1136/gutjnl-2019</w:t>
            </w:r>
            <w:r w:rsidRPr="00307043">
              <w:rPr>
                <w:rFonts w:ascii="Times New Roman" w:hAnsi="Times New Roman" w:cs="Times New Roman"/>
                <w:sz w:val="18"/>
                <w:szCs w:val="18"/>
              </w:rPr>
              <w:br/>
              <w:t>-319915</w:t>
            </w:r>
          </w:p>
        </w:tc>
      </w:tr>
      <w:tr w:rsidR="00307043" w:rsidRPr="00307043" w14:paraId="74FB5618" w14:textId="77777777" w:rsidTr="750DD8A1">
        <w:trPr>
          <w:trHeight w:val="288"/>
        </w:trPr>
        <w:tc>
          <w:tcPr>
            <w:tcW w:w="8391" w:type="dxa"/>
            <w:noWrap/>
            <w:vAlign w:val="center"/>
            <w:hideMark/>
          </w:tcPr>
          <w:p w14:paraId="491050DF"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Hypertension Canada's 2020 Comprehensive Guidelines for the Prevention, Diagnosis, Risk Assessment, and Treatment of Hypertension in Adults and Children</w:t>
            </w:r>
          </w:p>
        </w:tc>
        <w:tc>
          <w:tcPr>
            <w:tcW w:w="1531" w:type="dxa"/>
            <w:noWrap/>
            <w:vAlign w:val="center"/>
            <w:hideMark/>
          </w:tcPr>
          <w:p w14:paraId="11FB56F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2020, Canada</w:t>
            </w:r>
          </w:p>
        </w:tc>
        <w:tc>
          <w:tcPr>
            <w:tcW w:w="1410" w:type="dxa"/>
            <w:noWrap/>
            <w:vAlign w:val="center"/>
            <w:hideMark/>
          </w:tcPr>
          <w:p w14:paraId="72437D3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2228B2FB"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0E66F99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Alcohol</w:t>
            </w:r>
          </w:p>
        </w:tc>
        <w:tc>
          <w:tcPr>
            <w:tcW w:w="2141" w:type="dxa"/>
            <w:vAlign w:val="center"/>
          </w:tcPr>
          <w:p w14:paraId="1F82B8E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10.1016/j.cjca.2020.</w:t>
            </w:r>
            <w:r w:rsidRPr="00307043">
              <w:rPr>
                <w:rFonts w:ascii="Times New Roman" w:hAnsi="Times New Roman" w:cs="Times New Roman"/>
                <w:sz w:val="18"/>
                <w:szCs w:val="18"/>
              </w:rPr>
              <w:br/>
              <w:t>02.086</w:t>
            </w:r>
          </w:p>
        </w:tc>
      </w:tr>
      <w:tr w:rsidR="00307043" w:rsidRPr="00307043" w14:paraId="619E08C2" w14:textId="77777777" w:rsidTr="750DD8A1">
        <w:trPr>
          <w:trHeight w:val="288"/>
        </w:trPr>
        <w:tc>
          <w:tcPr>
            <w:tcW w:w="8391" w:type="dxa"/>
            <w:noWrap/>
            <w:vAlign w:val="center"/>
            <w:hideMark/>
          </w:tcPr>
          <w:p w14:paraId="6922C60F"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International Atherosclerosis Society guidance for implementing best practice in the care of familial hypercholesterolaemia</w:t>
            </w:r>
          </w:p>
        </w:tc>
        <w:tc>
          <w:tcPr>
            <w:tcW w:w="1531" w:type="dxa"/>
            <w:noWrap/>
            <w:vAlign w:val="center"/>
            <w:hideMark/>
          </w:tcPr>
          <w:p w14:paraId="76152AA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2023, International</w:t>
            </w:r>
          </w:p>
        </w:tc>
        <w:tc>
          <w:tcPr>
            <w:tcW w:w="1410" w:type="dxa"/>
            <w:noWrap/>
            <w:vAlign w:val="center"/>
            <w:hideMark/>
          </w:tcPr>
          <w:p w14:paraId="2512368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46C22485"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20FFCF7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10C7F21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10.1038/s41569-023</w:t>
            </w:r>
            <w:r w:rsidRPr="00307043">
              <w:rPr>
                <w:rFonts w:ascii="Times New Roman" w:hAnsi="Times New Roman" w:cs="Times New Roman"/>
                <w:sz w:val="18"/>
                <w:szCs w:val="18"/>
              </w:rPr>
              <w:br/>
              <w:t>-00892-0</w:t>
            </w:r>
          </w:p>
        </w:tc>
      </w:tr>
      <w:tr w:rsidR="00307043" w:rsidRPr="00307043" w14:paraId="08AEE825" w14:textId="77777777" w:rsidTr="750DD8A1">
        <w:trPr>
          <w:trHeight w:val="288"/>
        </w:trPr>
        <w:tc>
          <w:tcPr>
            <w:tcW w:w="8391" w:type="dxa"/>
            <w:noWrap/>
            <w:vAlign w:val="center"/>
            <w:hideMark/>
          </w:tcPr>
          <w:p w14:paraId="06C2D61E"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International consensus guidelines on surveillance for pancreatic cancer in chronic pancreatitis. Recommendations from the working group for the international consensus guidelines for chronic pancreatitis in collaboration with the International Association of Pancreatology, the American Pancreatic Association, the Japan Pancreas Society, and European Pancreatic Club</w:t>
            </w:r>
          </w:p>
        </w:tc>
        <w:tc>
          <w:tcPr>
            <w:tcW w:w="1531" w:type="dxa"/>
            <w:noWrap/>
            <w:vAlign w:val="center"/>
            <w:hideMark/>
          </w:tcPr>
          <w:p w14:paraId="7B9CF5F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2020, International</w:t>
            </w:r>
          </w:p>
        </w:tc>
        <w:tc>
          <w:tcPr>
            <w:tcW w:w="1410" w:type="dxa"/>
            <w:noWrap/>
            <w:vAlign w:val="center"/>
            <w:hideMark/>
          </w:tcPr>
          <w:p w14:paraId="4F95FAD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47C52E2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72874C8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4B90AFA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10.1016/j.pan.2020.</w:t>
            </w:r>
            <w:r w:rsidRPr="00307043">
              <w:rPr>
                <w:rFonts w:ascii="Times New Roman" w:hAnsi="Times New Roman" w:cs="Times New Roman"/>
                <w:sz w:val="18"/>
                <w:szCs w:val="18"/>
              </w:rPr>
              <w:br/>
              <w:t>05.011</w:t>
            </w:r>
          </w:p>
        </w:tc>
      </w:tr>
      <w:tr w:rsidR="00307043" w:rsidRPr="00307043" w14:paraId="6A156018" w14:textId="77777777" w:rsidTr="750DD8A1">
        <w:trPr>
          <w:trHeight w:val="288"/>
        </w:trPr>
        <w:tc>
          <w:tcPr>
            <w:tcW w:w="8391" w:type="dxa"/>
            <w:noWrap/>
            <w:vAlign w:val="center"/>
            <w:hideMark/>
          </w:tcPr>
          <w:p w14:paraId="390C8472"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Updated Recommendations for Pediatric Surveillance in Hereditary Endocrine Neoplasia Syndromes: Multiple Endocrine Neoplasias, HPT-Jaw Tumor Syndrome, and Carney Complex.</w:t>
            </w:r>
          </w:p>
        </w:tc>
        <w:tc>
          <w:tcPr>
            <w:tcW w:w="1531" w:type="dxa"/>
            <w:noWrap/>
            <w:vAlign w:val="center"/>
            <w:hideMark/>
          </w:tcPr>
          <w:p w14:paraId="3041DB5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2025, USA</w:t>
            </w:r>
          </w:p>
        </w:tc>
        <w:tc>
          <w:tcPr>
            <w:tcW w:w="1410" w:type="dxa"/>
            <w:noWrap/>
            <w:vAlign w:val="center"/>
            <w:hideMark/>
          </w:tcPr>
          <w:p w14:paraId="698753F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07AE1F8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 CVD</w:t>
            </w:r>
          </w:p>
        </w:tc>
        <w:tc>
          <w:tcPr>
            <w:tcW w:w="765" w:type="dxa"/>
            <w:noWrap/>
            <w:vAlign w:val="center"/>
            <w:hideMark/>
          </w:tcPr>
          <w:p w14:paraId="3DFB3E60"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6A94D0A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10.1158/1078-0432.</w:t>
            </w:r>
            <w:r w:rsidRPr="00307043">
              <w:rPr>
                <w:rFonts w:ascii="Times New Roman" w:hAnsi="Times New Roman" w:cs="Times New Roman"/>
                <w:sz w:val="18"/>
                <w:szCs w:val="18"/>
              </w:rPr>
              <w:br/>
              <w:t>CCR-24-3860</w:t>
            </w:r>
          </w:p>
        </w:tc>
      </w:tr>
      <w:tr w:rsidR="00307043" w:rsidRPr="00307043" w14:paraId="080197EA" w14:textId="77777777" w:rsidTr="750DD8A1">
        <w:trPr>
          <w:trHeight w:val="288"/>
        </w:trPr>
        <w:tc>
          <w:tcPr>
            <w:tcW w:w="8391" w:type="dxa"/>
            <w:noWrap/>
            <w:vAlign w:val="center"/>
            <w:hideMark/>
          </w:tcPr>
          <w:p w14:paraId="51147938"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Japanese Society for Cancer of the Colon and Rectum (JSCCR) guidelines 2020 for the Clinical Practice of Hereditary Colorectal Cancer</w:t>
            </w:r>
          </w:p>
        </w:tc>
        <w:tc>
          <w:tcPr>
            <w:tcW w:w="1531" w:type="dxa"/>
            <w:noWrap/>
            <w:vAlign w:val="center"/>
            <w:hideMark/>
          </w:tcPr>
          <w:p w14:paraId="197B46E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2020, Japan</w:t>
            </w:r>
          </w:p>
        </w:tc>
        <w:tc>
          <w:tcPr>
            <w:tcW w:w="1410" w:type="dxa"/>
            <w:noWrap/>
            <w:vAlign w:val="center"/>
            <w:hideMark/>
          </w:tcPr>
          <w:p w14:paraId="295B61BC"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31C1390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5CB558D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341E431E"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hyperlink r:id="rId23" w:history="1">
              <w:r w:rsidRPr="00307043">
                <w:rPr>
                  <w:rStyle w:val="Hyperlink"/>
                  <w:rFonts w:ascii="Times New Roman" w:hAnsi="Times New Roman" w:cs="Times New Roman"/>
                  <w:color w:val="auto"/>
                  <w:sz w:val="18"/>
                  <w:szCs w:val="18"/>
                </w:rPr>
                <w:t>https://doi.org/10.100</w:t>
              </w:r>
            </w:hyperlink>
            <w:r w:rsidRPr="00307043">
              <w:rPr>
                <w:rFonts w:ascii="Times New Roman" w:hAnsi="Times New Roman" w:cs="Times New Roman"/>
                <w:sz w:val="18"/>
                <w:szCs w:val="18"/>
              </w:rPr>
              <w:br/>
              <w:t>7/s10147-021-01881-4</w:t>
            </w:r>
          </w:p>
        </w:tc>
      </w:tr>
      <w:tr w:rsidR="00307043" w:rsidRPr="00307043" w14:paraId="5B9C8741" w14:textId="77777777" w:rsidTr="750DD8A1">
        <w:trPr>
          <w:trHeight w:val="288"/>
        </w:trPr>
        <w:tc>
          <w:tcPr>
            <w:tcW w:w="8391" w:type="dxa"/>
            <w:noWrap/>
            <w:vAlign w:val="center"/>
            <w:hideMark/>
          </w:tcPr>
          <w:p w14:paraId="402DA075"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KDIGO 2020 Clinical Practice Guideline for Diabetes Management in Chronic Kidney Disease</w:t>
            </w:r>
          </w:p>
        </w:tc>
        <w:tc>
          <w:tcPr>
            <w:tcW w:w="1531" w:type="dxa"/>
            <w:noWrap/>
            <w:vAlign w:val="center"/>
            <w:hideMark/>
          </w:tcPr>
          <w:p w14:paraId="3171880A"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2020, International</w:t>
            </w:r>
          </w:p>
        </w:tc>
        <w:tc>
          <w:tcPr>
            <w:tcW w:w="1410" w:type="dxa"/>
            <w:noWrap/>
            <w:vAlign w:val="center"/>
            <w:hideMark/>
          </w:tcPr>
          <w:p w14:paraId="6B7CB1C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29BE4BA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Diabetes</w:t>
            </w:r>
          </w:p>
        </w:tc>
        <w:tc>
          <w:tcPr>
            <w:tcW w:w="765" w:type="dxa"/>
            <w:noWrap/>
            <w:vAlign w:val="center"/>
            <w:hideMark/>
          </w:tcPr>
          <w:p w14:paraId="046956C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5833F074"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10.1016/j.kint.2020.06.019</w:t>
            </w:r>
          </w:p>
        </w:tc>
      </w:tr>
      <w:tr w:rsidR="00307043" w:rsidRPr="00307043" w14:paraId="4C525A70" w14:textId="77777777" w:rsidTr="750DD8A1">
        <w:trPr>
          <w:trHeight w:val="288"/>
        </w:trPr>
        <w:tc>
          <w:tcPr>
            <w:tcW w:w="8391" w:type="dxa"/>
            <w:noWrap/>
            <w:vAlign w:val="center"/>
            <w:hideMark/>
          </w:tcPr>
          <w:p w14:paraId="1EFD9EC8"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Kidney cancer, version 1.2021: Featured updates to the nccn guidelines</w:t>
            </w:r>
          </w:p>
        </w:tc>
        <w:tc>
          <w:tcPr>
            <w:tcW w:w="1531" w:type="dxa"/>
            <w:noWrap/>
            <w:vAlign w:val="center"/>
            <w:hideMark/>
          </w:tcPr>
          <w:p w14:paraId="02C1342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2022, USA</w:t>
            </w:r>
          </w:p>
        </w:tc>
        <w:tc>
          <w:tcPr>
            <w:tcW w:w="1410" w:type="dxa"/>
            <w:noWrap/>
            <w:vAlign w:val="center"/>
            <w:hideMark/>
          </w:tcPr>
          <w:p w14:paraId="48FA794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4C0CADE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1D79795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Genetic</w:t>
            </w:r>
          </w:p>
        </w:tc>
        <w:tc>
          <w:tcPr>
            <w:tcW w:w="2141" w:type="dxa"/>
            <w:vAlign w:val="center"/>
          </w:tcPr>
          <w:p w14:paraId="5830344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10.6004/jnccn.2020.0043</w:t>
            </w:r>
          </w:p>
        </w:tc>
      </w:tr>
      <w:tr w:rsidR="00307043" w:rsidRPr="00307043" w14:paraId="25F25514" w14:textId="77777777" w:rsidTr="750DD8A1">
        <w:trPr>
          <w:trHeight w:val="288"/>
        </w:trPr>
        <w:tc>
          <w:tcPr>
            <w:tcW w:w="8391" w:type="dxa"/>
            <w:noWrap/>
            <w:vAlign w:val="center"/>
            <w:hideMark/>
          </w:tcPr>
          <w:p w14:paraId="0E6461F1"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Lipid management in patients with endocrine disorders: An endocrine society clinical practice guideline</w:t>
            </w:r>
          </w:p>
        </w:tc>
        <w:tc>
          <w:tcPr>
            <w:tcW w:w="1531" w:type="dxa"/>
            <w:noWrap/>
            <w:vAlign w:val="center"/>
            <w:hideMark/>
          </w:tcPr>
          <w:p w14:paraId="3C0E199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2020, International</w:t>
            </w:r>
          </w:p>
        </w:tc>
        <w:tc>
          <w:tcPr>
            <w:tcW w:w="1410" w:type="dxa"/>
            <w:noWrap/>
            <w:vAlign w:val="center"/>
            <w:hideMark/>
          </w:tcPr>
          <w:p w14:paraId="03F7A04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Guideline</w:t>
            </w:r>
          </w:p>
        </w:tc>
        <w:tc>
          <w:tcPr>
            <w:tcW w:w="770" w:type="dxa"/>
            <w:noWrap/>
            <w:vAlign w:val="center"/>
            <w:hideMark/>
          </w:tcPr>
          <w:p w14:paraId="4DCD6E88"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CVD</w:t>
            </w:r>
          </w:p>
        </w:tc>
        <w:tc>
          <w:tcPr>
            <w:tcW w:w="765" w:type="dxa"/>
            <w:noWrap/>
            <w:vAlign w:val="center"/>
            <w:hideMark/>
          </w:tcPr>
          <w:p w14:paraId="5D1638F6"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3894223D"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10.1210/clinem/dgaa674</w:t>
            </w:r>
          </w:p>
        </w:tc>
      </w:tr>
      <w:tr w:rsidR="00307043" w:rsidRPr="00307043" w14:paraId="50960D67" w14:textId="77777777" w:rsidTr="750DD8A1">
        <w:trPr>
          <w:trHeight w:val="288"/>
        </w:trPr>
        <w:tc>
          <w:tcPr>
            <w:tcW w:w="8391" w:type="dxa"/>
            <w:noWrap/>
            <w:vAlign w:val="center"/>
            <w:hideMark/>
          </w:tcPr>
          <w:p w14:paraId="5CB6AEB7" w14:textId="77777777" w:rsidR="00A36575" w:rsidRPr="00307043" w:rsidRDefault="00A36575" w:rsidP="009714AC">
            <w:pPr>
              <w:spacing w:after="0" w:line="240" w:lineRule="auto"/>
              <w:rPr>
                <w:rFonts w:ascii="Times New Roman" w:eastAsia="Times New Roman" w:hAnsi="Times New Roman" w:cs="Times New Roman"/>
                <w:sz w:val="18"/>
                <w:szCs w:val="18"/>
                <w:lang w:val="en-US" w:eastAsia="it-IT"/>
              </w:rPr>
            </w:pPr>
            <w:r w:rsidRPr="00307043">
              <w:rPr>
                <w:rFonts w:ascii="Times New Roman" w:hAnsi="Times New Roman" w:cs="Times New Roman"/>
                <w:sz w:val="18"/>
                <w:szCs w:val="18"/>
                <w:lang w:val="en-US"/>
              </w:rPr>
              <w:t>Lung cancer screening in Brazil: recommendations from the Brazilian Society of Thoracic Surgery, Brazilian Thoracic Association, and Brazilian College of Radiology and Diagnostic Imaging</w:t>
            </w:r>
          </w:p>
        </w:tc>
        <w:tc>
          <w:tcPr>
            <w:tcW w:w="1531" w:type="dxa"/>
            <w:noWrap/>
            <w:vAlign w:val="center"/>
            <w:hideMark/>
          </w:tcPr>
          <w:p w14:paraId="67598323"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2024, Brazil</w:t>
            </w:r>
          </w:p>
        </w:tc>
        <w:tc>
          <w:tcPr>
            <w:tcW w:w="1410" w:type="dxa"/>
            <w:noWrap/>
            <w:vAlign w:val="center"/>
            <w:hideMark/>
          </w:tcPr>
          <w:p w14:paraId="7008BBB1"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Recommendation</w:t>
            </w:r>
          </w:p>
        </w:tc>
        <w:tc>
          <w:tcPr>
            <w:tcW w:w="770" w:type="dxa"/>
            <w:noWrap/>
            <w:vAlign w:val="center"/>
            <w:hideMark/>
          </w:tcPr>
          <w:p w14:paraId="1A15574F"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Cancer</w:t>
            </w:r>
          </w:p>
        </w:tc>
        <w:tc>
          <w:tcPr>
            <w:tcW w:w="765" w:type="dxa"/>
            <w:noWrap/>
            <w:vAlign w:val="center"/>
            <w:hideMark/>
          </w:tcPr>
          <w:p w14:paraId="3FC33BA7"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Tobacco</w:t>
            </w:r>
          </w:p>
        </w:tc>
        <w:tc>
          <w:tcPr>
            <w:tcW w:w="2141" w:type="dxa"/>
            <w:vAlign w:val="center"/>
          </w:tcPr>
          <w:p w14:paraId="3FD45A39" w14:textId="77777777" w:rsidR="00A36575" w:rsidRPr="00307043" w:rsidRDefault="00A36575" w:rsidP="009714AC">
            <w:pPr>
              <w:spacing w:after="0" w:line="240" w:lineRule="auto"/>
              <w:rPr>
                <w:rFonts w:ascii="Times New Roman" w:eastAsia="Times New Roman" w:hAnsi="Times New Roman" w:cs="Times New Roman"/>
                <w:sz w:val="18"/>
                <w:szCs w:val="18"/>
                <w:lang w:eastAsia="it-IT"/>
              </w:rPr>
            </w:pPr>
            <w:r w:rsidRPr="00307043">
              <w:rPr>
                <w:rFonts w:ascii="Times New Roman" w:hAnsi="Times New Roman" w:cs="Times New Roman"/>
                <w:sz w:val="18"/>
                <w:szCs w:val="18"/>
              </w:rPr>
              <w:t>10.36416/1806-375</w:t>
            </w:r>
            <w:r w:rsidRPr="00307043">
              <w:rPr>
                <w:rFonts w:ascii="Times New Roman" w:hAnsi="Times New Roman" w:cs="Times New Roman"/>
                <w:sz w:val="18"/>
                <w:szCs w:val="18"/>
              </w:rPr>
              <w:br/>
              <w:t>6/e20230233</w:t>
            </w:r>
          </w:p>
        </w:tc>
      </w:tr>
    </w:tbl>
    <w:p w14:paraId="278D1A50" w14:textId="77777777" w:rsidR="00A36575" w:rsidRPr="00307043" w:rsidRDefault="00A36575" w:rsidP="00A36575">
      <w:pPr>
        <w:rPr>
          <w:rFonts w:ascii="Times New Roman" w:hAnsi="Times New Roman" w:cs="Times New Roman"/>
          <w:lang w:val="en-US"/>
        </w:rPr>
      </w:pPr>
      <w:r w:rsidRPr="00307043">
        <w:rPr>
          <w:rFonts w:ascii="Times New Roman" w:hAnsi="Times New Roman" w:cs="Times New Roman"/>
          <w:lang w:val="en-US"/>
        </w:rPr>
        <w:t>CVD = Cardiovascular disease, CRD = Chronic respiratory disease</w:t>
      </w:r>
    </w:p>
    <w:p w14:paraId="02AFBDB3" w14:textId="77777777" w:rsidR="00A36575" w:rsidRPr="00307043" w:rsidRDefault="00A36575">
      <w:pPr>
        <w:spacing w:line="360" w:lineRule="auto"/>
        <w:rPr>
          <w:rFonts w:ascii="Times New Roman" w:eastAsia="Times New Roman" w:hAnsi="Times New Roman" w:cs="Times New Roman"/>
          <w:b/>
          <w:bCs/>
          <w:lang w:val="en-US"/>
        </w:rPr>
        <w:sectPr w:rsidR="00A36575" w:rsidRPr="00307043" w:rsidSect="00A36575">
          <w:pgSz w:w="16838" w:h="11906" w:orient="landscape"/>
          <w:pgMar w:top="1440" w:right="1440" w:bottom="1440" w:left="1440" w:header="720" w:footer="720" w:gutter="0"/>
          <w:cols w:space="720"/>
          <w:docGrid w:linePitch="360"/>
        </w:sectPr>
      </w:pPr>
    </w:p>
    <w:p w14:paraId="4B5F9F64" w14:textId="22B48021" w:rsidR="00684BFB" w:rsidRPr="00307043" w:rsidRDefault="00A36575">
      <w:pPr>
        <w:spacing w:line="360" w:lineRule="auto"/>
        <w:rPr>
          <w:rFonts w:ascii="Times New Roman" w:eastAsia="Times New Roman" w:hAnsi="Times New Roman" w:cs="Times New Roman"/>
          <w:lang w:val="en-US"/>
        </w:rPr>
      </w:pPr>
      <w:r w:rsidRPr="00307043">
        <w:rPr>
          <w:rFonts w:ascii="Times New Roman" w:eastAsia="Times New Roman" w:hAnsi="Times New Roman" w:cs="Times New Roman"/>
          <w:b/>
          <w:bCs/>
          <w:lang w:val="en-US"/>
        </w:rPr>
        <w:lastRenderedPageBreak/>
        <w:t>S</w:t>
      </w:r>
      <w:r w:rsidR="54F32C53" w:rsidRPr="00307043">
        <w:rPr>
          <w:rFonts w:ascii="Times New Roman" w:eastAsia="Times New Roman" w:hAnsi="Times New Roman" w:cs="Times New Roman"/>
          <w:b/>
          <w:bCs/>
          <w:lang w:val="en-US"/>
        </w:rPr>
        <w:t xml:space="preserve">upplementary table </w:t>
      </w:r>
      <w:r w:rsidRPr="00307043">
        <w:rPr>
          <w:rFonts w:ascii="Times New Roman" w:eastAsia="Times New Roman" w:hAnsi="Times New Roman" w:cs="Times New Roman"/>
          <w:b/>
          <w:bCs/>
          <w:lang w:val="en-US"/>
        </w:rPr>
        <w:t>3</w:t>
      </w:r>
      <w:r w:rsidR="54F32C53" w:rsidRPr="00307043">
        <w:rPr>
          <w:rFonts w:ascii="Times New Roman" w:eastAsia="Times New Roman" w:hAnsi="Times New Roman" w:cs="Times New Roman"/>
          <w:b/>
          <w:bCs/>
          <w:lang w:val="en-US"/>
        </w:rPr>
        <w:t xml:space="preserve">. </w:t>
      </w:r>
      <w:r w:rsidR="54F32C53" w:rsidRPr="00307043">
        <w:rPr>
          <w:rFonts w:ascii="Times New Roman" w:eastAsia="Times New Roman" w:hAnsi="Times New Roman" w:cs="Times New Roman"/>
          <w:lang w:val="en-US"/>
        </w:rPr>
        <w:t>Characteristics of the approaches addressing cancer.</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135"/>
        <w:gridCol w:w="1188"/>
        <w:gridCol w:w="1440"/>
        <w:gridCol w:w="1440"/>
        <w:gridCol w:w="900"/>
      </w:tblGrid>
      <w:tr w:rsidR="00307043" w:rsidRPr="00307043" w14:paraId="5942B52C" w14:textId="77777777" w:rsidTr="6D2C0DF0">
        <w:trPr>
          <w:trHeight w:val="300"/>
        </w:trPr>
        <w:tc>
          <w:tcPr>
            <w:tcW w:w="3135" w:type="dxa"/>
            <w:tcBorders>
              <w:top w:val="nil"/>
              <w:left w:val="nil"/>
              <w:bottom w:val="single" w:sz="6" w:space="0" w:color="auto"/>
              <w:right w:val="single" w:sz="6" w:space="0" w:color="auto"/>
            </w:tcBorders>
            <w:tcMar>
              <w:left w:w="105" w:type="dxa"/>
              <w:right w:w="105" w:type="dxa"/>
            </w:tcMar>
            <w:vAlign w:val="center"/>
          </w:tcPr>
          <w:p w14:paraId="4A8AA944" w14:textId="77777777" w:rsidR="00684BFB" w:rsidRPr="00307043" w:rsidRDefault="00684BFB">
            <w:pPr>
              <w:spacing w:before="36" w:after="36"/>
              <w:rPr>
                <w:rFonts w:ascii="Times New Roman" w:eastAsia="Times New Roman" w:hAnsi="Times New Roman" w:cs="Times New Roman"/>
                <w:sz w:val="20"/>
                <w:szCs w:val="20"/>
                <w:lang w:val="en-US"/>
              </w:rPr>
            </w:pPr>
          </w:p>
        </w:tc>
        <w:tc>
          <w:tcPr>
            <w:tcW w:w="1188" w:type="dxa"/>
            <w:tcBorders>
              <w:top w:val="nil"/>
              <w:left w:val="single" w:sz="6" w:space="0" w:color="auto"/>
              <w:bottom w:val="single" w:sz="6" w:space="0" w:color="auto"/>
              <w:right w:val="single" w:sz="6" w:space="0" w:color="auto"/>
            </w:tcBorders>
            <w:tcMar>
              <w:left w:w="105" w:type="dxa"/>
              <w:right w:w="105" w:type="dxa"/>
            </w:tcMar>
            <w:vAlign w:val="center"/>
          </w:tcPr>
          <w:p w14:paraId="52470409"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Total approaches</w:t>
            </w:r>
          </w:p>
        </w:tc>
        <w:tc>
          <w:tcPr>
            <w:tcW w:w="1440" w:type="dxa"/>
            <w:tcBorders>
              <w:top w:val="nil"/>
              <w:left w:val="single" w:sz="6" w:space="0" w:color="auto"/>
              <w:bottom w:val="single" w:sz="6" w:space="0" w:color="auto"/>
              <w:right w:val="nil"/>
            </w:tcBorders>
            <w:tcMar>
              <w:left w:w="105" w:type="dxa"/>
              <w:right w:w="105" w:type="dxa"/>
            </w:tcMar>
            <w:vAlign w:val="center"/>
          </w:tcPr>
          <w:p w14:paraId="12714FD5"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Modifiable risk factors</w:t>
            </w:r>
          </w:p>
        </w:tc>
        <w:tc>
          <w:tcPr>
            <w:tcW w:w="1440" w:type="dxa"/>
            <w:tcBorders>
              <w:top w:val="nil"/>
              <w:left w:val="nil"/>
              <w:bottom w:val="single" w:sz="6" w:space="0" w:color="auto"/>
              <w:right w:val="single" w:sz="6" w:space="0" w:color="auto"/>
            </w:tcBorders>
            <w:tcMar>
              <w:left w:w="105" w:type="dxa"/>
              <w:right w:w="105" w:type="dxa"/>
            </w:tcMar>
            <w:vAlign w:val="center"/>
          </w:tcPr>
          <w:p w14:paraId="1B5294DF" w14:textId="45BFF1CE" w:rsidR="00684BFB" w:rsidRPr="00307043" w:rsidRDefault="00977696" w:rsidP="6D2C0DF0">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 xml:space="preserve">Genetic </w:t>
            </w:r>
            <w:r w:rsidR="23BD076C" w:rsidRPr="00307043">
              <w:rPr>
                <w:rFonts w:ascii="Times New Roman" w:eastAsia="Times New Roman" w:hAnsi="Times New Roman" w:cs="Times New Roman"/>
                <w:b/>
                <w:bCs/>
                <w:sz w:val="20"/>
                <w:szCs w:val="20"/>
                <w:lang w:val="en-US"/>
              </w:rPr>
              <w:t>factors</w:t>
            </w:r>
          </w:p>
        </w:tc>
        <w:tc>
          <w:tcPr>
            <w:tcW w:w="900" w:type="dxa"/>
            <w:tcBorders>
              <w:top w:val="nil"/>
              <w:left w:val="single" w:sz="6" w:space="0" w:color="auto"/>
              <w:bottom w:val="single" w:sz="6" w:space="0" w:color="auto"/>
              <w:right w:val="nil"/>
            </w:tcBorders>
            <w:tcMar>
              <w:left w:w="105" w:type="dxa"/>
              <w:right w:w="105" w:type="dxa"/>
            </w:tcMar>
            <w:vAlign w:val="center"/>
          </w:tcPr>
          <w:p w14:paraId="1BB81E06"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p</w:t>
            </w:r>
          </w:p>
        </w:tc>
      </w:tr>
      <w:tr w:rsidR="00307043" w:rsidRPr="00307043" w14:paraId="192AB735" w14:textId="77777777" w:rsidTr="0012567E">
        <w:trPr>
          <w:trHeight w:val="300"/>
        </w:trPr>
        <w:tc>
          <w:tcPr>
            <w:tcW w:w="3135" w:type="dxa"/>
            <w:tcBorders>
              <w:top w:val="single" w:sz="6" w:space="0" w:color="auto"/>
              <w:left w:val="nil"/>
              <w:bottom w:val="single" w:sz="6" w:space="0" w:color="auto"/>
              <w:right w:val="single" w:sz="6" w:space="0" w:color="auto"/>
            </w:tcBorders>
            <w:tcMar>
              <w:left w:w="105" w:type="dxa"/>
              <w:right w:w="105" w:type="dxa"/>
            </w:tcMar>
            <w:vAlign w:val="center"/>
          </w:tcPr>
          <w:p w14:paraId="12DEC66D" w14:textId="77777777" w:rsidR="00987858" w:rsidRPr="00307043" w:rsidRDefault="00987858" w:rsidP="00987858">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n</w:t>
            </w:r>
          </w:p>
        </w:tc>
        <w:tc>
          <w:tcPr>
            <w:tcW w:w="1188" w:type="dxa"/>
            <w:tcBorders>
              <w:top w:val="single" w:sz="6" w:space="0" w:color="auto"/>
              <w:left w:val="single" w:sz="6" w:space="0" w:color="auto"/>
              <w:bottom w:val="single" w:sz="6" w:space="0" w:color="auto"/>
              <w:right w:val="single" w:sz="6" w:space="0" w:color="auto"/>
            </w:tcBorders>
            <w:tcMar>
              <w:left w:w="105" w:type="dxa"/>
              <w:right w:w="105" w:type="dxa"/>
            </w:tcMar>
          </w:tcPr>
          <w:p w14:paraId="7422FCB2" w14:textId="7F58FE1F" w:rsidR="00987858" w:rsidRPr="00307043" w:rsidRDefault="00987858" w:rsidP="00987858">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441</w:t>
            </w:r>
          </w:p>
        </w:tc>
        <w:tc>
          <w:tcPr>
            <w:tcW w:w="1440" w:type="dxa"/>
            <w:tcBorders>
              <w:top w:val="single" w:sz="6" w:space="0" w:color="auto"/>
              <w:left w:val="single" w:sz="6" w:space="0" w:color="auto"/>
              <w:bottom w:val="single" w:sz="6" w:space="0" w:color="auto"/>
              <w:right w:val="nil"/>
            </w:tcBorders>
            <w:tcMar>
              <w:left w:w="105" w:type="dxa"/>
              <w:right w:w="105" w:type="dxa"/>
            </w:tcMar>
          </w:tcPr>
          <w:p w14:paraId="64CF4F02" w14:textId="4353AFFE" w:rsidR="00987858" w:rsidRPr="00307043" w:rsidRDefault="00987858" w:rsidP="00987858">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16</w:t>
            </w:r>
          </w:p>
        </w:tc>
        <w:tc>
          <w:tcPr>
            <w:tcW w:w="1440" w:type="dxa"/>
            <w:tcBorders>
              <w:top w:val="single" w:sz="6" w:space="0" w:color="auto"/>
              <w:left w:val="nil"/>
              <w:bottom w:val="single" w:sz="6" w:space="0" w:color="auto"/>
              <w:right w:val="single" w:sz="6" w:space="0" w:color="auto"/>
            </w:tcBorders>
            <w:tcMar>
              <w:left w:w="105" w:type="dxa"/>
              <w:right w:w="105" w:type="dxa"/>
            </w:tcMar>
          </w:tcPr>
          <w:p w14:paraId="7A1F1AE4" w14:textId="40AC7949" w:rsidR="00987858" w:rsidRPr="00307043" w:rsidRDefault="00987858" w:rsidP="00987858">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425</w:t>
            </w:r>
          </w:p>
        </w:tc>
        <w:tc>
          <w:tcPr>
            <w:tcW w:w="900" w:type="dxa"/>
            <w:tcBorders>
              <w:top w:val="single" w:sz="6" w:space="0" w:color="auto"/>
              <w:left w:val="single" w:sz="6" w:space="0" w:color="auto"/>
              <w:bottom w:val="single" w:sz="6" w:space="0" w:color="auto"/>
              <w:right w:val="nil"/>
            </w:tcBorders>
            <w:tcMar>
              <w:left w:w="105" w:type="dxa"/>
              <w:right w:w="105" w:type="dxa"/>
            </w:tcMar>
            <w:vAlign w:val="center"/>
          </w:tcPr>
          <w:p w14:paraId="07A2716E" w14:textId="77777777" w:rsidR="00987858" w:rsidRPr="00307043" w:rsidRDefault="00987858" w:rsidP="00987858">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 xml:space="preserve"> </w:t>
            </w:r>
          </w:p>
        </w:tc>
      </w:tr>
      <w:tr w:rsidR="00307043" w:rsidRPr="00307043" w14:paraId="35BB18EC" w14:textId="77777777" w:rsidTr="00310899">
        <w:trPr>
          <w:trHeight w:val="300"/>
        </w:trPr>
        <w:tc>
          <w:tcPr>
            <w:tcW w:w="3135" w:type="dxa"/>
            <w:tcBorders>
              <w:top w:val="single" w:sz="6" w:space="0" w:color="auto"/>
              <w:left w:val="nil"/>
              <w:bottom w:val="nil"/>
              <w:right w:val="single" w:sz="6" w:space="0" w:color="auto"/>
            </w:tcBorders>
            <w:tcMar>
              <w:left w:w="105" w:type="dxa"/>
              <w:right w:w="105" w:type="dxa"/>
            </w:tcMar>
            <w:vAlign w:val="center"/>
          </w:tcPr>
          <w:p w14:paraId="6924CFA2" w14:textId="77777777" w:rsidR="00511C5D" w:rsidRPr="00307043" w:rsidRDefault="00511C5D" w:rsidP="00511C5D">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Prevention level, n (%)</w:t>
            </w:r>
          </w:p>
        </w:tc>
        <w:tc>
          <w:tcPr>
            <w:tcW w:w="1188" w:type="dxa"/>
            <w:tcBorders>
              <w:top w:val="single" w:sz="6" w:space="0" w:color="auto"/>
              <w:left w:val="single" w:sz="6" w:space="0" w:color="auto"/>
              <w:bottom w:val="nil"/>
              <w:right w:val="single" w:sz="6" w:space="0" w:color="auto"/>
            </w:tcBorders>
            <w:tcMar>
              <w:left w:w="105" w:type="dxa"/>
              <w:right w:w="105" w:type="dxa"/>
            </w:tcMar>
          </w:tcPr>
          <w:p w14:paraId="61B3145B" w14:textId="77777777" w:rsidR="00511C5D" w:rsidRPr="00307043" w:rsidRDefault="00511C5D" w:rsidP="00511C5D">
            <w:pPr>
              <w:spacing w:before="36" w:after="36"/>
              <w:rPr>
                <w:rFonts w:ascii="Times New Roman" w:eastAsia="Times New Roman" w:hAnsi="Times New Roman" w:cs="Times New Roman"/>
                <w:sz w:val="20"/>
                <w:szCs w:val="20"/>
                <w:lang w:val="en-US"/>
              </w:rPr>
            </w:pPr>
          </w:p>
        </w:tc>
        <w:tc>
          <w:tcPr>
            <w:tcW w:w="1440" w:type="dxa"/>
            <w:tcBorders>
              <w:top w:val="single" w:sz="6" w:space="0" w:color="auto"/>
              <w:left w:val="single" w:sz="6" w:space="0" w:color="auto"/>
              <w:bottom w:val="nil"/>
              <w:right w:val="nil"/>
            </w:tcBorders>
            <w:tcMar>
              <w:left w:w="105" w:type="dxa"/>
              <w:right w:w="105" w:type="dxa"/>
            </w:tcMar>
          </w:tcPr>
          <w:p w14:paraId="27E7E046" w14:textId="18BB51AF" w:rsidR="00511C5D" w:rsidRPr="00307043" w:rsidRDefault="00511C5D" w:rsidP="00511C5D">
            <w:pPr>
              <w:spacing w:before="36" w:after="36"/>
              <w:rPr>
                <w:rFonts w:ascii="Times New Roman" w:eastAsia="Times New Roman" w:hAnsi="Times New Roman" w:cs="Times New Roman"/>
                <w:sz w:val="20"/>
                <w:szCs w:val="20"/>
                <w:lang w:val="en-US"/>
              </w:rPr>
            </w:pPr>
          </w:p>
        </w:tc>
        <w:tc>
          <w:tcPr>
            <w:tcW w:w="1440" w:type="dxa"/>
            <w:tcBorders>
              <w:top w:val="single" w:sz="6" w:space="0" w:color="auto"/>
              <w:left w:val="nil"/>
              <w:bottom w:val="nil"/>
              <w:right w:val="single" w:sz="6" w:space="0" w:color="auto"/>
            </w:tcBorders>
            <w:tcMar>
              <w:left w:w="105" w:type="dxa"/>
              <w:right w:w="105" w:type="dxa"/>
            </w:tcMar>
          </w:tcPr>
          <w:p w14:paraId="486F8C9B" w14:textId="65397865" w:rsidR="00511C5D" w:rsidRPr="00307043" w:rsidRDefault="00511C5D" w:rsidP="00511C5D">
            <w:pPr>
              <w:spacing w:before="36" w:after="36"/>
              <w:rPr>
                <w:rFonts w:ascii="Times New Roman" w:eastAsia="Times New Roman" w:hAnsi="Times New Roman" w:cs="Times New Roman"/>
                <w:sz w:val="20"/>
                <w:szCs w:val="20"/>
                <w:lang w:val="en-US"/>
              </w:rPr>
            </w:pPr>
          </w:p>
        </w:tc>
        <w:tc>
          <w:tcPr>
            <w:tcW w:w="900" w:type="dxa"/>
            <w:tcBorders>
              <w:top w:val="single" w:sz="6" w:space="0" w:color="auto"/>
              <w:left w:val="single" w:sz="6" w:space="0" w:color="auto"/>
              <w:bottom w:val="nil"/>
              <w:right w:val="nil"/>
            </w:tcBorders>
            <w:tcMar>
              <w:left w:w="105" w:type="dxa"/>
              <w:right w:w="105" w:type="dxa"/>
            </w:tcMar>
          </w:tcPr>
          <w:p w14:paraId="77369947" w14:textId="0D705FCE" w:rsidR="00511C5D" w:rsidRPr="00307043" w:rsidRDefault="00511C5D" w:rsidP="00511C5D">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0.900</w:t>
            </w:r>
          </w:p>
        </w:tc>
      </w:tr>
      <w:tr w:rsidR="00307043" w:rsidRPr="00307043" w14:paraId="681A3589" w14:textId="77777777" w:rsidTr="00310899">
        <w:trPr>
          <w:trHeight w:val="300"/>
        </w:trPr>
        <w:tc>
          <w:tcPr>
            <w:tcW w:w="3135" w:type="dxa"/>
            <w:tcBorders>
              <w:top w:val="nil"/>
              <w:left w:val="nil"/>
              <w:bottom w:val="nil"/>
              <w:right w:val="single" w:sz="6" w:space="0" w:color="auto"/>
            </w:tcBorders>
            <w:tcMar>
              <w:left w:w="105" w:type="dxa"/>
              <w:right w:w="105" w:type="dxa"/>
            </w:tcMar>
            <w:vAlign w:val="center"/>
          </w:tcPr>
          <w:p w14:paraId="79F1BBDD" w14:textId="77777777" w:rsidR="00511C5D" w:rsidRPr="00307043" w:rsidRDefault="00511C5D" w:rsidP="00511C5D">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Primary prevention</w:t>
            </w:r>
          </w:p>
        </w:tc>
        <w:tc>
          <w:tcPr>
            <w:tcW w:w="1188" w:type="dxa"/>
            <w:tcBorders>
              <w:top w:val="nil"/>
              <w:left w:val="single" w:sz="6" w:space="0" w:color="auto"/>
              <w:bottom w:val="nil"/>
              <w:right w:val="single" w:sz="6" w:space="0" w:color="auto"/>
            </w:tcBorders>
            <w:tcMar>
              <w:left w:w="105" w:type="dxa"/>
              <w:right w:w="105" w:type="dxa"/>
            </w:tcMar>
          </w:tcPr>
          <w:p w14:paraId="27DD78A6" w14:textId="53F6C6C1" w:rsidR="00511C5D" w:rsidRPr="00307043" w:rsidRDefault="00511C5D" w:rsidP="00511C5D">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72 ( 16.3)</w:t>
            </w:r>
          </w:p>
        </w:tc>
        <w:tc>
          <w:tcPr>
            <w:tcW w:w="1440" w:type="dxa"/>
            <w:tcBorders>
              <w:top w:val="nil"/>
              <w:left w:val="single" w:sz="6" w:space="0" w:color="auto"/>
              <w:bottom w:val="nil"/>
              <w:right w:val="nil"/>
            </w:tcBorders>
            <w:tcMar>
              <w:left w:w="105" w:type="dxa"/>
              <w:right w:w="105" w:type="dxa"/>
            </w:tcMar>
          </w:tcPr>
          <w:p w14:paraId="7EEA720B" w14:textId="042C6213" w:rsidR="00511C5D" w:rsidRPr="00307043" w:rsidRDefault="00511C5D" w:rsidP="00511C5D">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2 ( 12.5)</w:t>
            </w:r>
          </w:p>
        </w:tc>
        <w:tc>
          <w:tcPr>
            <w:tcW w:w="1440" w:type="dxa"/>
            <w:tcBorders>
              <w:top w:val="nil"/>
              <w:left w:val="nil"/>
              <w:bottom w:val="nil"/>
              <w:right w:val="single" w:sz="6" w:space="0" w:color="auto"/>
            </w:tcBorders>
            <w:tcMar>
              <w:left w:w="105" w:type="dxa"/>
              <w:right w:w="105" w:type="dxa"/>
            </w:tcMar>
          </w:tcPr>
          <w:p w14:paraId="2EBBEE6A" w14:textId="6793EAB8" w:rsidR="00511C5D" w:rsidRPr="00307043" w:rsidRDefault="00511C5D" w:rsidP="00511C5D">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70 ( 16.5)</w:t>
            </w:r>
          </w:p>
        </w:tc>
        <w:tc>
          <w:tcPr>
            <w:tcW w:w="900" w:type="dxa"/>
            <w:tcBorders>
              <w:top w:val="nil"/>
              <w:left w:val="single" w:sz="6" w:space="0" w:color="auto"/>
              <w:bottom w:val="nil"/>
              <w:right w:val="nil"/>
            </w:tcBorders>
            <w:tcMar>
              <w:left w:w="105" w:type="dxa"/>
              <w:right w:w="105" w:type="dxa"/>
            </w:tcMar>
          </w:tcPr>
          <w:p w14:paraId="14D5740E" w14:textId="30A08191" w:rsidR="00511C5D" w:rsidRPr="00307043" w:rsidRDefault="00511C5D" w:rsidP="00511C5D">
            <w:pPr>
              <w:spacing w:before="36" w:after="36"/>
              <w:rPr>
                <w:rFonts w:ascii="Times New Roman" w:eastAsia="Times New Roman" w:hAnsi="Times New Roman" w:cs="Times New Roman"/>
                <w:sz w:val="20"/>
                <w:szCs w:val="20"/>
                <w:lang w:val="en-US"/>
              </w:rPr>
            </w:pPr>
          </w:p>
        </w:tc>
      </w:tr>
      <w:tr w:rsidR="00307043" w:rsidRPr="00307043" w14:paraId="3E9B39C6" w14:textId="77777777" w:rsidTr="00310899">
        <w:trPr>
          <w:trHeight w:val="300"/>
        </w:trPr>
        <w:tc>
          <w:tcPr>
            <w:tcW w:w="3135" w:type="dxa"/>
            <w:tcBorders>
              <w:top w:val="nil"/>
              <w:left w:val="nil"/>
              <w:bottom w:val="nil"/>
              <w:right w:val="single" w:sz="6" w:space="0" w:color="auto"/>
            </w:tcBorders>
            <w:tcMar>
              <w:left w:w="105" w:type="dxa"/>
              <w:right w:w="105" w:type="dxa"/>
            </w:tcMar>
            <w:vAlign w:val="center"/>
          </w:tcPr>
          <w:p w14:paraId="146DC416" w14:textId="77777777" w:rsidR="00511C5D" w:rsidRPr="00307043" w:rsidRDefault="00511C5D" w:rsidP="00511C5D">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Secondary prevention</w:t>
            </w:r>
          </w:p>
        </w:tc>
        <w:tc>
          <w:tcPr>
            <w:tcW w:w="1188" w:type="dxa"/>
            <w:tcBorders>
              <w:top w:val="nil"/>
              <w:left w:val="single" w:sz="6" w:space="0" w:color="auto"/>
              <w:bottom w:val="nil"/>
              <w:right w:val="single" w:sz="6" w:space="0" w:color="auto"/>
            </w:tcBorders>
            <w:tcMar>
              <w:left w:w="105" w:type="dxa"/>
              <w:right w:w="105" w:type="dxa"/>
            </w:tcMar>
          </w:tcPr>
          <w:p w14:paraId="6A8AB16E" w14:textId="0263E3BA" w:rsidR="00511C5D" w:rsidRPr="00307043" w:rsidRDefault="00511C5D" w:rsidP="00511C5D">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310 ( 70.3)</w:t>
            </w:r>
          </w:p>
        </w:tc>
        <w:tc>
          <w:tcPr>
            <w:tcW w:w="1440" w:type="dxa"/>
            <w:tcBorders>
              <w:top w:val="nil"/>
              <w:left w:val="single" w:sz="6" w:space="0" w:color="auto"/>
              <w:bottom w:val="nil"/>
              <w:right w:val="nil"/>
            </w:tcBorders>
            <w:tcMar>
              <w:left w:w="105" w:type="dxa"/>
              <w:right w:w="105" w:type="dxa"/>
            </w:tcMar>
          </w:tcPr>
          <w:p w14:paraId="0BB75137" w14:textId="7B8B158E" w:rsidR="00511C5D" w:rsidRPr="00307043" w:rsidRDefault="00511C5D" w:rsidP="00511C5D">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12 ( 75.0)</w:t>
            </w:r>
          </w:p>
        </w:tc>
        <w:tc>
          <w:tcPr>
            <w:tcW w:w="1440" w:type="dxa"/>
            <w:tcBorders>
              <w:top w:val="nil"/>
              <w:left w:val="nil"/>
              <w:bottom w:val="nil"/>
              <w:right w:val="single" w:sz="6" w:space="0" w:color="auto"/>
            </w:tcBorders>
            <w:tcMar>
              <w:left w:w="105" w:type="dxa"/>
              <w:right w:w="105" w:type="dxa"/>
            </w:tcMar>
          </w:tcPr>
          <w:p w14:paraId="1C494139" w14:textId="6636A6A1" w:rsidR="00511C5D" w:rsidRPr="00307043" w:rsidRDefault="00511C5D" w:rsidP="00511C5D">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298 ( 70.1)</w:t>
            </w:r>
          </w:p>
        </w:tc>
        <w:tc>
          <w:tcPr>
            <w:tcW w:w="900" w:type="dxa"/>
            <w:tcBorders>
              <w:top w:val="nil"/>
              <w:left w:val="single" w:sz="6" w:space="0" w:color="auto"/>
              <w:bottom w:val="nil"/>
              <w:right w:val="nil"/>
            </w:tcBorders>
            <w:tcMar>
              <w:left w:w="105" w:type="dxa"/>
              <w:right w:w="105" w:type="dxa"/>
            </w:tcMar>
          </w:tcPr>
          <w:p w14:paraId="4D032008" w14:textId="59A357B0" w:rsidR="00511C5D" w:rsidRPr="00307043" w:rsidRDefault="00511C5D" w:rsidP="00511C5D">
            <w:pPr>
              <w:spacing w:before="36" w:after="36"/>
              <w:rPr>
                <w:rFonts w:ascii="Times New Roman" w:eastAsia="Times New Roman" w:hAnsi="Times New Roman" w:cs="Times New Roman"/>
                <w:sz w:val="20"/>
                <w:szCs w:val="20"/>
                <w:lang w:val="en-US"/>
              </w:rPr>
            </w:pPr>
          </w:p>
        </w:tc>
      </w:tr>
      <w:tr w:rsidR="00307043" w:rsidRPr="00307043" w14:paraId="7E9E1650" w14:textId="77777777" w:rsidTr="00310899">
        <w:trPr>
          <w:trHeight w:val="300"/>
        </w:trPr>
        <w:tc>
          <w:tcPr>
            <w:tcW w:w="3135" w:type="dxa"/>
            <w:tcBorders>
              <w:top w:val="nil"/>
              <w:left w:val="nil"/>
              <w:bottom w:val="single" w:sz="6" w:space="0" w:color="auto"/>
              <w:right w:val="single" w:sz="6" w:space="0" w:color="auto"/>
            </w:tcBorders>
            <w:tcMar>
              <w:left w:w="105" w:type="dxa"/>
              <w:right w:w="105" w:type="dxa"/>
            </w:tcMar>
            <w:vAlign w:val="center"/>
          </w:tcPr>
          <w:p w14:paraId="6B94BC1B" w14:textId="77777777" w:rsidR="00511C5D" w:rsidRPr="00307043" w:rsidRDefault="00511C5D" w:rsidP="00511C5D">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Tertiary prevention</w:t>
            </w:r>
          </w:p>
        </w:tc>
        <w:tc>
          <w:tcPr>
            <w:tcW w:w="1188" w:type="dxa"/>
            <w:tcBorders>
              <w:top w:val="nil"/>
              <w:left w:val="single" w:sz="6" w:space="0" w:color="auto"/>
              <w:bottom w:val="single" w:sz="6" w:space="0" w:color="auto"/>
              <w:right w:val="single" w:sz="6" w:space="0" w:color="auto"/>
            </w:tcBorders>
            <w:tcMar>
              <w:left w:w="105" w:type="dxa"/>
              <w:right w:w="105" w:type="dxa"/>
            </w:tcMar>
          </w:tcPr>
          <w:p w14:paraId="1F392D17" w14:textId="2C7D266A" w:rsidR="00511C5D" w:rsidRPr="00307043" w:rsidRDefault="00511C5D" w:rsidP="00511C5D">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59 ( 13.4)</w:t>
            </w:r>
          </w:p>
        </w:tc>
        <w:tc>
          <w:tcPr>
            <w:tcW w:w="1440" w:type="dxa"/>
            <w:tcBorders>
              <w:top w:val="nil"/>
              <w:left w:val="single" w:sz="6" w:space="0" w:color="auto"/>
              <w:bottom w:val="single" w:sz="6" w:space="0" w:color="auto"/>
              <w:right w:val="nil"/>
            </w:tcBorders>
            <w:tcMar>
              <w:left w:w="105" w:type="dxa"/>
              <w:right w:w="105" w:type="dxa"/>
            </w:tcMar>
          </w:tcPr>
          <w:p w14:paraId="0EC20057" w14:textId="64089DEB" w:rsidR="00511C5D" w:rsidRPr="00307043" w:rsidRDefault="00511C5D" w:rsidP="00511C5D">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2 ( 12.5)</w:t>
            </w:r>
          </w:p>
        </w:tc>
        <w:tc>
          <w:tcPr>
            <w:tcW w:w="1440" w:type="dxa"/>
            <w:tcBorders>
              <w:top w:val="nil"/>
              <w:left w:val="nil"/>
              <w:bottom w:val="single" w:sz="6" w:space="0" w:color="auto"/>
              <w:right w:val="single" w:sz="6" w:space="0" w:color="auto"/>
            </w:tcBorders>
            <w:tcMar>
              <w:left w:w="105" w:type="dxa"/>
              <w:right w:w="105" w:type="dxa"/>
            </w:tcMar>
          </w:tcPr>
          <w:p w14:paraId="0B6ED69D" w14:textId="2ACB381D" w:rsidR="00511C5D" w:rsidRPr="00307043" w:rsidRDefault="00511C5D" w:rsidP="00511C5D">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57 ( 13.4)</w:t>
            </w:r>
          </w:p>
        </w:tc>
        <w:tc>
          <w:tcPr>
            <w:tcW w:w="900" w:type="dxa"/>
            <w:tcBorders>
              <w:top w:val="nil"/>
              <w:left w:val="single" w:sz="6" w:space="0" w:color="auto"/>
              <w:bottom w:val="single" w:sz="6" w:space="0" w:color="auto"/>
              <w:right w:val="nil"/>
            </w:tcBorders>
            <w:tcMar>
              <w:left w:w="105" w:type="dxa"/>
              <w:right w:w="105" w:type="dxa"/>
            </w:tcMar>
          </w:tcPr>
          <w:p w14:paraId="6C5D66C3" w14:textId="77777777" w:rsidR="00511C5D" w:rsidRPr="00307043" w:rsidRDefault="00511C5D" w:rsidP="00511C5D">
            <w:pPr>
              <w:spacing w:before="36" w:after="36"/>
              <w:rPr>
                <w:rFonts w:ascii="Times New Roman" w:eastAsia="Times New Roman" w:hAnsi="Times New Roman" w:cs="Times New Roman"/>
                <w:sz w:val="20"/>
                <w:szCs w:val="20"/>
                <w:lang w:val="en-US"/>
              </w:rPr>
            </w:pPr>
          </w:p>
        </w:tc>
      </w:tr>
      <w:tr w:rsidR="00307043" w:rsidRPr="00307043" w14:paraId="12EC04A6" w14:textId="77777777" w:rsidTr="6D2C0DF0">
        <w:trPr>
          <w:trHeight w:val="300"/>
        </w:trPr>
        <w:tc>
          <w:tcPr>
            <w:tcW w:w="3135" w:type="dxa"/>
            <w:tcBorders>
              <w:top w:val="single" w:sz="6" w:space="0" w:color="auto"/>
              <w:left w:val="nil"/>
              <w:bottom w:val="nil"/>
              <w:right w:val="single" w:sz="6" w:space="0" w:color="auto"/>
            </w:tcBorders>
            <w:tcMar>
              <w:left w:w="105" w:type="dxa"/>
              <w:right w:w="105" w:type="dxa"/>
            </w:tcMar>
            <w:vAlign w:val="center"/>
          </w:tcPr>
          <w:p w14:paraId="3B34874E"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Modifiable risk factor, n (%)</w:t>
            </w:r>
          </w:p>
        </w:tc>
        <w:tc>
          <w:tcPr>
            <w:tcW w:w="1188" w:type="dxa"/>
            <w:tcBorders>
              <w:top w:val="single" w:sz="6" w:space="0" w:color="auto"/>
              <w:left w:val="single" w:sz="6" w:space="0" w:color="auto"/>
              <w:bottom w:val="nil"/>
              <w:right w:val="single" w:sz="6" w:space="0" w:color="auto"/>
            </w:tcBorders>
            <w:tcMar>
              <w:left w:w="105" w:type="dxa"/>
              <w:right w:w="105" w:type="dxa"/>
            </w:tcMar>
            <w:vAlign w:val="center"/>
          </w:tcPr>
          <w:p w14:paraId="1618EC5E"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440" w:type="dxa"/>
            <w:tcBorders>
              <w:top w:val="single" w:sz="6" w:space="0" w:color="auto"/>
              <w:left w:val="single" w:sz="6" w:space="0" w:color="auto"/>
              <w:bottom w:val="nil"/>
              <w:right w:val="nil"/>
            </w:tcBorders>
            <w:tcMar>
              <w:left w:w="105" w:type="dxa"/>
              <w:right w:w="105" w:type="dxa"/>
            </w:tcMar>
            <w:vAlign w:val="center"/>
          </w:tcPr>
          <w:p w14:paraId="668AA7F4"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440" w:type="dxa"/>
            <w:tcBorders>
              <w:top w:val="single" w:sz="6" w:space="0" w:color="auto"/>
              <w:left w:val="nil"/>
              <w:bottom w:val="nil"/>
              <w:right w:val="single" w:sz="6" w:space="0" w:color="auto"/>
            </w:tcBorders>
            <w:tcMar>
              <w:left w:w="105" w:type="dxa"/>
              <w:right w:w="105" w:type="dxa"/>
            </w:tcMar>
            <w:vAlign w:val="center"/>
          </w:tcPr>
          <w:p w14:paraId="7A0C175E"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900" w:type="dxa"/>
            <w:tcBorders>
              <w:top w:val="single" w:sz="6" w:space="0" w:color="auto"/>
              <w:left w:val="single" w:sz="6" w:space="0" w:color="auto"/>
              <w:bottom w:val="nil"/>
              <w:right w:val="nil"/>
            </w:tcBorders>
            <w:tcMar>
              <w:left w:w="105" w:type="dxa"/>
              <w:right w:w="105" w:type="dxa"/>
            </w:tcMar>
            <w:vAlign w:val="center"/>
          </w:tcPr>
          <w:p w14:paraId="6D2CA89D" w14:textId="77777777" w:rsidR="00684BFB" w:rsidRPr="00307043" w:rsidRDefault="00684BFB">
            <w:pPr>
              <w:spacing w:before="36" w:after="36"/>
              <w:rPr>
                <w:rFonts w:ascii="Times New Roman" w:eastAsia="Times New Roman" w:hAnsi="Times New Roman" w:cs="Times New Roman"/>
                <w:sz w:val="20"/>
                <w:szCs w:val="20"/>
              </w:rPr>
            </w:pPr>
          </w:p>
        </w:tc>
      </w:tr>
      <w:tr w:rsidR="00307043" w:rsidRPr="00307043" w14:paraId="75C7AC33" w14:textId="77777777" w:rsidTr="6D2C0DF0">
        <w:trPr>
          <w:trHeight w:val="300"/>
        </w:trPr>
        <w:tc>
          <w:tcPr>
            <w:tcW w:w="3135" w:type="dxa"/>
            <w:tcBorders>
              <w:top w:val="nil"/>
              <w:left w:val="nil"/>
              <w:bottom w:val="nil"/>
              <w:right w:val="single" w:sz="6" w:space="0" w:color="auto"/>
            </w:tcBorders>
            <w:tcMar>
              <w:left w:w="105" w:type="dxa"/>
              <w:right w:w="105" w:type="dxa"/>
            </w:tcMar>
            <w:vAlign w:val="center"/>
          </w:tcPr>
          <w:p w14:paraId="45E82F23" w14:textId="77777777" w:rsidR="00684BFB" w:rsidRPr="00307043" w:rsidRDefault="00977696">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Alcohol</w:t>
            </w:r>
          </w:p>
        </w:tc>
        <w:tc>
          <w:tcPr>
            <w:tcW w:w="1188" w:type="dxa"/>
            <w:tcBorders>
              <w:top w:val="nil"/>
              <w:left w:val="single" w:sz="6" w:space="0" w:color="auto"/>
              <w:bottom w:val="nil"/>
              <w:right w:val="single" w:sz="6" w:space="0" w:color="auto"/>
            </w:tcBorders>
            <w:tcMar>
              <w:left w:w="105" w:type="dxa"/>
              <w:right w:w="105" w:type="dxa"/>
            </w:tcMar>
            <w:vAlign w:val="center"/>
          </w:tcPr>
          <w:p w14:paraId="30DD1E65"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c>
          <w:tcPr>
            <w:tcW w:w="1440" w:type="dxa"/>
            <w:tcBorders>
              <w:top w:val="nil"/>
              <w:left w:val="single" w:sz="6" w:space="0" w:color="auto"/>
              <w:bottom w:val="nil"/>
              <w:right w:val="nil"/>
            </w:tcBorders>
            <w:tcMar>
              <w:left w:w="105" w:type="dxa"/>
              <w:right w:w="105" w:type="dxa"/>
            </w:tcMar>
            <w:vAlign w:val="center"/>
          </w:tcPr>
          <w:p w14:paraId="483CD867" w14:textId="3BF7AA25"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2 (</w:t>
            </w:r>
            <w:r w:rsidR="00B627CE" w:rsidRPr="00307043">
              <w:rPr>
                <w:rFonts w:ascii="Times New Roman" w:eastAsia="Times New Roman" w:hAnsi="Times New Roman" w:cs="Times New Roman"/>
                <w:sz w:val="20"/>
                <w:szCs w:val="20"/>
                <w:lang w:val="en-US"/>
              </w:rPr>
              <w:t>12.5)</w:t>
            </w:r>
          </w:p>
        </w:tc>
        <w:tc>
          <w:tcPr>
            <w:tcW w:w="1440" w:type="dxa"/>
            <w:tcBorders>
              <w:top w:val="nil"/>
              <w:left w:val="nil"/>
              <w:bottom w:val="nil"/>
              <w:right w:val="single" w:sz="6" w:space="0" w:color="auto"/>
            </w:tcBorders>
            <w:tcMar>
              <w:left w:w="105" w:type="dxa"/>
              <w:right w:w="105" w:type="dxa"/>
            </w:tcMar>
            <w:vAlign w:val="center"/>
          </w:tcPr>
          <w:p w14:paraId="21088DA1"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c>
          <w:tcPr>
            <w:tcW w:w="900" w:type="dxa"/>
            <w:tcBorders>
              <w:top w:val="nil"/>
              <w:left w:val="single" w:sz="6" w:space="0" w:color="auto"/>
              <w:bottom w:val="nil"/>
              <w:right w:val="nil"/>
            </w:tcBorders>
            <w:tcMar>
              <w:left w:w="105" w:type="dxa"/>
              <w:right w:w="105" w:type="dxa"/>
            </w:tcMar>
            <w:vAlign w:val="center"/>
          </w:tcPr>
          <w:p w14:paraId="201CCEB2"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r>
      <w:tr w:rsidR="00307043" w:rsidRPr="00307043" w14:paraId="0178CACD" w14:textId="77777777" w:rsidTr="6D2C0DF0">
        <w:trPr>
          <w:trHeight w:val="300"/>
        </w:trPr>
        <w:tc>
          <w:tcPr>
            <w:tcW w:w="3135" w:type="dxa"/>
            <w:tcBorders>
              <w:top w:val="nil"/>
              <w:left w:val="nil"/>
              <w:bottom w:val="nil"/>
              <w:right w:val="single" w:sz="6" w:space="0" w:color="auto"/>
            </w:tcBorders>
            <w:tcMar>
              <w:left w:w="105" w:type="dxa"/>
              <w:right w:w="105" w:type="dxa"/>
            </w:tcMar>
            <w:vAlign w:val="center"/>
          </w:tcPr>
          <w:p w14:paraId="1AA99E8E" w14:textId="77777777" w:rsidR="00684BFB" w:rsidRPr="00307043" w:rsidRDefault="00977696">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Physical activity</w:t>
            </w:r>
          </w:p>
        </w:tc>
        <w:tc>
          <w:tcPr>
            <w:tcW w:w="1188" w:type="dxa"/>
            <w:tcBorders>
              <w:top w:val="nil"/>
              <w:left w:val="single" w:sz="6" w:space="0" w:color="auto"/>
              <w:bottom w:val="nil"/>
              <w:right w:val="single" w:sz="6" w:space="0" w:color="auto"/>
            </w:tcBorders>
            <w:tcMar>
              <w:left w:w="105" w:type="dxa"/>
              <w:right w:w="105" w:type="dxa"/>
            </w:tcMar>
            <w:vAlign w:val="center"/>
          </w:tcPr>
          <w:p w14:paraId="7946E8BE"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c>
          <w:tcPr>
            <w:tcW w:w="1440" w:type="dxa"/>
            <w:tcBorders>
              <w:top w:val="nil"/>
              <w:left w:val="single" w:sz="6" w:space="0" w:color="auto"/>
              <w:bottom w:val="nil"/>
              <w:right w:val="nil"/>
            </w:tcBorders>
            <w:tcMar>
              <w:left w:w="105" w:type="dxa"/>
              <w:right w:w="105" w:type="dxa"/>
            </w:tcMar>
            <w:vAlign w:val="center"/>
          </w:tcPr>
          <w:p w14:paraId="70DFF3BA" w14:textId="779F634F"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1 (</w:t>
            </w:r>
            <w:r w:rsidR="00B627CE" w:rsidRPr="00307043">
              <w:rPr>
                <w:rFonts w:ascii="Times New Roman" w:eastAsia="Times New Roman" w:hAnsi="Times New Roman" w:cs="Times New Roman"/>
                <w:sz w:val="20"/>
                <w:szCs w:val="20"/>
                <w:lang w:val="en-US"/>
              </w:rPr>
              <w:t>6.2</w:t>
            </w:r>
            <w:r w:rsidRPr="00307043">
              <w:rPr>
                <w:rFonts w:ascii="Times New Roman" w:eastAsia="Times New Roman" w:hAnsi="Times New Roman" w:cs="Times New Roman"/>
                <w:sz w:val="20"/>
                <w:szCs w:val="20"/>
                <w:lang w:val="en-US"/>
              </w:rPr>
              <w:t>)</w:t>
            </w:r>
          </w:p>
        </w:tc>
        <w:tc>
          <w:tcPr>
            <w:tcW w:w="1440" w:type="dxa"/>
            <w:tcBorders>
              <w:top w:val="nil"/>
              <w:left w:val="nil"/>
              <w:bottom w:val="nil"/>
              <w:right w:val="single" w:sz="6" w:space="0" w:color="auto"/>
            </w:tcBorders>
            <w:tcMar>
              <w:left w:w="105" w:type="dxa"/>
              <w:right w:w="105" w:type="dxa"/>
            </w:tcMar>
            <w:vAlign w:val="center"/>
          </w:tcPr>
          <w:p w14:paraId="5D03DBCA"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c>
          <w:tcPr>
            <w:tcW w:w="900" w:type="dxa"/>
            <w:tcBorders>
              <w:top w:val="nil"/>
              <w:left w:val="single" w:sz="6" w:space="0" w:color="auto"/>
              <w:bottom w:val="nil"/>
              <w:right w:val="nil"/>
            </w:tcBorders>
            <w:tcMar>
              <w:left w:w="105" w:type="dxa"/>
              <w:right w:w="105" w:type="dxa"/>
            </w:tcMar>
            <w:vAlign w:val="center"/>
          </w:tcPr>
          <w:p w14:paraId="1E8EAD46"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r>
      <w:tr w:rsidR="00307043" w:rsidRPr="00307043" w14:paraId="1B1734E0" w14:textId="77777777" w:rsidTr="6D2C0DF0">
        <w:trPr>
          <w:trHeight w:val="300"/>
        </w:trPr>
        <w:tc>
          <w:tcPr>
            <w:tcW w:w="3135" w:type="dxa"/>
            <w:tcBorders>
              <w:top w:val="nil"/>
              <w:left w:val="nil"/>
              <w:bottom w:val="single" w:sz="6" w:space="0" w:color="auto"/>
              <w:right w:val="single" w:sz="6" w:space="0" w:color="auto"/>
            </w:tcBorders>
            <w:tcMar>
              <w:left w:w="105" w:type="dxa"/>
              <w:right w:w="105" w:type="dxa"/>
            </w:tcMar>
            <w:vAlign w:val="center"/>
          </w:tcPr>
          <w:p w14:paraId="5350C4C7" w14:textId="77777777" w:rsidR="00684BFB" w:rsidRPr="00307043" w:rsidRDefault="00977696">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Tobacco use</w:t>
            </w:r>
          </w:p>
        </w:tc>
        <w:tc>
          <w:tcPr>
            <w:tcW w:w="1188" w:type="dxa"/>
            <w:tcBorders>
              <w:top w:val="nil"/>
              <w:left w:val="single" w:sz="6" w:space="0" w:color="auto"/>
              <w:bottom w:val="single" w:sz="6" w:space="0" w:color="auto"/>
              <w:right w:val="single" w:sz="6" w:space="0" w:color="auto"/>
            </w:tcBorders>
            <w:tcMar>
              <w:left w:w="105" w:type="dxa"/>
              <w:right w:w="105" w:type="dxa"/>
            </w:tcMar>
            <w:vAlign w:val="center"/>
          </w:tcPr>
          <w:p w14:paraId="38251264"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c>
          <w:tcPr>
            <w:tcW w:w="1440" w:type="dxa"/>
            <w:tcBorders>
              <w:top w:val="nil"/>
              <w:left w:val="single" w:sz="6" w:space="0" w:color="auto"/>
              <w:bottom w:val="single" w:sz="6" w:space="0" w:color="auto"/>
              <w:right w:val="nil"/>
            </w:tcBorders>
            <w:tcMar>
              <w:left w:w="105" w:type="dxa"/>
              <w:right w:w="105" w:type="dxa"/>
            </w:tcMar>
            <w:vAlign w:val="center"/>
          </w:tcPr>
          <w:p w14:paraId="3DE9E871" w14:textId="572EDD96"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1</w:t>
            </w:r>
            <w:r w:rsidR="00B627CE" w:rsidRPr="00307043">
              <w:rPr>
                <w:rFonts w:ascii="Times New Roman" w:eastAsia="Times New Roman" w:hAnsi="Times New Roman" w:cs="Times New Roman"/>
                <w:sz w:val="20"/>
                <w:szCs w:val="20"/>
                <w:lang w:val="en-US"/>
              </w:rPr>
              <w:t>3</w:t>
            </w:r>
            <w:r w:rsidRPr="00307043">
              <w:rPr>
                <w:rFonts w:ascii="Times New Roman" w:eastAsia="Times New Roman" w:hAnsi="Times New Roman" w:cs="Times New Roman"/>
                <w:sz w:val="20"/>
                <w:szCs w:val="20"/>
                <w:lang w:val="en-US"/>
              </w:rPr>
              <w:t xml:space="preserve"> (8</w:t>
            </w:r>
            <w:r w:rsidR="00B627CE" w:rsidRPr="00307043">
              <w:rPr>
                <w:rFonts w:ascii="Times New Roman" w:eastAsia="Times New Roman" w:hAnsi="Times New Roman" w:cs="Times New Roman"/>
                <w:sz w:val="20"/>
                <w:szCs w:val="20"/>
                <w:lang w:val="en-US"/>
              </w:rPr>
              <w:t>1</w:t>
            </w:r>
            <w:r w:rsidRPr="00307043">
              <w:rPr>
                <w:rFonts w:ascii="Times New Roman" w:eastAsia="Times New Roman" w:hAnsi="Times New Roman" w:cs="Times New Roman"/>
                <w:sz w:val="20"/>
                <w:szCs w:val="20"/>
                <w:lang w:val="en-US"/>
              </w:rPr>
              <w:t>.</w:t>
            </w:r>
            <w:r w:rsidR="00B627CE" w:rsidRPr="00307043">
              <w:rPr>
                <w:rFonts w:ascii="Times New Roman" w:eastAsia="Times New Roman" w:hAnsi="Times New Roman" w:cs="Times New Roman"/>
                <w:sz w:val="20"/>
                <w:szCs w:val="20"/>
                <w:lang w:val="en-US"/>
              </w:rPr>
              <w:t>2</w:t>
            </w:r>
            <w:r w:rsidRPr="00307043">
              <w:rPr>
                <w:rFonts w:ascii="Times New Roman" w:eastAsia="Times New Roman" w:hAnsi="Times New Roman" w:cs="Times New Roman"/>
                <w:sz w:val="20"/>
                <w:szCs w:val="20"/>
                <w:lang w:val="en-US"/>
              </w:rPr>
              <w:t xml:space="preserve">) </w:t>
            </w:r>
          </w:p>
        </w:tc>
        <w:tc>
          <w:tcPr>
            <w:tcW w:w="1440" w:type="dxa"/>
            <w:tcBorders>
              <w:top w:val="nil"/>
              <w:left w:val="nil"/>
              <w:bottom w:val="single" w:sz="6" w:space="0" w:color="auto"/>
              <w:right w:val="single" w:sz="6" w:space="0" w:color="auto"/>
            </w:tcBorders>
            <w:tcMar>
              <w:left w:w="105" w:type="dxa"/>
              <w:right w:w="105" w:type="dxa"/>
            </w:tcMar>
            <w:vAlign w:val="center"/>
          </w:tcPr>
          <w:p w14:paraId="5F67F1DE"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c>
          <w:tcPr>
            <w:tcW w:w="900" w:type="dxa"/>
            <w:tcBorders>
              <w:top w:val="nil"/>
              <w:left w:val="single" w:sz="6" w:space="0" w:color="auto"/>
              <w:bottom w:val="single" w:sz="6" w:space="0" w:color="auto"/>
              <w:right w:val="nil"/>
            </w:tcBorders>
            <w:tcMar>
              <w:left w:w="105" w:type="dxa"/>
              <w:right w:w="105" w:type="dxa"/>
            </w:tcMar>
            <w:vAlign w:val="center"/>
          </w:tcPr>
          <w:p w14:paraId="49FB5415"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r>
      <w:tr w:rsidR="00307043" w:rsidRPr="00307043" w14:paraId="495D64A6" w14:textId="77777777" w:rsidTr="6D2C0DF0">
        <w:trPr>
          <w:trHeight w:val="300"/>
        </w:trPr>
        <w:tc>
          <w:tcPr>
            <w:tcW w:w="3135" w:type="dxa"/>
            <w:tcBorders>
              <w:top w:val="single" w:sz="6" w:space="0" w:color="auto"/>
              <w:left w:val="nil"/>
              <w:bottom w:val="nil"/>
              <w:right w:val="single" w:sz="6" w:space="0" w:color="auto"/>
            </w:tcBorders>
            <w:tcMar>
              <w:left w:w="105" w:type="dxa"/>
              <w:right w:w="105" w:type="dxa"/>
            </w:tcMar>
            <w:vAlign w:val="center"/>
          </w:tcPr>
          <w:p w14:paraId="3F31FBA4"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With LoE/ consensus, n (%)</w:t>
            </w:r>
          </w:p>
        </w:tc>
        <w:tc>
          <w:tcPr>
            <w:tcW w:w="1188" w:type="dxa"/>
            <w:tcBorders>
              <w:top w:val="single" w:sz="6" w:space="0" w:color="auto"/>
              <w:left w:val="single" w:sz="6" w:space="0" w:color="auto"/>
              <w:bottom w:val="nil"/>
              <w:right w:val="single" w:sz="6" w:space="0" w:color="auto"/>
            </w:tcBorders>
            <w:tcMar>
              <w:left w:w="105" w:type="dxa"/>
              <w:right w:w="105" w:type="dxa"/>
            </w:tcMar>
            <w:vAlign w:val="center"/>
          </w:tcPr>
          <w:p w14:paraId="41E40C52" w14:textId="786A2995" w:rsidR="00684BFB" w:rsidRPr="00307043" w:rsidRDefault="00977696">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2</w:t>
            </w:r>
            <w:r w:rsidR="005E3135" w:rsidRPr="00307043">
              <w:rPr>
                <w:rFonts w:ascii="Times New Roman" w:eastAsia="Times New Roman" w:hAnsi="Times New Roman" w:cs="Times New Roman"/>
                <w:sz w:val="20"/>
                <w:szCs w:val="20"/>
                <w:lang w:val="en-US"/>
              </w:rPr>
              <w:t>65</w:t>
            </w:r>
            <w:r w:rsidRPr="00307043">
              <w:rPr>
                <w:rFonts w:ascii="Times New Roman" w:eastAsia="Times New Roman" w:hAnsi="Times New Roman" w:cs="Times New Roman"/>
                <w:sz w:val="20"/>
                <w:szCs w:val="20"/>
                <w:lang w:val="en-US"/>
              </w:rPr>
              <w:t xml:space="preserve"> (58.6)</w:t>
            </w:r>
          </w:p>
        </w:tc>
        <w:tc>
          <w:tcPr>
            <w:tcW w:w="1440" w:type="dxa"/>
            <w:tcBorders>
              <w:top w:val="single" w:sz="6" w:space="0" w:color="auto"/>
              <w:left w:val="single" w:sz="6" w:space="0" w:color="auto"/>
              <w:bottom w:val="nil"/>
              <w:right w:val="nil"/>
            </w:tcBorders>
            <w:tcMar>
              <w:left w:w="105" w:type="dxa"/>
              <w:right w:w="105" w:type="dxa"/>
            </w:tcMar>
            <w:vAlign w:val="center"/>
          </w:tcPr>
          <w:p w14:paraId="5319E78A" w14:textId="4D787BED" w:rsidR="00684BFB" w:rsidRPr="00307043" w:rsidRDefault="005E3135">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9</w:t>
            </w:r>
            <w:r w:rsidR="00977696" w:rsidRPr="00307043">
              <w:rPr>
                <w:rFonts w:ascii="Times New Roman" w:eastAsia="Times New Roman" w:hAnsi="Times New Roman" w:cs="Times New Roman"/>
                <w:sz w:val="20"/>
                <w:szCs w:val="20"/>
                <w:lang w:val="en-US"/>
              </w:rPr>
              <w:t xml:space="preserve"> (45.5)</w:t>
            </w:r>
          </w:p>
        </w:tc>
        <w:tc>
          <w:tcPr>
            <w:tcW w:w="1440" w:type="dxa"/>
            <w:tcBorders>
              <w:top w:val="single" w:sz="6" w:space="0" w:color="auto"/>
              <w:left w:val="nil"/>
              <w:bottom w:val="nil"/>
              <w:right w:val="single" w:sz="6" w:space="0" w:color="auto"/>
            </w:tcBorders>
            <w:tcMar>
              <w:left w:w="105" w:type="dxa"/>
              <w:right w:w="105" w:type="dxa"/>
            </w:tcMar>
            <w:vAlign w:val="center"/>
          </w:tcPr>
          <w:p w14:paraId="5262578A" w14:textId="1CC4079C" w:rsidR="00684BFB" w:rsidRPr="00307043" w:rsidRDefault="00977696">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2</w:t>
            </w:r>
            <w:r w:rsidR="005E3135" w:rsidRPr="00307043">
              <w:rPr>
                <w:rFonts w:ascii="Times New Roman" w:eastAsia="Times New Roman" w:hAnsi="Times New Roman" w:cs="Times New Roman"/>
                <w:sz w:val="20"/>
                <w:szCs w:val="20"/>
                <w:lang w:val="en-US"/>
              </w:rPr>
              <w:t>56</w:t>
            </w:r>
            <w:r w:rsidRPr="00307043">
              <w:rPr>
                <w:rFonts w:ascii="Times New Roman" w:eastAsia="Times New Roman" w:hAnsi="Times New Roman" w:cs="Times New Roman"/>
                <w:sz w:val="20"/>
                <w:szCs w:val="20"/>
                <w:lang w:val="en-US"/>
              </w:rPr>
              <w:t xml:space="preserve"> (59.2)</w:t>
            </w:r>
          </w:p>
        </w:tc>
        <w:tc>
          <w:tcPr>
            <w:tcW w:w="900" w:type="dxa"/>
            <w:tcBorders>
              <w:top w:val="single" w:sz="6" w:space="0" w:color="auto"/>
              <w:left w:val="single" w:sz="6" w:space="0" w:color="auto"/>
              <w:bottom w:val="nil"/>
              <w:right w:val="nil"/>
            </w:tcBorders>
            <w:tcMar>
              <w:left w:w="105" w:type="dxa"/>
              <w:right w:w="105" w:type="dxa"/>
            </w:tcMar>
            <w:vAlign w:val="center"/>
          </w:tcPr>
          <w:p w14:paraId="590A86D6" w14:textId="668CD152" w:rsidR="00684BFB" w:rsidRPr="00307043" w:rsidRDefault="00977696">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0.</w:t>
            </w:r>
            <w:r w:rsidR="00A727E2" w:rsidRPr="00307043">
              <w:rPr>
                <w:rFonts w:ascii="Times New Roman" w:eastAsia="Times New Roman" w:hAnsi="Times New Roman" w:cs="Times New Roman"/>
                <w:sz w:val="20"/>
                <w:szCs w:val="20"/>
                <w:lang w:val="en-US"/>
              </w:rPr>
              <w:t>749</w:t>
            </w:r>
          </w:p>
        </w:tc>
      </w:tr>
      <w:tr w:rsidR="00307043" w:rsidRPr="00307043" w14:paraId="092219B7" w14:textId="77777777" w:rsidTr="6D2C0DF0">
        <w:trPr>
          <w:trHeight w:val="300"/>
        </w:trPr>
        <w:tc>
          <w:tcPr>
            <w:tcW w:w="3135" w:type="dxa"/>
            <w:tcBorders>
              <w:top w:val="nil"/>
              <w:left w:val="nil"/>
              <w:bottom w:val="nil"/>
              <w:right w:val="single" w:sz="6" w:space="0" w:color="auto"/>
            </w:tcBorders>
            <w:tcMar>
              <w:left w:w="105" w:type="dxa"/>
              <w:right w:w="105" w:type="dxa"/>
            </w:tcMar>
            <w:vAlign w:val="center"/>
          </w:tcPr>
          <w:p w14:paraId="2E7CDE86" w14:textId="77777777" w:rsidR="00684BFB" w:rsidRPr="00307043" w:rsidRDefault="00977696">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Tier LoE</w:t>
            </w:r>
          </w:p>
        </w:tc>
        <w:tc>
          <w:tcPr>
            <w:tcW w:w="1188" w:type="dxa"/>
            <w:tcBorders>
              <w:top w:val="nil"/>
              <w:left w:val="single" w:sz="6" w:space="0" w:color="auto"/>
              <w:bottom w:val="nil"/>
              <w:right w:val="single" w:sz="6" w:space="0" w:color="auto"/>
            </w:tcBorders>
            <w:tcMar>
              <w:left w:w="105" w:type="dxa"/>
              <w:right w:w="105" w:type="dxa"/>
            </w:tcMar>
            <w:vAlign w:val="center"/>
          </w:tcPr>
          <w:p w14:paraId="110F975C" w14:textId="4954A99B" w:rsidR="00684BFB" w:rsidRPr="00307043" w:rsidRDefault="00977696">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2</w:t>
            </w:r>
            <w:r w:rsidR="00CC4926" w:rsidRPr="00307043">
              <w:rPr>
                <w:rFonts w:ascii="Times New Roman" w:eastAsia="Times New Roman" w:hAnsi="Times New Roman" w:cs="Times New Roman"/>
                <w:sz w:val="20"/>
                <w:szCs w:val="20"/>
                <w:lang w:val="en-US"/>
              </w:rPr>
              <w:t>45</w:t>
            </w:r>
            <w:r w:rsidRPr="00307043">
              <w:rPr>
                <w:rFonts w:ascii="Times New Roman" w:eastAsia="Times New Roman" w:hAnsi="Times New Roman" w:cs="Times New Roman"/>
                <w:sz w:val="20"/>
                <w:szCs w:val="20"/>
                <w:lang w:val="en-US"/>
              </w:rPr>
              <w:t xml:space="preserve"> (92.</w:t>
            </w:r>
            <w:r w:rsidR="00066522" w:rsidRPr="00307043">
              <w:rPr>
                <w:rFonts w:ascii="Times New Roman" w:eastAsia="Times New Roman" w:hAnsi="Times New Roman" w:cs="Times New Roman"/>
                <w:sz w:val="20"/>
                <w:szCs w:val="20"/>
                <w:lang w:val="en-US"/>
              </w:rPr>
              <w:t>5</w:t>
            </w:r>
            <w:r w:rsidRPr="00307043">
              <w:rPr>
                <w:rFonts w:ascii="Times New Roman" w:eastAsia="Times New Roman" w:hAnsi="Times New Roman" w:cs="Times New Roman"/>
                <w:sz w:val="20"/>
                <w:szCs w:val="20"/>
                <w:lang w:val="en-US"/>
              </w:rPr>
              <w:t>)</w:t>
            </w:r>
          </w:p>
        </w:tc>
        <w:tc>
          <w:tcPr>
            <w:tcW w:w="1440" w:type="dxa"/>
            <w:tcBorders>
              <w:top w:val="nil"/>
              <w:left w:val="single" w:sz="6" w:space="0" w:color="auto"/>
              <w:bottom w:val="nil"/>
              <w:right w:val="nil"/>
            </w:tcBorders>
            <w:tcMar>
              <w:left w:w="105" w:type="dxa"/>
              <w:right w:w="105" w:type="dxa"/>
            </w:tcMar>
            <w:vAlign w:val="center"/>
          </w:tcPr>
          <w:p w14:paraId="116029C3" w14:textId="7B6AAD5E" w:rsidR="00684BFB" w:rsidRPr="00307043" w:rsidRDefault="005E3135">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9</w:t>
            </w:r>
            <w:r w:rsidR="00977696" w:rsidRPr="00307043">
              <w:rPr>
                <w:rFonts w:ascii="Times New Roman" w:eastAsia="Times New Roman" w:hAnsi="Times New Roman" w:cs="Times New Roman"/>
                <w:sz w:val="20"/>
                <w:szCs w:val="20"/>
                <w:lang w:val="en-US"/>
              </w:rPr>
              <w:t xml:space="preserve"> (100.0)</w:t>
            </w:r>
          </w:p>
        </w:tc>
        <w:tc>
          <w:tcPr>
            <w:tcW w:w="1440" w:type="dxa"/>
            <w:tcBorders>
              <w:top w:val="nil"/>
              <w:left w:val="nil"/>
              <w:bottom w:val="nil"/>
              <w:right w:val="single" w:sz="6" w:space="0" w:color="auto"/>
            </w:tcBorders>
            <w:tcMar>
              <w:left w:w="105" w:type="dxa"/>
              <w:right w:w="105" w:type="dxa"/>
            </w:tcMar>
            <w:vAlign w:val="center"/>
          </w:tcPr>
          <w:p w14:paraId="58B2F787" w14:textId="2B039322" w:rsidR="00684BFB" w:rsidRPr="00307043" w:rsidRDefault="00977696">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2</w:t>
            </w:r>
            <w:r w:rsidR="005E3135" w:rsidRPr="00307043">
              <w:rPr>
                <w:rFonts w:ascii="Times New Roman" w:eastAsia="Times New Roman" w:hAnsi="Times New Roman" w:cs="Times New Roman"/>
                <w:sz w:val="20"/>
                <w:szCs w:val="20"/>
                <w:lang w:val="en-US"/>
              </w:rPr>
              <w:t>36</w:t>
            </w:r>
            <w:r w:rsidRPr="00307043">
              <w:rPr>
                <w:rFonts w:ascii="Times New Roman" w:eastAsia="Times New Roman" w:hAnsi="Times New Roman" w:cs="Times New Roman"/>
                <w:sz w:val="20"/>
                <w:szCs w:val="20"/>
                <w:lang w:val="en-US"/>
              </w:rPr>
              <w:t xml:space="preserve"> (92.</w:t>
            </w:r>
            <w:r w:rsidR="00066522" w:rsidRPr="00307043">
              <w:rPr>
                <w:rFonts w:ascii="Times New Roman" w:eastAsia="Times New Roman" w:hAnsi="Times New Roman" w:cs="Times New Roman"/>
                <w:sz w:val="20"/>
                <w:szCs w:val="20"/>
                <w:lang w:val="en-US"/>
              </w:rPr>
              <w:t>2</w:t>
            </w:r>
            <w:r w:rsidRPr="00307043">
              <w:rPr>
                <w:rFonts w:ascii="Times New Roman" w:eastAsia="Times New Roman" w:hAnsi="Times New Roman" w:cs="Times New Roman"/>
                <w:sz w:val="20"/>
                <w:szCs w:val="20"/>
                <w:lang w:val="en-US"/>
              </w:rPr>
              <w:t>)</w:t>
            </w:r>
          </w:p>
        </w:tc>
        <w:tc>
          <w:tcPr>
            <w:tcW w:w="900" w:type="dxa"/>
            <w:tcBorders>
              <w:top w:val="nil"/>
              <w:left w:val="single" w:sz="6" w:space="0" w:color="auto"/>
              <w:bottom w:val="nil"/>
              <w:right w:val="nil"/>
            </w:tcBorders>
            <w:tcMar>
              <w:left w:w="105" w:type="dxa"/>
              <w:right w:w="105" w:type="dxa"/>
            </w:tcMar>
            <w:vAlign w:val="center"/>
          </w:tcPr>
          <w:p w14:paraId="53B24910" w14:textId="60AE72AC" w:rsidR="00684BFB" w:rsidRPr="00307043" w:rsidRDefault="00977696">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0.0</w:t>
            </w:r>
            <w:r w:rsidR="00B61256" w:rsidRPr="00307043">
              <w:rPr>
                <w:rFonts w:ascii="Times New Roman" w:eastAsia="Times New Roman" w:hAnsi="Times New Roman" w:cs="Times New Roman"/>
                <w:sz w:val="20"/>
                <w:szCs w:val="20"/>
                <w:lang w:val="en-US"/>
              </w:rPr>
              <w:t>27</w:t>
            </w:r>
          </w:p>
        </w:tc>
      </w:tr>
      <w:tr w:rsidR="00307043" w:rsidRPr="00307043" w14:paraId="59D48233" w14:textId="77777777" w:rsidTr="005D3EC4">
        <w:trPr>
          <w:trHeight w:val="300"/>
        </w:trPr>
        <w:tc>
          <w:tcPr>
            <w:tcW w:w="3135" w:type="dxa"/>
            <w:tcBorders>
              <w:top w:val="nil"/>
              <w:left w:val="nil"/>
              <w:bottom w:val="nil"/>
              <w:right w:val="single" w:sz="6" w:space="0" w:color="auto"/>
            </w:tcBorders>
            <w:tcMar>
              <w:left w:w="105" w:type="dxa"/>
              <w:right w:w="105" w:type="dxa"/>
            </w:tcMar>
            <w:vAlign w:val="center"/>
          </w:tcPr>
          <w:p w14:paraId="27205473" w14:textId="77777777" w:rsidR="00140161" w:rsidRPr="00307043" w:rsidRDefault="00140161" w:rsidP="00140161">
            <w:pPr>
              <w:spacing w:before="36" w:after="36"/>
              <w:ind w:left="567"/>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1</w:t>
            </w:r>
          </w:p>
        </w:tc>
        <w:tc>
          <w:tcPr>
            <w:tcW w:w="1188" w:type="dxa"/>
            <w:tcBorders>
              <w:top w:val="nil"/>
              <w:left w:val="single" w:sz="6" w:space="0" w:color="auto"/>
              <w:bottom w:val="nil"/>
              <w:right w:val="single" w:sz="6" w:space="0" w:color="auto"/>
            </w:tcBorders>
            <w:tcMar>
              <w:left w:w="105" w:type="dxa"/>
              <w:right w:w="105" w:type="dxa"/>
            </w:tcMar>
          </w:tcPr>
          <w:p w14:paraId="104C8FE3" w14:textId="521A50F0" w:rsidR="00140161" w:rsidRPr="00307043" w:rsidRDefault="00140161" w:rsidP="00140161">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52 (</w:t>
            </w:r>
            <w:r w:rsidR="00611128" w:rsidRPr="00307043">
              <w:rPr>
                <w:rFonts w:ascii="Times New Roman" w:eastAsia="Times New Roman" w:hAnsi="Times New Roman" w:cs="Times New Roman"/>
                <w:sz w:val="20"/>
                <w:szCs w:val="20"/>
                <w:lang w:val="en-US"/>
              </w:rPr>
              <w:t>21.2</w:t>
            </w:r>
            <w:r w:rsidRPr="00307043">
              <w:rPr>
                <w:rFonts w:ascii="Times New Roman" w:eastAsia="Times New Roman" w:hAnsi="Times New Roman" w:cs="Times New Roman"/>
                <w:sz w:val="20"/>
                <w:szCs w:val="20"/>
                <w:lang w:val="en-US"/>
              </w:rPr>
              <w:t>)</w:t>
            </w:r>
          </w:p>
        </w:tc>
        <w:tc>
          <w:tcPr>
            <w:tcW w:w="1440" w:type="dxa"/>
            <w:tcBorders>
              <w:top w:val="nil"/>
              <w:left w:val="single" w:sz="6" w:space="0" w:color="auto"/>
              <w:bottom w:val="nil"/>
              <w:right w:val="nil"/>
            </w:tcBorders>
            <w:tcMar>
              <w:left w:w="105" w:type="dxa"/>
              <w:right w:w="105" w:type="dxa"/>
            </w:tcMar>
            <w:vAlign w:val="center"/>
          </w:tcPr>
          <w:p w14:paraId="4B085C5F" w14:textId="6CEA1D2A" w:rsidR="00140161" w:rsidRPr="00307043" w:rsidRDefault="00140161" w:rsidP="00140161">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4 (44.4)</w:t>
            </w:r>
          </w:p>
        </w:tc>
        <w:tc>
          <w:tcPr>
            <w:tcW w:w="1440" w:type="dxa"/>
            <w:tcBorders>
              <w:top w:val="nil"/>
              <w:left w:val="nil"/>
              <w:bottom w:val="nil"/>
              <w:right w:val="single" w:sz="6" w:space="0" w:color="auto"/>
            </w:tcBorders>
            <w:tcMar>
              <w:left w:w="105" w:type="dxa"/>
              <w:right w:w="105" w:type="dxa"/>
            </w:tcMar>
          </w:tcPr>
          <w:p w14:paraId="39BE8426" w14:textId="1CBBBEF6" w:rsidR="00140161" w:rsidRPr="00307043" w:rsidRDefault="00140161" w:rsidP="00140161">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48 (</w:t>
            </w:r>
            <w:r w:rsidR="006F2DE9" w:rsidRPr="00307043">
              <w:rPr>
                <w:rFonts w:ascii="Times New Roman" w:eastAsia="Times New Roman" w:hAnsi="Times New Roman" w:cs="Times New Roman"/>
                <w:sz w:val="20"/>
                <w:szCs w:val="20"/>
                <w:lang w:val="en-US"/>
              </w:rPr>
              <w:t>20.3</w:t>
            </w:r>
            <w:r w:rsidRPr="00307043">
              <w:rPr>
                <w:rFonts w:ascii="Times New Roman" w:eastAsia="Times New Roman" w:hAnsi="Times New Roman" w:cs="Times New Roman"/>
                <w:sz w:val="20"/>
                <w:szCs w:val="20"/>
                <w:lang w:val="en-US"/>
              </w:rPr>
              <w:t>)</w:t>
            </w:r>
          </w:p>
        </w:tc>
        <w:tc>
          <w:tcPr>
            <w:tcW w:w="900" w:type="dxa"/>
            <w:tcBorders>
              <w:top w:val="nil"/>
              <w:left w:val="single" w:sz="6" w:space="0" w:color="auto"/>
              <w:bottom w:val="nil"/>
              <w:right w:val="nil"/>
            </w:tcBorders>
            <w:tcMar>
              <w:left w:w="105" w:type="dxa"/>
              <w:right w:w="105" w:type="dxa"/>
            </w:tcMar>
            <w:vAlign w:val="center"/>
          </w:tcPr>
          <w:p w14:paraId="1D3EBA39" w14:textId="77777777" w:rsidR="00140161" w:rsidRPr="00307043" w:rsidRDefault="00140161" w:rsidP="00140161">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 xml:space="preserve"> </w:t>
            </w:r>
          </w:p>
        </w:tc>
      </w:tr>
      <w:tr w:rsidR="00307043" w:rsidRPr="00307043" w14:paraId="61A62662" w14:textId="77777777" w:rsidTr="005D3EC4">
        <w:trPr>
          <w:trHeight w:val="300"/>
        </w:trPr>
        <w:tc>
          <w:tcPr>
            <w:tcW w:w="3135" w:type="dxa"/>
            <w:tcBorders>
              <w:top w:val="nil"/>
              <w:left w:val="nil"/>
              <w:bottom w:val="nil"/>
              <w:right w:val="single" w:sz="6" w:space="0" w:color="auto"/>
            </w:tcBorders>
            <w:tcMar>
              <w:left w:w="105" w:type="dxa"/>
              <w:right w:w="105" w:type="dxa"/>
            </w:tcMar>
            <w:vAlign w:val="center"/>
          </w:tcPr>
          <w:p w14:paraId="78079D34" w14:textId="77777777" w:rsidR="00140161" w:rsidRPr="00307043" w:rsidRDefault="00140161" w:rsidP="00140161">
            <w:pPr>
              <w:spacing w:before="36" w:after="36"/>
              <w:ind w:left="567"/>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2</w:t>
            </w:r>
          </w:p>
        </w:tc>
        <w:tc>
          <w:tcPr>
            <w:tcW w:w="1188" w:type="dxa"/>
            <w:tcBorders>
              <w:top w:val="nil"/>
              <w:left w:val="single" w:sz="6" w:space="0" w:color="auto"/>
              <w:bottom w:val="nil"/>
              <w:right w:val="single" w:sz="6" w:space="0" w:color="auto"/>
            </w:tcBorders>
            <w:tcMar>
              <w:left w:w="105" w:type="dxa"/>
              <w:right w:w="105" w:type="dxa"/>
            </w:tcMar>
          </w:tcPr>
          <w:p w14:paraId="5CDCA42C" w14:textId="30BCDBEA" w:rsidR="00140161" w:rsidRPr="00307043" w:rsidRDefault="00140161" w:rsidP="00140161">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 xml:space="preserve">113 </w:t>
            </w:r>
            <w:r w:rsidR="00611128" w:rsidRPr="00307043">
              <w:rPr>
                <w:rFonts w:ascii="Times New Roman" w:eastAsia="Times New Roman" w:hAnsi="Times New Roman" w:cs="Times New Roman"/>
                <w:sz w:val="20"/>
                <w:szCs w:val="20"/>
                <w:lang w:val="en-US"/>
              </w:rPr>
              <w:t>(46.1</w:t>
            </w:r>
            <w:r w:rsidRPr="00307043">
              <w:rPr>
                <w:rFonts w:ascii="Times New Roman" w:eastAsia="Times New Roman" w:hAnsi="Times New Roman" w:cs="Times New Roman"/>
                <w:sz w:val="20"/>
                <w:szCs w:val="20"/>
                <w:lang w:val="en-US"/>
              </w:rPr>
              <w:t>)</w:t>
            </w:r>
          </w:p>
        </w:tc>
        <w:tc>
          <w:tcPr>
            <w:tcW w:w="1440" w:type="dxa"/>
            <w:tcBorders>
              <w:top w:val="nil"/>
              <w:left w:val="single" w:sz="6" w:space="0" w:color="auto"/>
              <w:bottom w:val="nil"/>
              <w:right w:val="nil"/>
            </w:tcBorders>
            <w:tcMar>
              <w:left w:w="105" w:type="dxa"/>
              <w:right w:w="105" w:type="dxa"/>
            </w:tcMar>
            <w:vAlign w:val="center"/>
          </w:tcPr>
          <w:p w14:paraId="3EB50996" w14:textId="69A6A998" w:rsidR="00140161" w:rsidRPr="00307043" w:rsidRDefault="00140161" w:rsidP="00140161">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5 (55.6)</w:t>
            </w:r>
          </w:p>
        </w:tc>
        <w:tc>
          <w:tcPr>
            <w:tcW w:w="1440" w:type="dxa"/>
            <w:tcBorders>
              <w:top w:val="nil"/>
              <w:left w:val="nil"/>
              <w:bottom w:val="nil"/>
              <w:right w:val="single" w:sz="6" w:space="0" w:color="auto"/>
            </w:tcBorders>
            <w:tcMar>
              <w:left w:w="105" w:type="dxa"/>
              <w:right w:w="105" w:type="dxa"/>
            </w:tcMar>
          </w:tcPr>
          <w:p w14:paraId="17D4DDA7" w14:textId="510B88C1" w:rsidR="00140161" w:rsidRPr="00307043" w:rsidRDefault="00140161" w:rsidP="00140161">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108 (4</w:t>
            </w:r>
            <w:r w:rsidR="006F2DE9" w:rsidRPr="00307043">
              <w:rPr>
                <w:rFonts w:ascii="Times New Roman" w:eastAsia="Times New Roman" w:hAnsi="Times New Roman" w:cs="Times New Roman"/>
                <w:sz w:val="20"/>
                <w:szCs w:val="20"/>
                <w:lang w:val="en-US"/>
              </w:rPr>
              <w:t>5.8</w:t>
            </w:r>
            <w:r w:rsidRPr="00307043">
              <w:rPr>
                <w:rFonts w:ascii="Times New Roman" w:eastAsia="Times New Roman" w:hAnsi="Times New Roman" w:cs="Times New Roman"/>
                <w:sz w:val="20"/>
                <w:szCs w:val="20"/>
                <w:lang w:val="en-US"/>
              </w:rPr>
              <w:t>)</w:t>
            </w:r>
          </w:p>
        </w:tc>
        <w:tc>
          <w:tcPr>
            <w:tcW w:w="900" w:type="dxa"/>
            <w:tcBorders>
              <w:top w:val="nil"/>
              <w:left w:val="single" w:sz="6" w:space="0" w:color="auto"/>
              <w:bottom w:val="nil"/>
              <w:right w:val="nil"/>
            </w:tcBorders>
            <w:tcMar>
              <w:left w:w="105" w:type="dxa"/>
              <w:right w:w="105" w:type="dxa"/>
            </w:tcMar>
            <w:vAlign w:val="center"/>
          </w:tcPr>
          <w:p w14:paraId="59DC806A" w14:textId="77777777" w:rsidR="00140161" w:rsidRPr="00307043" w:rsidRDefault="00140161" w:rsidP="00140161">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 xml:space="preserve"> </w:t>
            </w:r>
          </w:p>
        </w:tc>
      </w:tr>
      <w:tr w:rsidR="00307043" w:rsidRPr="00307043" w14:paraId="345ACA18" w14:textId="77777777" w:rsidTr="005D3EC4">
        <w:trPr>
          <w:trHeight w:val="300"/>
        </w:trPr>
        <w:tc>
          <w:tcPr>
            <w:tcW w:w="3135" w:type="dxa"/>
            <w:tcBorders>
              <w:top w:val="nil"/>
              <w:left w:val="nil"/>
              <w:bottom w:val="nil"/>
              <w:right w:val="single" w:sz="6" w:space="0" w:color="auto"/>
            </w:tcBorders>
            <w:tcMar>
              <w:left w:w="105" w:type="dxa"/>
              <w:right w:w="105" w:type="dxa"/>
            </w:tcMar>
            <w:vAlign w:val="center"/>
          </w:tcPr>
          <w:p w14:paraId="78C11168" w14:textId="77777777" w:rsidR="003F24C5" w:rsidRPr="00307043" w:rsidRDefault="003F24C5" w:rsidP="003F24C5">
            <w:pPr>
              <w:spacing w:before="36" w:after="36"/>
              <w:ind w:left="567"/>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3</w:t>
            </w:r>
          </w:p>
        </w:tc>
        <w:tc>
          <w:tcPr>
            <w:tcW w:w="1188" w:type="dxa"/>
            <w:tcBorders>
              <w:top w:val="nil"/>
              <w:left w:val="single" w:sz="6" w:space="0" w:color="auto"/>
              <w:bottom w:val="nil"/>
              <w:right w:val="single" w:sz="6" w:space="0" w:color="auto"/>
            </w:tcBorders>
            <w:tcMar>
              <w:left w:w="105" w:type="dxa"/>
              <w:right w:w="105" w:type="dxa"/>
            </w:tcMar>
          </w:tcPr>
          <w:p w14:paraId="1E5E0071" w14:textId="5850E745" w:rsidR="003F24C5" w:rsidRPr="00307043" w:rsidRDefault="003F24C5" w:rsidP="003F24C5">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 xml:space="preserve">80 </w:t>
            </w:r>
            <w:r w:rsidR="00611128" w:rsidRPr="00307043">
              <w:rPr>
                <w:rFonts w:ascii="Times New Roman" w:eastAsia="Times New Roman" w:hAnsi="Times New Roman" w:cs="Times New Roman"/>
                <w:sz w:val="20"/>
                <w:szCs w:val="20"/>
                <w:lang w:val="en-US"/>
              </w:rPr>
              <w:t>(32.7</w:t>
            </w:r>
            <w:r w:rsidRPr="00307043">
              <w:rPr>
                <w:rFonts w:ascii="Times New Roman" w:eastAsia="Times New Roman" w:hAnsi="Times New Roman" w:cs="Times New Roman"/>
                <w:sz w:val="20"/>
                <w:szCs w:val="20"/>
                <w:lang w:val="en-US"/>
              </w:rPr>
              <w:t>)</w:t>
            </w:r>
          </w:p>
        </w:tc>
        <w:tc>
          <w:tcPr>
            <w:tcW w:w="1440" w:type="dxa"/>
            <w:tcBorders>
              <w:top w:val="nil"/>
              <w:left w:val="single" w:sz="6" w:space="0" w:color="auto"/>
              <w:bottom w:val="nil"/>
              <w:right w:val="nil"/>
            </w:tcBorders>
            <w:tcMar>
              <w:left w:w="105" w:type="dxa"/>
              <w:right w:w="105" w:type="dxa"/>
            </w:tcMar>
            <w:vAlign w:val="center"/>
          </w:tcPr>
          <w:p w14:paraId="62994A81" w14:textId="77777777" w:rsidR="003F24C5" w:rsidRPr="00307043" w:rsidRDefault="003F24C5" w:rsidP="003F24C5">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0 (0.0)</w:t>
            </w:r>
          </w:p>
        </w:tc>
        <w:tc>
          <w:tcPr>
            <w:tcW w:w="1440" w:type="dxa"/>
            <w:tcBorders>
              <w:top w:val="nil"/>
              <w:left w:val="nil"/>
              <w:bottom w:val="nil"/>
              <w:right w:val="single" w:sz="6" w:space="0" w:color="auto"/>
            </w:tcBorders>
            <w:tcMar>
              <w:left w:w="105" w:type="dxa"/>
              <w:right w:w="105" w:type="dxa"/>
            </w:tcMar>
          </w:tcPr>
          <w:p w14:paraId="3E7E76EA" w14:textId="64209546" w:rsidR="003F24C5" w:rsidRPr="00307043" w:rsidRDefault="003F24C5" w:rsidP="003F24C5">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80 (3</w:t>
            </w:r>
            <w:r w:rsidR="006F2DE9" w:rsidRPr="00307043">
              <w:rPr>
                <w:rFonts w:ascii="Times New Roman" w:eastAsia="Times New Roman" w:hAnsi="Times New Roman" w:cs="Times New Roman"/>
                <w:sz w:val="20"/>
                <w:szCs w:val="20"/>
                <w:lang w:val="en-US"/>
              </w:rPr>
              <w:t>3.9</w:t>
            </w:r>
            <w:r w:rsidRPr="00307043">
              <w:rPr>
                <w:rFonts w:ascii="Times New Roman" w:eastAsia="Times New Roman" w:hAnsi="Times New Roman" w:cs="Times New Roman"/>
                <w:sz w:val="20"/>
                <w:szCs w:val="20"/>
                <w:lang w:val="en-US"/>
              </w:rPr>
              <w:t>)</w:t>
            </w:r>
          </w:p>
        </w:tc>
        <w:tc>
          <w:tcPr>
            <w:tcW w:w="900" w:type="dxa"/>
            <w:tcBorders>
              <w:top w:val="nil"/>
              <w:left w:val="single" w:sz="6" w:space="0" w:color="auto"/>
              <w:bottom w:val="nil"/>
              <w:right w:val="nil"/>
            </w:tcBorders>
            <w:tcMar>
              <w:left w:w="105" w:type="dxa"/>
              <w:right w:w="105" w:type="dxa"/>
            </w:tcMar>
            <w:vAlign w:val="center"/>
          </w:tcPr>
          <w:p w14:paraId="4C0E7908" w14:textId="77777777" w:rsidR="003F24C5" w:rsidRPr="00307043" w:rsidRDefault="003F24C5" w:rsidP="003F24C5">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 xml:space="preserve"> </w:t>
            </w:r>
          </w:p>
        </w:tc>
      </w:tr>
      <w:tr w:rsidR="00307043" w:rsidRPr="00307043" w14:paraId="71705A49" w14:textId="77777777" w:rsidTr="6D2C0DF0">
        <w:trPr>
          <w:trHeight w:val="300"/>
        </w:trPr>
        <w:tc>
          <w:tcPr>
            <w:tcW w:w="3135" w:type="dxa"/>
            <w:tcBorders>
              <w:top w:val="nil"/>
              <w:left w:val="nil"/>
              <w:bottom w:val="nil"/>
              <w:right w:val="single" w:sz="6" w:space="0" w:color="auto"/>
            </w:tcBorders>
            <w:tcMar>
              <w:left w:w="105" w:type="dxa"/>
              <w:right w:w="105" w:type="dxa"/>
            </w:tcMar>
            <w:vAlign w:val="center"/>
          </w:tcPr>
          <w:p w14:paraId="3A88C138" w14:textId="77777777" w:rsidR="00140161" w:rsidRPr="00307043" w:rsidRDefault="00140161" w:rsidP="00140161">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Consensus</w:t>
            </w:r>
          </w:p>
        </w:tc>
        <w:tc>
          <w:tcPr>
            <w:tcW w:w="1188" w:type="dxa"/>
            <w:tcBorders>
              <w:top w:val="nil"/>
              <w:left w:val="single" w:sz="6" w:space="0" w:color="auto"/>
              <w:bottom w:val="nil"/>
              <w:right w:val="single" w:sz="6" w:space="0" w:color="auto"/>
            </w:tcBorders>
            <w:tcMar>
              <w:left w:w="105" w:type="dxa"/>
              <w:right w:w="105" w:type="dxa"/>
            </w:tcMar>
            <w:vAlign w:val="center"/>
          </w:tcPr>
          <w:p w14:paraId="1138228B" w14:textId="0096B39F" w:rsidR="00140161" w:rsidRPr="00307043" w:rsidRDefault="00140161" w:rsidP="00140161">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20 (7.</w:t>
            </w:r>
            <w:r w:rsidR="00066522" w:rsidRPr="00307043">
              <w:rPr>
                <w:rFonts w:ascii="Times New Roman" w:eastAsia="Times New Roman" w:hAnsi="Times New Roman" w:cs="Times New Roman"/>
                <w:sz w:val="20"/>
                <w:szCs w:val="20"/>
                <w:lang w:val="en-US"/>
              </w:rPr>
              <w:t>5</w:t>
            </w:r>
            <w:r w:rsidRPr="00307043">
              <w:rPr>
                <w:rFonts w:ascii="Times New Roman" w:eastAsia="Times New Roman" w:hAnsi="Times New Roman" w:cs="Times New Roman"/>
                <w:sz w:val="20"/>
                <w:szCs w:val="20"/>
                <w:lang w:val="en-US"/>
              </w:rPr>
              <w:t>)</w:t>
            </w:r>
          </w:p>
        </w:tc>
        <w:tc>
          <w:tcPr>
            <w:tcW w:w="1440" w:type="dxa"/>
            <w:tcBorders>
              <w:top w:val="nil"/>
              <w:left w:val="single" w:sz="6" w:space="0" w:color="auto"/>
              <w:bottom w:val="nil"/>
              <w:right w:val="nil"/>
            </w:tcBorders>
            <w:tcMar>
              <w:left w:w="105" w:type="dxa"/>
              <w:right w:w="105" w:type="dxa"/>
            </w:tcMar>
            <w:vAlign w:val="center"/>
          </w:tcPr>
          <w:p w14:paraId="45CADEEA" w14:textId="77777777" w:rsidR="00140161" w:rsidRPr="00307043" w:rsidRDefault="00140161" w:rsidP="00140161">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0 (0.0)</w:t>
            </w:r>
          </w:p>
        </w:tc>
        <w:tc>
          <w:tcPr>
            <w:tcW w:w="1440" w:type="dxa"/>
            <w:tcBorders>
              <w:top w:val="nil"/>
              <w:left w:val="nil"/>
              <w:bottom w:val="nil"/>
              <w:right w:val="single" w:sz="6" w:space="0" w:color="auto"/>
            </w:tcBorders>
            <w:tcMar>
              <w:left w:w="105" w:type="dxa"/>
              <w:right w:w="105" w:type="dxa"/>
            </w:tcMar>
            <w:vAlign w:val="center"/>
          </w:tcPr>
          <w:p w14:paraId="708A099F" w14:textId="2F88BDAB" w:rsidR="00140161" w:rsidRPr="00307043" w:rsidRDefault="00140161" w:rsidP="00140161">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20 (7.</w:t>
            </w:r>
            <w:r w:rsidR="00066522" w:rsidRPr="00307043">
              <w:rPr>
                <w:rFonts w:ascii="Times New Roman" w:eastAsia="Times New Roman" w:hAnsi="Times New Roman" w:cs="Times New Roman"/>
                <w:sz w:val="20"/>
                <w:szCs w:val="20"/>
                <w:lang w:val="en-US"/>
              </w:rPr>
              <w:t>8</w:t>
            </w:r>
            <w:r w:rsidRPr="00307043">
              <w:rPr>
                <w:rFonts w:ascii="Times New Roman" w:eastAsia="Times New Roman" w:hAnsi="Times New Roman" w:cs="Times New Roman"/>
                <w:sz w:val="20"/>
                <w:szCs w:val="20"/>
                <w:lang w:val="en-US"/>
              </w:rPr>
              <w:t>)</w:t>
            </w:r>
          </w:p>
        </w:tc>
        <w:tc>
          <w:tcPr>
            <w:tcW w:w="900" w:type="dxa"/>
            <w:tcBorders>
              <w:top w:val="nil"/>
              <w:left w:val="single" w:sz="6" w:space="0" w:color="auto"/>
              <w:bottom w:val="nil"/>
              <w:right w:val="nil"/>
            </w:tcBorders>
            <w:tcMar>
              <w:left w:w="105" w:type="dxa"/>
              <w:right w:w="105" w:type="dxa"/>
            </w:tcMar>
            <w:vAlign w:val="center"/>
          </w:tcPr>
          <w:p w14:paraId="673BB010" w14:textId="77777777" w:rsidR="00140161" w:rsidRPr="00307043" w:rsidRDefault="00140161" w:rsidP="00140161">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 xml:space="preserve"> </w:t>
            </w:r>
          </w:p>
        </w:tc>
      </w:tr>
      <w:tr w:rsidR="00307043" w:rsidRPr="00307043" w14:paraId="500EE12A" w14:textId="77777777" w:rsidTr="6D2C0DF0">
        <w:trPr>
          <w:trHeight w:val="300"/>
        </w:trPr>
        <w:tc>
          <w:tcPr>
            <w:tcW w:w="3135" w:type="dxa"/>
            <w:tcBorders>
              <w:top w:val="nil"/>
              <w:left w:val="nil"/>
              <w:bottom w:val="nil"/>
              <w:right w:val="single" w:sz="6" w:space="0" w:color="auto"/>
            </w:tcBorders>
            <w:tcMar>
              <w:left w:w="105" w:type="dxa"/>
              <w:right w:w="105" w:type="dxa"/>
            </w:tcMar>
            <w:vAlign w:val="center"/>
          </w:tcPr>
          <w:p w14:paraId="5CE2E2C1" w14:textId="77777777" w:rsidR="00140161" w:rsidRPr="00307043" w:rsidRDefault="00140161" w:rsidP="00140161">
            <w:pPr>
              <w:spacing w:before="36" w:after="36"/>
              <w:ind w:left="567"/>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100%</w:t>
            </w:r>
          </w:p>
        </w:tc>
        <w:tc>
          <w:tcPr>
            <w:tcW w:w="1188" w:type="dxa"/>
            <w:tcBorders>
              <w:top w:val="nil"/>
              <w:left w:val="single" w:sz="6" w:space="0" w:color="auto"/>
              <w:bottom w:val="nil"/>
              <w:right w:val="single" w:sz="6" w:space="0" w:color="auto"/>
            </w:tcBorders>
            <w:tcMar>
              <w:left w:w="105" w:type="dxa"/>
              <w:right w:w="105" w:type="dxa"/>
            </w:tcMar>
            <w:vAlign w:val="center"/>
          </w:tcPr>
          <w:p w14:paraId="03FA0E1B" w14:textId="77777777" w:rsidR="00140161" w:rsidRPr="00307043" w:rsidRDefault="00140161" w:rsidP="00140161">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1 (5.0)</w:t>
            </w:r>
          </w:p>
        </w:tc>
        <w:tc>
          <w:tcPr>
            <w:tcW w:w="1440" w:type="dxa"/>
            <w:tcBorders>
              <w:top w:val="nil"/>
              <w:left w:val="single" w:sz="6" w:space="0" w:color="auto"/>
              <w:bottom w:val="nil"/>
              <w:right w:val="nil"/>
            </w:tcBorders>
            <w:tcMar>
              <w:left w:w="105" w:type="dxa"/>
              <w:right w:w="105" w:type="dxa"/>
            </w:tcMar>
            <w:vAlign w:val="center"/>
          </w:tcPr>
          <w:p w14:paraId="0969B727" w14:textId="77777777" w:rsidR="00140161" w:rsidRPr="00307043" w:rsidRDefault="00140161" w:rsidP="00140161">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w:t>
            </w:r>
          </w:p>
        </w:tc>
        <w:tc>
          <w:tcPr>
            <w:tcW w:w="1440" w:type="dxa"/>
            <w:tcBorders>
              <w:top w:val="nil"/>
              <w:left w:val="nil"/>
              <w:bottom w:val="nil"/>
              <w:right w:val="single" w:sz="6" w:space="0" w:color="auto"/>
            </w:tcBorders>
            <w:tcMar>
              <w:left w:w="105" w:type="dxa"/>
              <w:right w:w="105" w:type="dxa"/>
            </w:tcMar>
            <w:vAlign w:val="center"/>
          </w:tcPr>
          <w:p w14:paraId="116B4033" w14:textId="77777777" w:rsidR="00140161" w:rsidRPr="00307043" w:rsidRDefault="00140161" w:rsidP="00140161">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1 (5.0)</w:t>
            </w:r>
          </w:p>
        </w:tc>
        <w:tc>
          <w:tcPr>
            <w:tcW w:w="900" w:type="dxa"/>
            <w:tcBorders>
              <w:top w:val="nil"/>
              <w:left w:val="single" w:sz="6" w:space="0" w:color="auto"/>
              <w:bottom w:val="nil"/>
              <w:right w:val="nil"/>
            </w:tcBorders>
            <w:tcMar>
              <w:left w:w="105" w:type="dxa"/>
              <w:right w:w="105" w:type="dxa"/>
            </w:tcMar>
            <w:vAlign w:val="center"/>
          </w:tcPr>
          <w:p w14:paraId="67A04EC8" w14:textId="77777777" w:rsidR="00140161" w:rsidRPr="00307043" w:rsidRDefault="00140161" w:rsidP="00140161">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 xml:space="preserve"> </w:t>
            </w:r>
          </w:p>
        </w:tc>
      </w:tr>
      <w:tr w:rsidR="00140161" w:rsidRPr="00307043" w14:paraId="4E6D0ADE" w14:textId="77777777" w:rsidTr="6D2C0DF0">
        <w:trPr>
          <w:trHeight w:val="300"/>
        </w:trPr>
        <w:tc>
          <w:tcPr>
            <w:tcW w:w="3135" w:type="dxa"/>
            <w:tcBorders>
              <w:top w:val="nil"/>
              <w:left w:val="nil"/>
              <w:bottom w:val="nil"/>
              <w:right w:val="single" w:sz="6" w:space="0" w:color="auto"/>
            </w:tcBorders>
            <w:tcMar>
              <w:left w:w="105" w:type="dxa"/>
              <w:right w:w="105" w:type="dxa"/>
            </w:tcMar>
            <w:vAlign w:val="center"/>
          </w:tcPr>
          <w:p w14:paraId="36C7FD52" w14:textId="77777777" w:rsidR="00140161" w:rsidRPr="00307043" w:rsidRDefault="00140161" w:rsidP="00140161">
            <w:pPr>
              <w:spacing w:before="36" w:after="36"/>
              <w:ind w:left="567"/>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&lt;100%</w:t>
            </w:r>
          </w:p>
        </w:tc>
        <w:tc>
          <w:tcPr>
            <w:tcW w:w="1188" w:type="dxa"/>
            <w:tcBorders>
              <w:top w:val="nil"/>
              <w:left w:val="single" w:sz="6" w:space="0" w:color="auto"/>
              <w:bottom w:val="nil"/>
              <w:right w:val="single" w:sz="6" w:space="0" w:color="auto"/>
            </w:tcBorders>
            <w:tcMar>
              <w:left w:w="105" w:type="dxa"/>
              <w:right w:w="105" w:type="dxa"/>
            </w:tcMar>
            <w:vAlign w:val="center"/>
          </w:tcPr>
          <w:p w14:paraId="62667A1D" w14:textId="77777777" w:rsidR="00140161" w:rsidRPr="00307043" w:rsidRDefault="00140161" w:rsidP="00140161">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19 (95.0)</w:t>
            </w:r>
          </w:p>
        </w:tc>
        <w:tc>
          <w:tcPr>
            <w:tcW w:w="1440" w:type="dxa"/>
            <w:tcBorders>
              <w:top w:val="nil"/>
              <w:left w:val="single" w:sz="6" w:space="0" w:color="auto"/>
              <w:bottom w:val="nil"/>
              <w:right w:val="nil"/>
            </w:tcBorders>
            <w:tcMar>
              <w:left w:w="105" w:type="dxa"/>
              <w:right w:w="105" w:type="dxa"/>
            </w:tcMar>
            <w:vAlign w:val="center"/>
          </w:tcPr>
          <w:p w14:paraId="7A4379AE" w14:textId="77777777" w:rsidR="00140161" w:rsidRPr="00307043" w:rsidRDefault="00140161" w:rsidP="00140161">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w:t>
            </w:r>
          </w:p>
        </w:tc>
        <w:tc>
          <w:tcPr>
            <w:tcW w:w="1440" w:type="dxa"/>
            <w:tcBorders>
              <w:top w:val="nil"/>
              <w:left w:val="nil"/>
              <w:bottom w:val="nil"/>
              <w:right w:val="single" w:sz="6" w:space="0" w:color="auto"/>
            </w:tcBorders>
            <w:tcMar>
              <w:left w:w="105" w:type="dxa"/>
              <w:right w:w="105" w:type="dxa"/>
            </w:tcMar>
            <w:vAlign w:val="center"/>
          </w:tcPr>
          <w:p w14:paraId="3E5865C6" w14:textId="77777777" w:rsidR="00140161" w:rsidRPr="00307043" w:rsidRDefault="00140161" w:rsidP="00140161">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19 (95.0)</w:t>
            </w:r>
          </w:p>
        </w:tc>
        <w:tc>
          <w:tcPr>
            <w:tcW w:w="900" w:type="dxa"/>
            <w:tcBorders>
              <w:top w:val="nil"/>
              <w:left w:val="single" w:sz="6" w:space="0" w:color="auto"/>
              <w:bottom w:val="nil"/>
              <w:right w:val="nil"/>
            </w:tcBorders>
            <w:tcMar>
              <w:left w:w="105" w:type="dxa"/>
              <w:right w:w="105" w:type="dxa"/>
            </w:tcMar>
            <w:vAlign w:val="center"/>
          </w:tcPr>
          <w:p w14:paraId="0C958206" w14:textId="77777777" w:rsidR="00140161" w:rsidRPr="00307043" w:rsidRDefault="00140161" w:rsidP="00140161">
            <w:pPr>
              <w:spacing w:before="36" w:after="36"/>
              <w:rPr>
                <w:rFonts w:ascii="Times New Roman" w:eastAsia="Times New Roman" w:hAnsi="Times New Roman" w:cs="Times New Roman"/>
                <w:sz w:val="20"/>
                <w:szCs w:val="20"/>
                <w:lang w:val="en-US"/>
              </w:rPr>
            </w:pPr>
          </w:p>
        </w:tc>
      </w:tr>
    </w:tbl>
    <w:p w14:paraId="4D6BAB0A" w14:textId="77777777" w:rsidR="00684BFB" w:rsidRPr="00307043" w:rsidRDefault="00684BFB">
      <w:pPr>
        <w:spacing w:line="360" w:lineRule="auto"/>
        <w:rPr>
          <w:rFonts w:ascii="Times New Roman" w:eastAsia="Times New Roman" w:hAnsi="Times New Roman" w:cs="Times New Roman"/>
        </w:rPr>
      </w:pPr>
    </w:p>
    <w:p w14:paraId="3C707B7A" w14:textId="77777777" w:rsidR="00684BFB" w:rsidRPr="00307043" w:rsidRDefault="00977696">
      <w:pPr>
        <w:rPr>
          <w:rFonts w:ascii="Times New Roman" w:eastAsia="Times New Roman" w:hAnsi="Times New Roman" w:cs="Times New Roman"/>
        </w:rPr>
      </w:pPr>
      <w:r w:rsidRPr="00307043">
        <w:rPr>
          <w:rFonts w:ascii="Times New Roman" w:eastAsia="Times New Roman" w:hAnsi="Times New Roman" w:cs="Times New Roman"/>
        </w:rPr>
        <w:br w:type="page"/>
      </w:r>
    </w:p>
    <w:p w14:paraId="4A72EA93" w14:textId="13631F34" w:rsidR="00684BFB" w:rsidRPr="00307043" w:rsidRDefault="54F32C53">
      <w:pPr>
        <w:spacing w:line="360" w:lineRule="auto"/>
        <w:rPr>
          <w:rFonts w:ascii="Times New Roman" w:eastAsia="Times New Roman" w:hAnsi="Times New Roman" w:cs="Times New Roman"/>
          <w:lang w:val="en-US"/>
        </w:rPr>
      </w:pPr>
      <w:r w:rsidRPr="00307043">
        <w:rPr>
          <w:rFonts w:ascii="Times New Roman" w:eastAsia="Times New Roman" w:hAnsi="Times New Roman" w:cs="Times New Roman"/>
          <w:b/>
          <w:bCs/>
          <w:lang w:val="en-US"/>
        </w:rPr>
        <w:lastRenderedPageBreak/>
        <w:t xml:space="preserve">Supplementary table </w:t>
      </w:r>
      <w:r w:rsidR="00A36575" w:rsidRPr="00307043">
        <w:rPr>
          <w:rFonts w:ascii="Times New Roman" w:eastAsia="Times New Roman" w:hAnsi="Times New Roman" w:cs="Times New Roman"/>
          <w:b/>
          <w:bCs/>
          <w:lang w:val="en-US"/>
        </w:rPr>
        <w:t>4</w:t>
      </w:r>
      <w:r w:rsidRPr="00307043">
        <w:rPr>
          <w:rFonts w:ascii="Times New Roman" w:eastAsia="Times New Roman" w:hAnsi="Times New Roman" w:cs="Times New Roman"/>
          <w:b/>
          <w:bCs/>
          <w:lang w:val="en-US"/>
        </w:rPr>
        <w:t xml:space="preserve">. </w:t>
      </w:r>
      <w:r w:rsidRPr="00307043">
        <w:rPr>
          <w:rFonts w:ascii="Times New Roman" w:eastAsia="Times New Roman" w:hAnsi="Times New Roman" w:cs="Times New Roman"/>
          <w:lang w:val="en-US"/>
        </w:rPr>
        <w:t>Characteristics of the approaches addressing CVD.</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165"/>
        <w:gridCol w:w="1605"/>
        <w:gridCol w:w="1605"/>
        <w:gridCol w:w="1605"/>
        <w:gridCol w:w="990"/>
      </w:tblGrid>
      <w:tr w:rsidR="00307043" w:rsidRPr="00307043" w14:paraId="2D68A5A8" w14:textId="77777777" w:rsidTr="6D2C0DF0">
        <w:trPr>
          <w:trHeight w:val="300"/>
        </w:trPr>
        <w:tc>
          <w:tcPr>
            <w:tcW w:w="3165" w:type="dxa"/>
            <w:tcBorders>
              <w:top w:val="nil"/>
              <w:left w:val="nil"/>
              <w:bottom w:val="single" w:sz="6" w:space="0" w:color="auto"/>
              <w:right w:val="single" w:sz="6" w:space="0" w:color="auto"/>
            </w:tcBorders>
            <w:tcMar>
              <w:left w:w="105" w:type="dxa"/>
              <w:right w:w="105" w:type="dxa"/>
            </w:tcMar>
            <w:vAlign w:val="center"/>
          </w:tcPr>
          <w:p w14:paraId="027DBBC5" w14:textId="77777777" w:rsidR="00684BFB" w:rsidRPr="00307043" w:rsidRDefault="00684BFB">
            <w:pPr>
              <w:spacing w:before="36" w:after="36"/>
              <w:rPr>
                <w:rFonts w:ascii="Times New Roman" w:eastAsia="Times New Roman" w:hAnsi="Times New Roman" w:cs="Times New Roman"/>
                <w:sz w:val="20"/>
                <w:szCs w:val="20"/>
                <w:lang w:val="en-US"/>
              </w:rPr>
            </w:pPr>
          </w:p>
        </w:tc>
        <w:tc>
          <w:tcPr>
            <w:tcW w:w="1605" w:type="dxa"/>
            <w:tcBorders>
              <w:top w:val="nil"/>
              <w:left w:val="single" w:sz="6" w:space="0" w:color="auto"/>
              <w:bottom w:val="single" w:sz="6" w:space="0" w:color="auto"/>
              <w:right w:val="single" w:sz="6" w:space="0" w:color="auto"/>
            </w:tcBorders>
            <w:tcMar>
              <w:left w:w="105" w:type="dxa"/>
              <w:right w:w="105" w:type="dxa"/>
            </w:tcMar>
            <w:vAlign w:val="center"/>
          </w:tcPr>
          <w:p w14:paraId="58B5F57A"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Total approaches</w:t>
            </w:r>
          </w:p>
        </w:tc>
        <w:tc>
          <w:tcPr>
            <w:tcW w:w="1605" w:type="dxa"/>
            <w:tcBorders>
              <w:top w:val="nil"/>
              <w:left w:val="single" w:sz="6" w:space="0" w:color="auto"/>
              <w:bottom w:val="single" w:sz="6" w:space="0" w:color="auto"/>
              <w:right w:val="nil"/>
            </w:tcBorders>
            <w:tcMar>
              <w:left w:w="105" w:type="dxa"/>
              <w:right w:w="105" w:type="dxa"/>
            </w:tcMar>
            <w:vAlign w:val="center"/>
          </w:tcPr>
          <w:p w14:paraId="52C0B28D"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Modifiable risk factors</w:t>
            </w:r>
          </w:p>
        </w:tc>
        <w:tc>
          <w:tcPr>
            <w:tcW w:w="1605" w:type="dxa"/>
            <w:tcBorders>
              <w:top w:val="nil"/>
              <w:left w:val="nil"/>
              <w:bottom w:val="single" w:sz="6" w:space="0" w:color="auto"/>
              <w:right w:val="single" w:sz="6" w:space="0" w:color="auto"/>
            </w:tcBorders>
            <w:tcMar>
              <w:left w:w="105" w:type="dxa"/>
              <w:right w:w="105" w:type="dxa"/>
            </w:tcMar>
            <w:vAlign w:val="center"/>
          </w:tcPr>
          <w:p w14:paraId="568E77B9" w14:textId="472FE83E" w:rsidR="00684BFB" w:rsidRPr="00307043" w:rsidRDefault="00977696" w:rsidP="6D2C0DF0">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 xml:space="preserve">Genetic </w:t>
            </w:r>
            <w:r w:rsidR="08CBB258" w:rsidRPr="00307043">
              <w:rPr>
                <w:rFonts w:ascii="Times New Roman" w:eastAsia="Times New Roman" w:hAnsi="Times New Roman" w:cs="Times New Roman"/>
                <w:b/>
                <w:bCs/>
                <w:sz w:val="20"/>
                <w:szCs w:val="20"/>
                <w:lang w:val="en-US"/>
              </w:rPr>
              <w:t>factors</w:t>
            </w:r>
          </w:p>
        </w:tc>
        <w:tc>
          <w:tcPr>
            <w:tcW w:w="990" w:type="dxa"/>
            <w:tcBorders>
              <w:top w:val="nil"/>
              <w:left w:val="single" w:sz="6" w:space="0" w:color="auto"/>
              <w:bottom w:val="single" w:sz="6" w:space="0" w:color="auto"/>
              <w:right w:val="nil"/>
            </w:tcBorders>
            <w:tcMar>
              <w:left w:w="105" w:type="dxa"/>
              <w:right w:w="105" w:type="dxa"/>
            </w:tcMar>
            <w:vAlign w:val="center"/>
          </w:tcPr>
          <w:p w14:paraId="2D1298E1"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p</w:t>
            </w:r>
          </w:p>
        </w:tc>
      </w:tr>
      <w:tr w:rsidR="00307043" w:rsidRPr="00307043" w14:paraId="58FAEAF8" w14:textId="77777777" w:rsidTr="6D2C0DF0">
        <w:trPr>
          <w:trHeight w:val="300"/>
        </w:trPr>
        <w:tc>
          <w:tcPr>
            <w:tcW w:w="3165" w:type="dxa"/>
            <w:tcBorders>
              <w:top w:val="single" w:sz="6" w:space="0" w:color="auto"/>
              <w:left w:val="nil"/>
              <w:bottom w:val="single" w:sz="6" w:space="0" w:color="auto"/>
              <w:right w:val="single" w:sz="6" w:space="0" w:color="auto"/>
            </w:tcBorders>
            <w:tcMar>
              <w:left w:w="105" w:type="dxa"/>
              <w:right w:w="105" w:type="dxa"/>
            </w:tcMar>
            <w:vAlign w:val="center"/>
          </w:tcPr>
          <w:p w14:paraId="7E00812C"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N</w:t>
            </w:r>
          </w:p>
        </w:tc>
        <w:tc>
          <w:tcPr>
            <w:tcW w:w="160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DE6187"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162</w:t>
            </w:r>
          </w:p>
        </w:tc>
        <w:tc>
          <w:tcPr>
            <w:tcW w:w="1605" w:type="dxa"/>
            <w:tcBorders>
              <w:top w:val="single" w:sz="6" w:space="0" w:color="auto"/>
              <w:left w:val="single" w:sz="6" w:space="0" w:color="auto"/>
              <w:bottom w:val="single" w:sz="6" w:space="0" w:color="auto"/>
              <w:right w:val="nil"/>
            </w:tcBorders>
            <w:tcMar>
              <w:left w:w="105" w:type="dxa"/>
              <w:right w:w="105" w:type="dxa"/>
            </w:tcMar>
            <w:vAlign w:val="center"/>
          </w:tcPr>
          <w:p w14:paraId="0CECCD72"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70</w:t>
            </w:r>
          </w:p>
        </w:tc>
        <w:tc>
          <w:tcPr>
            <w:tcW w:w="1605" w:type="dxa"/>
            <w:tcBorders>
              <w:top w:val="single" w:sz="6" w:space="0" w:color="auto"/>
              <w:left w:val="nil"/>
              <w:bottom w:val="single" w:sz="6" w:space="0" w:color="auto"/>
              <w:right w:val="single" w:sz="6" w:space="0" w:color="auto"/>
            </w:tcBorders>
            <w:tcMar>
              <w:left w:w="105" w:type="dxa"/>
              <w:right w:w="105" w:type="dxa"/>
            </w:tcMar>
            <w:vAlign w:val="center"/>
          </w:tcPr>
          <w:p w14:paraId="3A036B9F"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92</w:t>
            </w:r>
          </w:p>
        </w:tc>
        <w:tc>
          <w:tcPr>
            <w:tcW w:w="990" w:type="dxa"/>
            <w:tcBorders>
              <w:top w:val="single" w:sz="6" w:space="0" w:color="auto"/>
              <w:left w:val="single" w:sz="6" w:space="0" w:color="auto"/>
              <w:bottom w:val="single" w:sz="6" w:space="0" w:color="auto"/>
              <w:right w:val="nil"/>
            </w:tcBorders>
            <w:tcMar>
              <w:left w:w="105" w:type="dxa"/>
              <w:right w:w="105" w:type="dxa"/>
            </w:tcMar>
            <w:vAlign w:val="center"/>
          </w:tcPr>
          <w:p w14:paraId="3EDBA12C"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r>
      <w:tr w:rsidR="00307043" w:rsidRPr="00307043" w14:paraId="51B23048" w14:textId="77777777" w:rsidTr="6D2C0DF0">
        <w:trPr>
          <w:trHeight w:val="300"/>
        </w:trPr>
        <w:tc>
          <w:tcPr>
            <w:tcW w:w="3165" w:type="dxa"/>
            <w:tcBorders>
              <w:top w:val="single" w:sz="6" w:space="0" w:color="auto"/>
              <w:left w:val="nil"/>
              <w:bottom w:val="nil"/>
              <w:right w:val="single" w:sz="6" w:space="0" w:color="auto"/>
            </w:tcBorders>
            <w:tcMar>
              <w:left w:w="105" w:type="dxa"/>
              <w:right w:w="105" w:type="dxa"/>
            </w:tcMar>
            <w:vAlign w:val="center"/>
          </w:tcPr>
          <w:p w14:paraId="218B55ED"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Prevention level, n (%)</w:t>
            </w:r>
          </w:p>
        </w:tc>
        <w:tc>
          <w:tcPr>
            <w:tcW w:w="1605" w:type="dxa"/>
            <w:tcBorders>
              <w:top w:val="single" w:sz="6" w:space="0" w:color="auto"/>
              <w:left w:val="single" w:sz="6" w:space="0" w:color="auto"/>
              <w:bottom w:val="nil"/>
              <w:right w:val="single" w:sz="6" w:space="0" w:color="auto"/>
            </w:tcBorders>
            <w:tcMar>
              <w:left w:w="105" w:type="dxa"/>
              <w:right w:w="105" w:type="dxa"/>
            </w:tcMar>
            <w:vAlign w:val="center"/>
          </w:tcPr>
          <w:p w14:paraId="0C8675FE"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05" w:type="dxa"/>
            <w:tcBorders>
              <w:top w:val="single" w:sz="6" w:space="0" w:color="auto"/>
              <w:left w:val="single" w:sz="6" w:space="0" w:color="auto"/>
              <w:bottom w:val="nil"/>
              <w:right w:val="nil"/>
            </w:tcBorders>
            <w:tcMar>
              <w:left w:w="105" w:type="dxa"/>
              <w:right w:w="105" w:type="dxa"/>
            </w:tcMar>
            <w:vAlign w:val="center"/>
          </w:tcPr>
          <w:p w14:paraId="5CE5156C"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05" w:type="dxa"/>
            <w:tcBorders>
              <w:top w:val="single" w:sz="6" w:space="0" w:color="auto"/>
              <w:left w:val="nil"/>
              <w:bottom w:val="nil"/>
              <w:right w:val="single" w:sz="6" w:space="0" w:color="auto"/>
            </w:tcBorders>
            <w:tcMar>
              <w:left w:w="105" w:type="dxa"/>
              <w:right w:w="105" w:type="dxa"/>
            </w:tcMar>
            <w:vAlign w:val="center"/>
          </w:tcPr>
          <w:p w14:paraId="0FD8C745"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990" w:type="dxa"/>
            <w:tcBorders>
              <w:top w:val="single" w:sz="6" w:space="0" w:color="auto"/>
              <w:left w:val="single" w:sz="6" w:space="0" w:color="auto"/>
              <w:bottom w:val="nil"/>
              <w:right w:val="nil"/>
            </w:tcBorders>
            <w:tcMar>
              <w:left w:w="105" w:type="dxa"/>
              <w:right w:w="105" w:type="dxa"/>
            </w:tcMar>
            <w:vAlign w:val="center"/>
          </w:tcPr>
          <w:p w14:paraId="235C6F61"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&lt;0.001</w:t>
            </w:r>
          </w:p>
        </w:tc>
      </w:tr>
      <w:tr w:rsidR="00307043" w:rsidRPr="00307043" w14:paraId="2033A853" w14:textId="77777777" w:rsidTr="6D2C0DF0">
        <w:trPr>
          <w:trHeight w:val="300"/>
        </w:trPr>
        <w:tc>
          <w:tcPr>
            <w:tcW w:w="3165" w:type="dxa"/>
            <w:tcBorders>
              <w:top w:val="nil"/>
              <w:left w:val="nil"/>
              <w:bottom w:val="nil"/>
              <w:right w:val="single" w:sz="6" w:space="0" w:color="auto"/>
            </w:tcBorders>
            <w:tcMar>
              <w:left w:w="105" w:type="dxa"/>
              <w:right w:w="105" w:type="dxa"/>
            </w:tcMar>
            <w:vAlign w:val="center"/>
          </w:tcPr>
          <w:p w14:paraId="79A85EA6" w14:textId="77777777" w:rsidR="00684BFB" w:rsidRPr="00307043" w:rsidRDefault="00977696">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Primary prevention</w:t>
            </w:r>
          </w:p>
        </w:tc>
        <w:tc>
          <w:tcPr>
            <w:tcW w:w="1605" w:type="dxa"/>
            <w:tcBorders>
              <w:top w:val="nil"/>
              <w:left w:val="single" w:sz="6" w:space="0" w:color="auto"/>
              <w:bottom w:val="nil"/>
              <w:right w:val="single" w:sz="6" w:space="0" w:color="auto"/>
            </w:tcBorders>
            <w:tcMar>
              <w:left w:w="105" w:type="dxa"/>
              <w:right w:w="105" w:type="dxa"/>
            </w:tcMar>
            <w:vAlign w:val="center"/>
          </w:tcPr>
          <w:p w14:paraId="4C83FD4C" w14:textId="77777777" w:rsidR="00684BFB" w:rsidRPr="00307043" w:rsidRDefault="00977696">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66 (40.7)</w:t>
            </w:r>
          </w:p>
        </w:tc>
        <w:tc>
          <w:tcPr>
            <w:tcW w:w="1605" w:type="dxa"/>
            <w:tcBorders>
              <w:top w:val="nil"/>
              <w:left w:val="single" w:sz="6" w:space="0" w:color="auto"/>
              <w:bottom w:val="nil"/>
              <w:right w:val="nil"/>
            </w:tcBorders>
            <w:tcMar>
              <w:left w:w="105" w:type="dxa"/>
              <w:right w:w="105" w:type="dxa"/>
            </w:tcMar>
            <w:vAlign w:val="center"/>
          </w:tcPr>
          <w:p w14:paraId="42E0D731" w14:textId="77777777" w:rsidR="00684BFB" w:rsidRPr="00307043" w:rsidRDefault="00977696">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46 (65.7)</w:t>
            </w:r>
          </w:p>
        </w:tc>
        <w:tc>
          <w:tcPr>
            <w:tcW w:w="1605" w:type="dxa"/>
            <w:tcBorders>
              <w:top w:val="nil"/>
              <w:left w:val="nil"/>
              <w:bottom w:val="nil"/>
              <w:right w:val="single" w:sz="6" w:space="0" w:color="auto"/>
            </w:tcBorders>
            <w:tcMar>
              <w:left w:w="105" w:type="dxa"/>
              <w:right w:w="105" w:type="dxa"/>
            </w:tcMar>
            <w:vAlign w:val="center"/>
          </w:tcPr>
          <w:p w14:paraId="34D7C4E3" w14:textId="77777777" w:rsidR="00684BFB" w:rsidRPr="00307043" w:rsidRDefault="00977696">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20 (21.7)</w:t>
            </w:r>
          </w:p>
        </w:tc>
        <w:tc>
          <w:tcPr>
            <w:tcW w:w="990" w:type="dxa"/>
            <w:tcBorders>
              <w:top w:val="nil"/>
              <w:left w:val="single" w:sz="6" w:space="0" w:color="auto"/>
              <w:bottom w:val="nil"/>
              <w:right w:val="nil"/>
            </w:tcBorders>
            <w:tcMar>
              <w:left w:w="105" w:type="dxa"/>
              <w:right w:w="105" w:type="dxa"/>
            </w:tcMar>
            <w:vAlign w:val="center"/>
          </w:tcPr>
          <w:p w14:paraId="3234D315"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r>
      <w:tr w:rsidR="00307043" w:rsidRPr="00307043" w14:paraId="1D8872D8" w14:textId="77777777" w:rsidTr="6D2C0DF0">
        <w:trPr>
          <w:trHeight w:val="300"/>
        </w:trPr>
        <w:tc>
          <w:tcPr>
            <w:tcW w:w="3165" w:type="dxa"/>
            <w:tcBorders>
              <w:top w:val="nil"/>
              <w:left w:val="nil"/>
              <w:bottom w:val="nil"/>
              <w:right w:val="single" w:sz="6" w:space="0" w:color="auto"/>
            </w:tcBorders>
            <w:tcMar>
              <w:left w:w="105" w:type="dxa"/>
              <w:right w:w="105" w:type="dxa"/>
            </w:tcMar>
            <w:vAlign w:val="center"/>
          </w:tcPr>
          <w:p w14:paraId="225EF1EF" w14:textId="77777777" w:rsidR="00684BFB" w:rsidRPr="00307043" w:rsidRDefault="00977696">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Secondary prevention</w:t>
            </w:r>
          </w:p>
        </w:tc>
        <w:tc>
          <w:tcPr>
            <w:tcW w:w="1605" w:type="dxa"/>
            <w:tcBorders>
              <w:top w:val="nil"/>
              <w:left w:val="single" w:sz="6" w:space="0" w:color="auto"/>
              <w:bottom w:val="nil"/>
              <w:right w:val="single" w:sz="6" w:space="0" w:color="auto"/>
            </w:tcBorders>
            <w:tcMar>
              <w:left w:w="105" w:type="dxa"/>
              <w:right w:w="105" w:type="dxa"/>
            </w:tcMar>
            <w:vAlign w:val="center"/>
          </w:tcPr>
          <w:p w14:paraId="70654B8E" w14:textId="77777777" w:rsidR="00684BFB" w:rsidRPr="00307043" w:rsidRDefault="00977696">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15 (9.3)</w:t>
            </w:r>
          </w:p>
        </w:tc>
        <w:tc>
          <w:tcPr>
            <w:tcW w:w="1605" w:type="dxa"/>
            <w:tcBorders>
              <w:top w:val="nil"/>
              <w:left w:val="single" w:sz="6" w:space="0" w:color="auto"/>
              <w:bottom w:val="nil"/>
              <w:right w:val="nil"/>
            </w:tcBorders>
            <w:tcMar>
              <w:left w:w="105" w:type="dxa"/>
              <w:right w:w="105" w:type="dxa"/>
            </w:tcMar>
            <w:vAlign w:val="center"/>
          </w:tcPr>
          <w:p w14:paraId="425B232A" w14:textId="77777777" w:rsidR="00684BFB" w:rsidRPr="00307043" w:rsidRDefault="00977696">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9 (12.9)</w:t>
            </w:r>
          </w:p>
        </w:tc>
        <w:tc>
          <w:tcPr>
            <w:tcW w:w="1605" w:type="dxa"/>
            <w:tcBorders>
              <w:top w:val="nil"/>
              <w:left w:val="nil"/>
              <w:bottom w:val="nil"/>
              <w:right w:val="single" w:sz="6" w:space="0" w:color="auto"/>
            </w:tcBorders>
            <w:tcMar>
              <w:left w:w="105" w:type="dxa"/>
              <w:right w:w="105" w:type="dxa"/>
            </w:tcMar>
            <w:vAlign w:val="center"/>
          </w:tcPr>
          <w:p w14:paraId="0C962B3B" w14:textId="77777777" w:rsidR="00684BFB" w:rsidRPr="00307043" w:rsidRDefault="00977696">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6 (6.5)</w:t>
            </w:r>
          </w:p>
        </w:tc>
        <w:tc>
          <w:tcPr>
            <w:tcW w:w="990" w:type="dxa"/>
            <w:tcBorders>
              <w:top w:val="nil"/>
              <w:left w:val="single" w:sz="6" w:space="0" w:color="auto"/>
              <w:bottom w:val="nil"/>
              <w:right w:val="nil"/>
            </w:tcBorders>
            <w:tcMar>
              <w:left w:w="105" w:type="dxa"/>
              <w:right w:w="105" w:type="dxa"/>
            </w:tcMar>
            <w:vAlign w:val="center"/>
          </w:tcPr>
          <w:p w14:paraId="16D784F0"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r>
      <w:tr w:rsidR="00307043" w:rsidRPr="00307043" w14:paraId="1F3D5A45" w14:textId="77777777" w:rsidTr="6D2C0DF0">
        <w:trPr>
          <w:trHeight w:val="300"/>
        </w:trPr>
        <w:tc>
          <w:tcPr>
            <w:tcW w:w="3165" w:type="dxa"/>
            <w:tcBorders>
              <w:top w:val="nil"/>
              <w:left w:val="nil"/>
              <w:bottom w:val="single" w:sz="6" w:space="0" w:color="auto"/>
              <w:right w:val="single" w:sz="6" w:space="0" w:color="auto"/>
            </w:tcBorders>
            <w:tcMar>
              <w:left w:w="105" w:type="dxa"/>
              <w:right w:w="105" w:type="dxa"/>
            </w:tcMar>
            <w:vAlign w:val="center"/>
          </w:tcPr>
          <w:p w14:paraId="3C213AAF" w14:textId="77777777" w:rsidR="00684BFB" w:rsidRPr="00307043" w:rsidRDefault="00977696">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Tertiary prevention</w:t>
            </w:r>
          </w:p>
        </w:tc>
        <w:tc>
          <w:tcPr>
            <w:tcW w:w="1605" w:type="dxa"/>
            <w:tcBorders>
              <w:top w:val="nil"/>
              <w:left w:val="single" w:sz="6" w:space="0" w:color="auto"/>
              <w:bottom w:val="single" w:sz="6" w:space="0" w:color="auto"/>
              <w:right w:val="single" w:sz="6" w:space="0" w:color="auto"/>
            </w:tcBorders>
            <w:tcMar>
              <w:left w:w="105" w:type="dxa"/>
              <w:right w:w="105" w:type="dxa"/>
            </w:tcMar>
            <w:vAlign w:val="center"/>
          </w:tcPr>
          <w:p w14:paraId="2CD59828" w14:textId="77777777" w:rsidR="00684BFB" w:rsidRPr="00307043" w:rsidRDefault="00977696">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81 (50.0)</w:t>
            </w:r>
          </w:p>
        </w:tc>
        <w:tc>
          <w:tcPr>
            <w:tcW w:w="1605" w:type="dxa"/>
            <w:tcBorders>
              <w:top w:val="nil"/>
              <w:left w:val="single" w:sz="6" w:space="0" w:color="auto"/>
              <w:bottom w:val="single" w:sz="6" w:space="0" w:color="auto"/>
              <w:right w:val="nil"/>
            </w:tcBorders>
            <w:tcMar>
              <w:left w:w="105" w:type="dxa"/>
              <w:right w:w="105" w:type="dxa"/>
            </w:tcMar>
            <w:vAlign w:val="center"/>
          </w:tcPr>
          <w:p w14:paraId="60AAB14D" w14:textId="77777777" w:rsidR="00684BFB" w:rsidRPr="00307043" w:rsidRDefault="00977696">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15 (21.4)</w:t>
            </w:r>
          </w:p>
        </w:tc>
        <w:tc>
          <w:tcPr>
            <w:tcW w:w="1605" w:type="dxa"/>
            <w:tcBorders>
              <w:top w:val="nil"/>
              <w:left w:val="nil"/>
              <w:bottom w:val="single" w:sz="6" w:space="0" w:color="auto"/>
              <w:right w:val="single" w:sz="6" w:space="0" w:color="auto"/>
            </w:tcBorders>
            <w:tcMar>
              <w:left w:w="105" w:type="dxa"/>
              <w:right w:w="105" w:type="dxa"/>
            </w:tcMar>
            <w:vAlign w:val="center"/>
          </w:tcPr>
          <w:p w14:paraId="0168F319" w14:textId="77777777" w:rsidR="00684BFB" w:rsidRPr="00307043" w:rsidRDefault="00977696">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66 (71.7)</w:t>
            </w:r>
          </w:p>
        </w:tc>
        <w:tc>
          <w:tcPr>
            <w:tcW w:w="990" w:type="dxa"/>
            <w:tcBorders>
              <w:top w:val="nil"/>
              <w:left w:val="single" w:sz="6" w:space="0" w:color="auto"/>
              <w:bottom w:val="single" w:sz="6" w:space="0" w:color="auto"/>
              <w:right w:val="nil"/>
            </w:tcBorders>
            <w:tcMar>
              <w:left w:w="105" w:type="dxa"/>
              <w:right w:w="105" w:type="dxa"/>
            </w:tcMar>
            <w:vAlign w:val="center"/>
          </w:tcPr>
          <w:p w14:paraId="3041F69B"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r>
      <w:tr w:rsidR="00307043" w:rsidRPr="00307043" w14:paraId="41EA3E87" w14:textId="77777777" w:rsidTr="6D2C0DF0">
        <w:trPr>
          <w:trHeight w:val="300"/>
        </w:trPr>
        <w:tc>
          <w:tcPr>
            <w:tcW w:w="3165" w:type="dxa"/>
            <w:tcBorders>
              <w:top w:val="single" w:sz="6" w:space="0" w:color="auto"/>
              <w:left w:val="nil"/>
              <w:bottom w:val="nil"/>
              <w:right w:val="single" w:sz="6" w:space="0" w:color="auto"/>
            </w:tcBorders>
            <w:tcMar>
              <w:left w:w="105" w:type="dxa"/>
              <w:right w:w="105" w:type="dxa"/>
            </w:tcMar>
            <w:vAlign w:val="center"/>
          </w:tcPr>
          <w:p w14:paraId="6C3270C2"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Modifiable risk factor, n (%)</w:t>
            </w:r>
          </w:p>
        </w:tc>
        <w:tc>
          <w:tcPr>
            <w:tcW w:w="1605" w:type="dxa"/>
            <w:tcBorders>
              <w:top w:val="single" w:sz="6" w:space="0" w:color="auto"/>
              <w:left w:val="single" w:sz="6" w:space="0" w:color="auto"/>
              <w:bottom w:val="nil"/>
              <w:right w:val="single" w:sz="6" w:space="0" w:color="auto"/>
            </w:tcBorders>
            <w:tcMar>
              <w:left w:w="105" w:type="dxa"/>
              <w:right w:w="105" w:type="dxa"/>
            </w:tcMar>
            <w:vAlign w:val="center"/>
          </w:tcPr>
          <w:p w14:paraId="6EC513D8"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05" w:type="dxa"/>
            <w:tcBorders>
              <w:top w:val="single" w:sz="6" w:space="0" w:color="auto"/>
              <w:left w:val="single" w:sz="6" w:space="0" w:color="auto"/>
              <w:bottom w:val="nil"/>
              <w:right w:val="nil"/>
            </w:tcBorders>
            <w:tcMar>
              <w:left w:w="105" w:type="dxa"/>
              <w:right w:w="105" w:type="dxa"/>
            </w:tcMar>
            <w:vAlign w:val="center"/>
          </w:tcPr>
          <w:p w14:paraId="69B8F1A4"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05" w:type="dxa"/>
            <w:tcBorders>
              <w:top w:val="single" w:sz="6" w:space="0" w:color="auto"/>
              <w:left w:val="nil"/>
              <w:bottom w:val="nil"/>
              <w:right w:val="single" w:sz="6" w:space="0" w:color="auto"/>
            </w:tcBorders>
            <w:tcMar>
              <w:left w:w="105" w:type="dxa"/>
              <w:right w:w="105" w:type="dxa"/>
            </w:tcMar>
            <w:vAlign w:val="center"/>
          </w:tcPr>
          <w:p w14:paraId="3B1305B1"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990" w:type="dxa"/>
            <w:tcBorders>
              <w:top w:val="single" w:sz="6" w:space="0" w:color="auto"/>
              <w:left w:val="single" w:sz="6" w:space="0" w:color="auto"/>
              <w:bottom w:val="nil"/>
              <w:right w:val="nil"/>
            </w:tcBorders>
            <w:tcMar>
              <w:left w:w="105" w:type="dxa"/>
              <w:right w:w="105" w:type="dxa"/>
            </w:tcMar>
            <w:vAlign w:val="center"/>
          </w:tcPr>
          <w:p w14:paraId="0B39929A" w14:textId="77777777" w:rsidR="00684BFB" w:rsidRPr="00307043" w:rsidRDefault="00684BFB">
            <w:pPr>
              <w:spacing w:before="36" w:after="36"/>
              <w:rPr>
                <w:rFonts w:ascii="Times New Roman" w:eastAsia="Times New Roman" w:hAnsi="Times New Roman" w:cs="Times New Roman"/>
                <w:sz w:val="20"/>
                <w:szCs w:val="20"/>
              </w:rPr>
            </w:pPr>
          </w:p>
        </w:tc>
      </w:tr>
      <w:tr w:rsidR="00307043" w:rsidRPr="00307043" w14:paraId="4ECB0B20" w14:textId="77777777" w:rsidTr="6D2C0DF0">
        <w:trPr>
          <w:trHeight w:val="300"/>
        </w:trPr>
        <w:tc>
          <w:tcPr>
            <w:tcW w:w="3165" w:type="dxa"/>
            <w:tcBorders>
              <w:top w:val="nil"/>
              <w:left w:val="nil"/>
              <w:bottom w:val="nil"/>
              <w:right w:val="single" w:sz="6" w:space="0" w:color="auto"/>
            </w:tcBorders>
            <w:tcMar>
              <w:left w:w="105" w:type="dxa"/>
              <w:right w:w="105" w:type="dxa"/>
            </w:tcMar>
            <w:vAlign w:val="center"/>
          </w:tcPr>
          <w:p w14:paraId="5CAAD399" w14:textId="77777777" w:rsidR="00684BFB" w:rsidRPr="00307043" w:rsidRDefault="00977696">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Alcohol</w:t>
            </w:r>
          </w:p>
        </w:tc>
        <w:tc>
          <w:tcPr>
            <w:tcW w:w="1605" w:type="dxa"/>
            <w:tcBorders>
              <w:top w:val="nil"/>
              <w:left w:val="single" w:sz="6" w:space="0" w:color="auto"/>
              <w:bottom w:val="nil"/>
              <w:right w:val="single" w:sz="6" w:space="0" w:color="auto"/>
            </w:tcBorders>
            <w:tcMar>
              <w:left w:w="105" w:type="dxa"/>
              <w:right w:w="105" w:type="dxa"/>
            </w:tcMar>
            <w:vAlign w:val="center"/>
          </w:tcPr>
          <w:p w14:paraId="7D006AE8"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c>
          <w:tcPr>
            <w:tcW w:w="1605" w:type="dxa"/>
            <w:tcBorders>
              <w:top w:val="nil"/>
              <w:left w:val="single" w:sz="6" w:space="0" w:color="auto"/>
              <w:bottom w:val="nil"/>
              <w:right w:val="nil"/>
            </w:tcBorders>
            <w:tcMar>
              <w:left w:w="105" w:type="dxa"/>
              <w:right w:w="105" w:type="dxa"/>
            </w:tcMar>
            <w:vAlign w:val="center"/>
          </w:tcPr>
          <w:p w14:paraId="4588CE06"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4 (5.7)</w:t>
            </w:r>
          </w:p>
        </w:tc>
        <w:tc>
          <w:tcPr>
            <w:tcW w:w="1605" w:type="dxa"/>
            <w:tcBorders>
              <w:top w:val="nil"/>
              <w:left w:val="nil"/>
              <w:bottom w:val="nil"/>
              <w:right w:val="single" w:sz="6" w:space="0" w:color="auto"/>
            </w:tcBorders>
            <w:tcMar>
              <w:left w:w="105" w:type="dxa"/>
              <w:right w:w="105" w:type="dxa"/>
            </w:tcMar>
            <w:vAlign w:val="center"/>
          </w:tcPr>
          <w:p w14:paraId="1BFD355D"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c>
          <w:tcPr>
            <w:tcW w:w="990" w:type="dxa"/>
            <w:tcBorders>
              <w:top w:val="nil"/>
              <w:left w:val="single" w:sz="6" w:space="0" w:color="auto"/>
              <w:bottom w:val="nil"/>
              <w:right w:val="nil"/>
            </w:tcBorders>
            <w:tcMar>
              <w:left w:w="105" w:type="dxa"/>
              <w:right w:w="105" w:type="dxa"/>
            </w:tcMar>
            <w:vAlign w:val="center"/>
          </w:tcPr>
          <w:p w14:paraId="19F0A587"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r>
      <w:tr w:rsidR="00307043" w:rsidRPr="00307043" w14:paraId="750C0DF4" w14:textId="77777777" w:rsidTr="6D2C0DF0">
        <w:trPr>
          <w:trHeight w:val="300"/>
        </w:trPr>
        <w:tc>
          <w:tcPr>
            <w:tcW w:w="3165" w:type="dxa"/>
            <w:tcBorders>
              <w:top w:val="nil"/>
              <w:left w:val="nil"/>
              <w:bottom w:val="single" w:sz="6" w:space="0" w:color="auto"/>
              <w:right w:val="single" w:sz="6" w:space="0" w:color="auto"/>
            </w:tcBorders>
            <w:tcMar>
              <w:left w:w="105" w:type="dxa"/>
              <w:right w:w="105" w:type="dxa"/>
            </w:tcMar>
            <w:vAlign w:val="center"/>
          </w:tcPr>
          <w:p w14:paraId="1ED9CF68" w14:textId="77777777" w:rsidR="00684BFB" w:rsidRPr="00307043" w:rsidRDefault="00977696">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Tobacco use</w:t>
            </w:r>
          </w:p>
        </w:tc>
        <w:tc>
          <w:tcPr>
            <w:tcW w:w="1605" w:type="dxa"/>
            <w:tcBorders>
              <w:top w:val="nil"/>
              <w:left w:val="single" w:sz="6" w:space="0" w:color="auto"/>
              <w:bottom w:val="single" w:sz="6" w:space="0" w:color="auto"/>
              <w:right w:val="single" w:sz="6" w:space="0" w:color="auto"/>
            </w:tcBorders>
            <w:tcMar>
              <w:left w:w="105" w:type="dxa"/>
              <w:right w:w="105" w:type="dxa"/>
            </w:tcMar>
            <w:vAlign w:val="center"/>
          </w:tcPr>
          <w:p w14:paraId="0A0824AB"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c>
          <w:tcPr>
            <w:tcW w:w="1605" w:type="dxa"/>
            <w:tcBorders>
              <w:top w:val="nil"/>
              <w:left w:val="single" w:sz="6" w:space="0" w:color="auto"/>
              <w:bottom w:val="single" w:sz="6" w:space="0" w:color="auto"/>
              <w:right w:val="nil"/>
            </w:tcBorders>
            <w:tcMar>
              <w:left w:w="105" w:type="dxa"/>
              <w:right w:w="105" w:type="dxa"/>
            </w:tcMar>
            <w:vAlign w:val="center"/>
          </w:tcPr>
          <w:p w14:paraId="55216A26" w14:textId="561499BE" w:rsidR="00684BFB" w:rsidRPr="00307043" w:rsidRDefault="54F32C53">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66 (94.3)</w:t>
            </w:r>
          </w:p>
        </w:tc>
        <w:tc>
          <w:tcPr>
            <w:tcW w:w="1605" w:type="dxa"/>
            <w:tcBorders>
              <w:top w:val="nil"/>
              <w:left w:val="nil"/>
              <w:bottom w:val="single" w:sz="6" w:space="0" w:color="auto"/>
              <w:right w:val="single" w:sz="6" w:space="0" w:color="auto"/>
            </w:tcBorders>
            <w:tcMar>
              <w:left w:w="105" w:type="dxa"/>
              <w:right w:w="105" w:type="dxa"/>
            </w:tcMar>
            <w:vAlign w:val="center"/>
          </w:tcPr>
          <w:p w14:paraId="6913A2A6"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c>
          <w:tcPr>
            <w:tcW w:w="990" w:type="dxa"/>
            <w:tcBorders>
              <w:top w:val="nil"/>
              <w:left w:val="single" w:sz="6" w:space="0" w:color="auto"/>
              <w:bottom w:val="single" w:sz="6" w:space="0" w:color="auto"/>
              <w:right w:val="nil"/>
            </w:tcBorders>
            <w:tcMar>
              <w:left w:w="105" w:type="dxa"/>
              <w:right w:w="105" w:type="dxa"/>
            </w:tcMar>
            <w:vAlign w:val="center"/>
          </w:tcPr>
          <w:p w14:paraId="7713D7C8"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r>
      <w:tr w:rsidR="00307043" w:rsidRPr="00307043" w14:paraId="00886F77" w14:textId="77777777" w:rsidTr="6D2C0DF0">
        <w:trPr>
          <w:trHeight w:val="300"/>
        </w:trPr>
        <w:tc>
          <w:tcPr>
            <w:tcW w:w="3165" w:type="dxa"/>
            <w:tcBorders>
              <w:top w:val="single" w:sz="6" w:space="0" w:color="auto"/>
              <w:left w:val="nil"/>
              <w:bottom w:val="nil"/>
              <w:right w:val="single" w:sz="6" w:space="0" w:color="auto"/>
            </w:tcBorders>
            <w:tcMar>
              <w:left w:w="105" w:type="dxa"/>
              <w:right w:w="105" w:type="dxa"/>
            </w:tcMar>
            <w:vAlign w:val="center"/>
          </w:tcPr>
          <w:p w14:paraId="01CF888C" w14:textId="7A55692D"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With LoE, n (%)</w:t>
            </w:r>
          </w:p>
        </w:tc>
        <w:tc>
          <w:tcPr>
            <w:tcW w:w="1605" w:type="dxa"/>
            <w:tcBorders>
              <w:top w:val="single" w:sz="6" w:space="0" w:color="auto"/>
              <w:left w:val="single" w:sz="6" w:space="0" w:color="auto"/>
              <w:bottom w:val="nil"/>
              <w:right w:val="single" w:sz="6" w:space="0" w:color="auto"/>
            </w:tcBorders>
            <w:tcMar>
              <w:left w:w="105" w:type="dxa"/>
              <w:right w:w="105" w:type="dxa"/>
            </w:tcMar>
            <w:vAlign w:val="center"/>
          </w:tcPr>
          <w:p w14:paraId="416EDB25"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120 (74.1)</w:t>
            </w:r>
          </w:p>
        </w:tc>
        <w:tc>
          <w:tcPr>
            <w:tcW w:w="1605" w:type="dxa"/>
            <w:tcBorders>
              <w:top w:val="single" w:sz="6" w:space="0" w:color="auto"/>
              <w:left w:val="single" w:sz="6" w:space="0" w:color="auto"/>
              <w:bottom w:val="nil"/>
              <w:right w:val="nil"/>
            </w:tcBorders>
            <w:tcMar>
              <w:left w:w="105" w:type="dxa"/>
              <w:right w:w="105" w:type="dxa"/>
            </w:tcMar>
            <w:vAlign w:val="center"/>
          </w:tcPr>
          <w:p w14:paraId="581526B3"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60 (85.7)</w:t>
            </w:r>
          </w:p>
        </w:tc>
        <w:tc>
          <w:tcPr>
            <w:tcW w:w="1605" w:type="dxa"/>
            <w:tcBorders>
              <w:top w:val="single" w:sz="6" w:space="0" w:color="auto"/>
              <w:left w:val="nil"/>
              <w:bottom w:val="nil"/>
              <w:right w:val="single" w:sz="6" w:space="0" w:color="auto"/>
            </w:tcBorders>
            <w:tcMar>
              <w:left w:w="105" w:type="dxa"/>
              <w:right w:w="105" w:type="dxa"/>
            </w:tcMar>
            <w:vAlign w:val="center"/>
          </w:tcPr>
          <w:p w14:paraId="01941A04"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60 (65.2)</w:t>
            </w:r>
          </w:p>
        </w:tc>
        <w:tc>
          <w:tcPr>
            <w:tcW w:w="990" w:type="dxa"/>
            <w:tcBorders>
              <w:top w:val="single" w:sz="6" w:space="0" w:color="auto"/>
              <w:left w:val="single" w:sz="6" w:space="0" w:color="auto"/>
              <w:bottom w:val="nil"/>
              <w:right w:val="nil"/>
            </w:tcBorders>
            <w:tcMar>
              <w:left w:w="105" w:type="dxa"/>
              <w:right w:w="105" w:type="dxa"/>
            </w:tcMar>
            <w:vAlign w:val="center"/>
          </w:tcPr>
          <w:p w14:paraId="7DC173FD"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0.003</w:t>
            </w:r>
          </w:p>
        </w:tc>
      </w:tr>
      <w:tr w:rsidR="00307043" w:rsidRPr="00307043" w14:paraId="7D3FAE11" w14:textId="77777777" w:rsidTr="6D2C0DF0">
        <w:trPr>
          <w:trHeight w:val="300"/>
        </w:trPr>
        <w:tc>
          <w:tcPr>
            <w:tcW w:w="3165" w:type="dxa"/>
            <w:tcBorders>
              <w:top w:val="nil"/>
              <w:left w:val="nil"/>
              <w:bottom w:val="nil"/>
              <w:right w:val="single" w:sz="6" w:space="0" w:color="auto"/>
            </w:tcBorders>
            <w:tcMar>
              <w:left w:w="105" w:type="dxa"/>
              <w:right w:w="105" w:type="dxa"/>
            </w:tcMar>
            <w:vAlign w:val="center"/>
          </w:tcPr>
          <w:p w14:paraId="2324817A" w14:textId="2AB944F0" w:rsidR="00684BFB" w:rsidRPr="00307043" w:rsidRDefault="00977696">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 xml:space="preserve">Tier </w:t>
            </w:r>
            <w:r w:rsidR="00A6337A" w:rsidRPr="00307043">
              <w:rPr>
                <w:rFonts w:ascii="Times New Roman" w:eastAsia="Times New Roman" w:hAnsi="Times New Roman" w:cs="Times New Roman"/>
                <w:b/>
                <w:bCs/>
                <w:sz w:val="20"/>
                <w:szCs w:val="20"/>
                <w:lang w:val="en-US"/>
              </w:rPr>
              <w:t>LoE</w:t>
            </w:r>
          </w:p>
        </w:tc>
        <w:tc>
          <w:tcPr>
            <w:tcW w:w="1605" w:type="dxa"/>
            <w:tcBorders>
              <w:top w:val="nil"/>
              <w:left w:val="single" w:sz="6" w:space="0" w:color="auto"/>
              <w:bottom w:val="nil"/>
              <w:right w:val="single" w:sz="6" w:space="0" w:color="auto"/>
            </w:tcBorders>
            <w:tcMar>
              <w:left w:w="105" w:type="dxa"/>
              <w:right w:w="105" w:type="dxa"/>
            </w:tcMar>
            <w:vAlign w:val="center"/>
          </w:tcPr>
          <w:p w14:paraId="356BEFA6"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05" w:type="dxa"/>
            <w:tcBorders>
              <w:top w:val="nil"/>
              <w:left w:val="single" w:sz="6" w:space="0" w:color="auto"/>
              <w:bottom w:val="nil"/>
              <w:right w:val="nil"/>
            </w:tcBorders>
            <w:tcMar>
              <w:left w:w="105" w:type="dxa"/>
              <w:right w:w="105" w:type="dxa"/>
            </w:tcMar>
            <w:vAlign w:val="center"/>
          </w:tcPr>
          <w:p w14:paraId="322D21DD"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05" w:type="dxa"/>
            <w:tcBorders>
              <w:top w:val="nil"/>
              <w:left w:val="nil"/>
              <w:bottom w:val="nil"/>
              <w:right w:val="single" w:sz="6" w:space="0" w:color="auto"/>
            </w:tcBorders>
            <w:tcMar>
              <w:left w:w="105" w:type="dxa"/>
              <w:right w:w="105" w:type="dxa"/>
            </w:tcMar>
            <w:vAlign w:val="center"/>
          </w:tcPr>
          <w:p w14:paraId="4CFB99D2"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990" w:type="dxa"/>
            <w:tcBorders>
              <w:top w:val="nil"/>
              <w:left w:val="single" w:sz="6" w:space="0" w:color="auto"/>
              <w:bottom w:val="nil"/>
              <w:right w:val="nil"/>
            </w:tcBorders>
            <w:tcMar>
              <w:left w:w="105" w:type="dxa"/>
              <w:right w:w="105" w:type="dxa"/>
            </w:tcMar>
            <w:vAlign w:val="center"/>
          </w:tcPr>
          <w:p w14:paraId="3039951D"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0.002</w:t>
            </w:r>
          </w:p>
        </w:tc>
      </w:tr>
      <w:tr w:rsidR="00307043" w:rsidRPr="00307043" w14:paraId="20EC20BB" w14:textId="77777777" w:rsidTr="6D2C0DF0">
        <w:trPr>
          <w:trHeight w:val="300"/>
        </w:trPr>
        <w:tc>
          <w:tcPr>
            <w:tcW w:w="3165" w:type="dxa"/>
            <w:tcBorders>
              <w:top w:val="nil"/>
              <w:left w:val="nil"/>
              <w:bottom w:val="nil"/>
              <w:right w:val="single" w:sz="6" w:space="0" w:color="auto"/>
            </w:tcBorders>
            <w:tcMar>
              <w:left w:w="105" w:type="dxa"/>
              <w:right w:w="105" w:type="dxa"/>
            </w:tcMar>
            <w:vAlign w:val="center"/>
          </w:tcPr>
          <w:p w14:paraId="1E395312" w14:textId="77777777" w:rsidR="00684BFB" w:rsidRPr="00307043" w:rsidRDefault="00977696">
            <w:pPr>
              <w:spacing w:before="36" w:after="36"/>
              <w:ind w:left="567"/>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1</w:t>
            </w:r>
          </w:p>
        </w:tc>
        <w:tc>
          <w:tcPr>
            <w:tcW w:w="1605" w:type="dxa"/>
            <w:tcBorders>
              <w:top w:val="nil"/>
              <w:left w:val="single" w:sz="6" w:space="0" w:color="auto"/>
              <w:bottom w:val="nil"/>
              <w:right w:val="single" w:sz="6" w:space="0" w:color="auto"/>
            </w:tcBorders>
            <w:tcMar>
              <w:left w:w="105" w:type="dxa"/>
              <w:right w:w="105" w:type="dxa"/>
            </w:tcMar>
            <w:vAlign w:val="center"/>
          </w:tcPr>
          <w:p w14:paraId="28745A91"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35 (29.2)</w:t>
            </w:r>
          </w:p>
        </w:tc>
        <w:tc>
          <w:tcPr>
            <w:tcW w:w="1605" w:type="dxa"/>
            <w:tcBorders>
              <w:top w:val="nil"/>
              <w:left w:val="single" w:sz="6" w:space="0" w:color="auto"/>
              <w:bottom w:val="nil"/>
              <w:right w:val="nil"/>
            </w:tcBorders>
            <w:tcMar>
              <w:left w:w="105" w:type="dxa"/>
              <w:right w:w="105" w:type="dxa"/>
            </w:tcMar>
            <w:vAlign w:val="center"/>
          </w:tcPr>
          <w:p w14:paraId="4980186B"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15 (25.0)</w:t>
            </w:r>
          </w:p>
        </w:tc>
        <w:tc>
          <w:tcPr>
            <w:tcW w:w="1605" w:type="dxa"/>
            <w:tcBorders>
              <w:top w:val="nil"/>
              <w:left w:val="nil"/>
              <w:bottom w:val="nil"/>
              <w:right w:val="single" w:sz="6" w:space="0" w:color="auto"/>
            </w:tcBorders>
            <w:tcMar>
              <w:left w:w="105" w:type="dxa"/>
              <w:right w:w="105" w:type="dxa"/>
            </w:tcMar>
            <w:vAlign w:val="center"/>
          </w:tcPr>
          <w:p w14:paraId="39489AF6"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20 (33.3)</w:t>
            </w:r>
          </w:p>
        </w:tc>
        <w:tc>
          <w:tcPr>
            <w:tcW w:w="990" w:type="dxa"/>
            <w:tcBorders>
              <w:top w:val="nil"/>
              <w:left w:val="single" w:sz="6" w:space="0" w:color="auto"/>
              <w:bottom w:val="nil"/>
              <w:right w:val="nil"/>
            </w:tcBorders>
            <w:tcMar>
              <w:left w:w="105" w:type="dxa"/>
              <w:right w:w="105" w:type="dxa"/>
            </w:tcMar>
            <w:vAlign w:val="center"/>
          </w:tcPr>
          <w:p w14:paraId="69D9DA7A"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r>
      <w:tr w:rsidR="00307043" w:rsidRPr="00307043" w14:paraId="122B7FA0" w14:textId="77777777" w:rsidTr="6D2C0DF0">
        <w:trPr>
          <w:trHeight w:val="300"/>
        </w:trPr>
        <w:tc>
          <w:tcPr>
            <w:tcW w:w="3165" w:type="dxa"/>
            <w:tcBorders>
              <w:top w:val="nil"/>
              <w:left w:val="nil"/>
              <w:bottom w:val="nil"/>
              <w:right w:val="single" w:sz="6" w:space="0" w:color="auto"/>
            </w:tcBorders>
            <w:tcMar>
              <w:left w:w="105" w:type="dxa"/>
              <w:right w:w="105" w:type="dxa"/>
            </w:tcMar>
            <w:vAlign w:val="center"/>
          </w:tcPr>
          <w:p w14:paraId="098BA309" w14:textId="77777777" w:rsidR="00684BFB" w:rsidRPr="00307043" w:rsidRDefault="00977696">
            <w:pPr>
              <w:spacing w:before="36" w:after="36"/>
              <w:ind w:left="567"/>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2</w:t>
            </w:r>
          </w:p>
        </w:tc>
        <w:tc>
          <w:tcPr>
            <w:tcW w:w="1605" w:type="dxa"/>
            <w:tcBorders>
              <w:top w:val="nil"/>
              <w:left w:val="single" w:sz="6" w:space="0" w:color="auto"/>
              <w:bottom w:val="nil"/>
              <w:right w:val="single" w:sz="6" w:space="0" w:color="auto"/>
            </w:tcBorders>
            <w:tcMar>
              <w:left w:w="105" w:type="dxa"/>
              <w:right w:w="105" w:type="dxa"/>
            </w:tcMar>
            <w:vAlign w:val="center"/>
          </w:tcPr>
          <w:p w14:paraId="16C45AAF"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45 (37.5)</w:t>
            </w:r>
          </w:p>
        </w:tc>
        <w:tc>
          <w:tcPr>
            <w:tcW w:w="1605" w:type="dxa"/>
            <w:tcBorders>
              <w:top w:val="nil"/>
              <w:left w:val="single" w:sz="6" w:space="0" w:color="auto"/>
              <w:bottom w:val="nil"/>
              <w:right w:val="nil"/>
            </w:tcBorders>
            <w:tcMar>
              <w:left w:w="105" w:type="dxa"/>
              <w:right w:w="105" w:type="dxa"/>
            </w:tcMar>
            <w:vAlign w:val="center"/>
          </w:tcPr>
          <w:p w14:paraId="3E5BD220"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16 (26.7)</w:t>
            </w:r>
          </w:p>
        </w:tc>
        <w:tc>
          <w:tcPr>
            <w:tcW w:w="1605" w:type="dxa"/>
            <w:tcBorders>
              <w:top w:val="nil"/>
              <w:left w:val="nil"/>
              <w:bottom w:val="nil"/>
              <w:right w:val="single" w:sz="6" w:space="0" w:color="auto"/>
            </w:tcBorders>
            <w:tcMar>
              <w:left w:w="105" w:type="dxa"/>
              <w:right w:w="105" w:type="dxa"/>
            </w:tcMar>
            <w:vAlign w:val="center"/>
          </w:tcPr>
          <w:p w14:paraId="5184A1A9"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29 (48.3)</w:t>
            </w:r>
          </w:p>
        </w:tc>
        <w:tc>
          <w:tcPr>
            <w:tcW w:w="990" w:type="dxa"/>
            <w:tcBorders>
              <w:top w:val="nil"/>
              <w:left w:val="single" w:sz="6" w:space="0" w:color="auto"/>
              <w:bottom w:val="nil"/>
              <w:right w:val="nil"/>
            </w:tcBorders>
            <w:tcMar>
              <w:left w:w="105" w:type="dxa"/>
              <w:right w:w="105" w:type="dxa"/>
            </w:tcMar>
            <w:vAlign w:val="center"/>
          </w:tcPr>
          <w:p w14:paraId="2DBEED7E"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r>
      <w:tr w:rsidR="00684BFB" w:rsidRPr="00307043" w14:paraId="41EA79E6" w14:textId="77777777" w:rsidTr="6D2C0DF0">
        <w:trPr>
          <w:trHeight w:val="300"/>
        </w:trPr>
        <w:tc>
          <w:tcPr>
            <w:tcW w:w="3165" w:type="dxa"/>
            <w:tcBorders>
              <w:top w:val="nil"/>
              <w:left w:val="nil"/>
              <w:bottom w:val="nil"/>
              <w:right w:val="single" w:sz="6" w:space="0" w:color="auto"/>
            </w:tcBorders>
            <w:tcMar>
              <w:left w:w="105" w:type="dxa"/>
              <w:right w:w="105" w:type="dxa"/>
            </w:tcMar>
            <w:vAlign w:val="center"/>
          </w:tcPr>
          <w:p w14:paraId="411DB4DA" w14:textId="77777777" w:rsidR="00684BFB" w:rsidRPr="00307043" w:rsidRDefault="00977696">
            <w:pPr>
              <w:spacing w:before="36" w:after="36"/>
              <w:ind w:left="567"/>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3</w:t>
            </w:r>
          </w:p>
        </w:tc>
        <w:tc>
          <w:tcPr>
            <w:tcW w:w="1605" w:type="dxa"/>
            <w:tcBorders>
              <w:top w:val="nil"/>
              <w:left w:val="single" w:sz="6" w:space="0" w:color="auto"/>
              <w:bottom w:val="nil"/>
              <w:right w:val="single" w:sz="6" w:space="0" w:color="auto"/>
            </w:tcBorders>
            <w:tcMar>
              <w:left w:w="105" w:type="dxa"/>
              <w:right w:w="105" w:type="dxa"/>
            </w:tcMar>
            <w:vAlign w:val="center"/>
          </w:tcPr>
          <w:p w14:paraId="45902D69"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40 (33.3)</w:t>
            </w:r>
          </w:p>
        </w:tc>
        <w:tc>
          <w:tcPr>
            <w:tcW w:w="1605" w:type="dxa"/>
            <w:tcBorders>
              <w:top w:val="nil"/>
              <w:left w:val="single" w:sz="6" w:space="0" w:color="auto"/>
              <w:bottom w:val="nil"/>
              <w:right w:val="nil"/>
            </w:tcBorders>
            <w:tcMar>
              <w:left w:w="105" w:type="dxa"/>
              <w:right w:w="105" w:type="dxa"/>
            </w:tcMar>
            <w:vAlign w:val="center"/>
          </w:tcPr>
          <w:p w14:paraId="7A34B9FA"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29 (48.3)</w:t>
            </w:r>
          </w:p>
        </w:tc>
        <w:tc>
          <w:tcPr>
            <w:tcW w:w="1605" w:type="dxa"/>
            <w:tcBorders>
              <w:top w:val="nil"/>
              <w:left w:val="nil"/>
              <w:bottom w:val="nil"/>
              <w:right w:val="single" w:sz="6" w:space="0" w:color="auto"/>
            </w:tcBorders>
            <w:tcMar>
              <w:left w:w="105" w:type="dxa"/>
              <w:right w:w="105" w:type="dxa"/>
            </w:tcMar>
            <w:vAlign w:val="center"/>
          </w:tcPr>
          <w:p w14:paraId="0FE16CC1"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11 (18.3) </w:t>
            </w:r>
          </w:p>
        </w:tc>
        <w:tc>
          <w:tcPr>
            <w:tcW w:w="990" w:type="dxa"/>
            <w:tcBorders>
              <w:top w:val="nil"/>
              <w:left w:val="single" w:sz="6" w:space="0" w:color="auto"/>
              <w:bottom w:val="nil"/>
              <w:right w:val="nil"/>
            </w:tcBorders>
            <w:tcMar>
              <w:left w:w="105" w:type="dxa"/>
              <w:right w:w="105" w:type="dxa"/>
            </w:tcMar>
            <w:vAlign w:val="center"/>
          </w:tcPr>
          <w:p w14:paraId="47B2BD63" w14:textId="77777777" w:rsidR="00684BFB" w:rsidRPr="00307043" w:rsidRDefault="00684BFB">
            <w:pPr>
              <w:spacing w:before="36" w:after="36"/>
              <w:rPr>
                <w:rFonts w:ascii="Times New Roman" w:eastAsia="Times New Roman" w:hAnsi="Times New Roman" w:cs="Times New Roman"/>
                <w:sz w:val="20"/>
                <w:szCs w:val="20"/>
              </w:rPr>
            </w:pPr>
          </w:p>
        </w:tc>
      </w:tr>
    </w:tbl>
    <w:p w14:paraId="113CBF23" w14:textId="77777777" w:rsidR="00684BFB" w:rsidRPr="00307043" w:rsidRDefault="00684BFB">
      <w:pPr>
        <w:spacing w:line="360" w:lineRule="auto"/>
        <w:rPr>
          <w:rFonts w:ascii="Times New Roman" w:eastAsia="Times New Roman" w:hAnsi="Times New Roman" w:cs="Times New Roman"/>
        </w:rPr>
      </w:pPr>
    </w:p>
    <w:p w14:paraId="47749551" w14:textId="77777777" w:rsidR="00684BFB" w:rsidRPr="00307043" w:rsidRDefault="00977696">
      <w:pPr>
        <w:rPr>
          <w:rFonts w:ascii="Times New Roman" w:eastAsia="Times New Roman" w:hAnsi="Times New Roman" w:cs="Times New Roman"/>
        </w:rPr>
      </w:pPr>
      <w:r w:rsidRPr="00307043">
        <w:rPr>
          <w:rFonts w:ascii="Times New Roman" w:eastAsia="Times New Roman" w:hAnsi="Times New Roman" w:cs="Times New Roman"/>
        </w:rPr>
        <w:br w:type="page"/>
      </w:r>
    </w:p>
    <w:p w14:paraId="70DBC1E5" w14:textId="06ABD128" w:rsidR="00684BFB" w:rsidRPr="00307043" w:rsidRDefault="54F32C53">
      <w:pPr>
        <w:spacing w:line="360" w:lineRule="auto"/>
        <w:rPr>
          <w:rFonts w:ascii="Times New Roman" w:eastAsia="Times New Roman" w:hAnsi="Times New Roman" w:cs="Times New Roman"/>
          <w:lang w:val="en-US"/>
        </w:rPr>
      </w:pPr>
      <w:r w:rsidRPr="00307043">
        <w:rPr>
          <w:rFonts w:ascii="Times New Roman" w:eastAsia="Times New Roman" w:hAnsi="Times New Roman" w:cs="Times New Roman"/>
          <w:b/>
          <w:bCs/>
          <w:lang w:val="en-US"/>
        </w:rPr>
        <w:lastRenderedPageBreak/>
        <w:t xml:space="preserve">Supplementary table </w:t>
      </w:r>
      <w:r w:rsidR="00A36575" w:rsidRPr="00307043">
        <w:rPr>
          <w:rFonts w:ascii="Times New Roman" w:eastAsia="Times New Roman" w:hAnsi="Times New Roman" w:cs="Times New Roman"/>
          <w:b/>
          <w:bCs/>
          <w:lang w:val="en-US"/>
        </w:rPr>
        <w:t>5</w:t>
      </w:r>
      <w:r w:rsidRPr="00307043">
        <w:rPr>
          <w:rFonts w:ascii="Times New Roman" w:eastAsia="Times New Roman" w:hAnsi="Times New Roman" w:cs="Times New Roman"/>
          <w:b/>
          <w:bCs/>
          <w:lang w:val="en-US"/>
        </w:rPr>
        <w:t xml:space="preserve">. </w:t>
      </w:r>
      <w:r w:rsidRPr="00307043">
        <w:rPr>
          <w:rFonts w:ascii="Times New Roman" w:eastAsia="Times New Roman" w:hAnsi="Times New Roman" w:cs="Times New Roman"/>
          <w:lang w:val="en-US"/>
        </w:rPr>
        <w:t>Characteristics of the approaches addressing chronic respiratory diseases.</w:t>
      </w:r>
    </w:p>
    <w:tbl>
      <w:tblPr>
        <w:tblW w:w="799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090"/>
        <w:gridCol w:w="1635"/>
        <w:gridCol w:w="1635"/>
        <w:gridCol w:w="1635"/>
      </w:tblGrid>
      <w:tr w:rsidR="00307043" w:rsidRPr="00307043" w14:paraId="34CF9C77" w14:textId="77777777" w:rsidTr="6D2C0DF0">
        <w:trPr>
          <w:trHeight w:val="300"/>
        </w:trPr>
        <w:tc>
          <w:tcPr>
            <w:tcW w:w="3090" w:type="dxa"/>
            <w:tcBorders>
              <w:top w:val="nil"/>
              <w:left w:val="nil"/>
              <w:bottom w:val="single" w:sz="6" w:space="0" w:color="auto"/>
              <w:right w:val="single" w:sz="6" w:space="0" w:color="auto"/>
            </w:tcBorders>
            <w:tcMar>
              <w:left w:w="105" w:type="dxa"/>
              <w:right w:w="105" w:type="dxa"/>
            </w:tcMar>
            <w:vAlign w:val="center"/>
          </w:tcPr>
          <w:p w14:paraId="4A0181C9" w14:textId="77777777" w:rsidR="00684BFB" w:rsidRPr="00307043" w:rsidRDefault="00684BFB">
            <w:pPr>
              <w:spacing w:before="36" w:after="36"/>
              <w:rPr>
                <w:rFonts w:ascii="Times New Roman" w:eastAsia="Times New Roman" w:hAnsi="Times New Roman" w:cs="Times New Roman"/>
                <w:sz w:val="20"/>
                <w:szCs w:val="20"/>
                <w:lang w:val="en-US"/>
              </w:rPr>
            </w:pPr>
          </w:p>
        </w:tc>
        <w:tc>
          <w:tcPr>
            <w:tcW w:w="1635" w:type="dxa"/>
            <w:tcBorders>
              <w:top w:val="nil"/>
              <w:left w:val="single" w:sz="6" w:space="0" w:color="auto"/>
              <w:bottom w:val="single" w:sz="6" w:space="0" w:color="auto"/>
              <w:right w:val="single" w:sz="6" w:space="0" w:color="auto"/>
            </w:tcBorders>
            <w:tcMar>
              <w:left w:w="105" w:type="dxa"/>
              <w:right w:w="105" w:type="dxa"/>
            </w:tcMar>
            <w:vAlign w:val="center"/>
          </w:tcPr>
          <w:p w14:paraId="05D04118"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Total approaches</w:t>
            </w:r>
          </w:p>
        </w:tc>
        <w:tc>
          <w:tcPr>
            <w:tcW w:w="1635" w:type="dxa"/>
            <w:tcBorders>
              <w:top w:val="nil"/>
              <w:left w:val="single" w:sz="6" w:space="0" w:color="auto"/>
              <w:bottom w:val="single" w:sz="6" w:space="0" w:color="auto"/>
              <w:right w:val="nil"/>
            </w:tcBorders>
            <w:tcMar>
              <w:left w:w="105" w:type="dxa"/>
              <w:right w:w="105" w:type="dxa"/>
            </w:tcMar>
            <w:vAlign w:val="center"/>
          </w:tcPr>
          <w:p w14:paraId="67E0D17B"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Modifiable risk factors</w:t>
            </w:r>
          </w:p>
        </w:tc>
        <w:tc>
          <w:tcPr>
            <w:tcW w:w="1635" w:type="dxa"/>
            <w:tcBorders>
              <w:top w:val="nil"/>
              <w:left w:val="nil"/>
              <w:bottom w:val="single" w:sz="6" w:space="0" w:color="auto"/>
              <w:right w:val="nil"/>
            </w:tcBorders>
            <w:tcMar>
              <w:left w:w="105" w:type="dxa"/>
              <w:right w:w="105" w:type="dxa"/>
            </w:tcMar>
            <w:vAlign w:val="center"/>
          </w:tcPr>
          <w:p w14:paraId="140C315C" w14:textId="09AE7B6A" w:rsidR="00684BFB" w:rsidRPr="00307043" w:rsidRDefault="12C73864" w:rsidP="6D2C0DF0">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G</w:t>
            </w:r>
            <w:r w:rsidR="00977696" w:rsidRPr="00307043">
              <w:rPr>
                <w:rFonts w:ascii="Times New Roman" w:eastAsia="Times New Roman" w:hAnsi="Times New Roman" w:cs="Times New Roman"/>
                <w:b/>
                <w:bCs/>
                <w:sz w:val="20"/>
                <w:szCs w:val="20"/>
                <w:lang w:val="en-US"/>
              </w:rPr>
              <w:t xml:space="preserve">enetic </w:t>
            </w:r>
            <w:r w:rsidR="58E8B14C" w:rsidRPr="00307043">
              <w:rPr>
                <w:rFonts w:ascii="Times New Roman" w:eastAsia="Times New Roman" w:hAnsi="Times New Roman" w:cs="Times New Roman"/>
                <w:b/>
                <w:bCs/>
                <w:sz w:val="20"/>
                <w:szCs w:val="20"/>
                <w:lang w:val="en-US"/>
              </w:rPr>
              <w:t>factors</w:t>
            </w:r>
          </w:p>
        </w:tc>
      </w:tr>
      <w:tr w:rsidR="00307043" w:rsidRPr="00307043" w14:paraId="719382F3" w14:textId="77777777" w:rsidTr="6D2C0DF0">
        <w:trPr>
          <w:trHeight w:val="300"/>
        </w:trPr>
        <w:tc>
          <w:tcPr>
            <w:tcW w:w="3090" w:type="dxa"/>
            <w:tcBorders>
              <w:top w:val="single" w:sz="6" w:space="0" w:color="auto"/>
              <w:left w:val="nil"/>
              <w:bottom w:val="single" w:sz="6" w:space="0" w:color="auto"/>
              <w:right w:val="single" w:sz="6" w:space="0" w:color="auto"/>
            </w:tcBorders>
            <w:tcMar>
              <w:left w:w="105" w:type="dxa"/>
              <w:right w:w="105" w:type="dxa"/>
            </w:tcMar>
            <w:vAlign w:val="center"/>
          </w:tcPr>
          <w:p w14:paraId="72F98178"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n</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F3809B"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4</w:t>
            </w:r>
          </w:p>
        </w:tc>
        <w:tc>
          <w:tcPr>
            <w:tcW w:w="1635" w:type="dxa"/>
            <w:tcBorders>
              <w:top w:val="single" w:sz="6" w:space="0" w:color="auto"/>
              <w:left w:val="single" w:sz="6" w:space="0" w:color="auto"/>
              <w:bottom w:val="single" w:sz="6" w:space="0" w:color="auto"/>
              <w:right w:val="nil"/>
            </w:tcBorders>
            <w:tcMar>
              <w:left w:w="105" w:type="dxa"/>
              <w:right w:w="105" w:type="dxa"/>
            </w:tcMar>
            <w:vAlign w:val="center"/>
          </w:tcPr>
          <w:p w14:paraId="7A486C00"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2</w:t>
            </w:r>
          </w:p>
        </w:tc>
        <w:tc>
          <w:tcPr>
            <w:tcW w:w="1635" w:type="dxa"/>
            <w:tcBorders>
              <w:top w:val="single" w:sz="6" w:space="0" w:color="auto"/>
              <w:left w:val="nil"/>
              <w:bottom w:val="single" w:sz="6" w:space="0" w:color="auto"/>
              <w:right w:val="nil"/>
            </w:tcBorders>
            <w:tcMar>
              <w:left w:w="105" w:type="dxa"/>
              <w:right w:w="105" w:type="dxa"/>
            </w:tcMar>
            <w:vAlign w:val="center"/>
          </w:tcPr>
          <w:p w14:paraId="73D6951B"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2</w:t>
            </w:r>
          </w:p>
        </w:tc>
      </w:tr>
      <w:tr w:rsidR="00307043" w:rsidRPr="00307043" w14:paraId="764B7F66" w14:textId="77777777" w:rsidTr="6D2C0DF0">
        <w:trPr>
          <w:trHeight w:val="300"/>
        </w:trPr>
        <w:tc>
          <w:tcPr>
            <w:tcW w:w="3090" w:type="dxa"/>
            <w:tcBorders>
              <w:top w:val="single" w:sz="6" w:space="0" w:color="auto"/>
              <w:left w:val="nil"/>
              <w:bottom w:val="nil"/>
              <w:right w:val="single" w:sz="6" w:space="0" w:color="auto"/>
            </w:tcBorders>
            <w:tcMar>
              <w:left w:w="105" w:type="dxa"/>
              <w:right w:w="105" w:type="dxa"/>
            </w:tcMar>
            <w:vAlign w:val="center"/>
          </w:tcPr>
          <w:p w14:paraId="5A414944"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Prevention level, n (%)</w:t>
            </w:r>
          </w:p>
        </w:tc>
        <w:tc>
          <w:tcPr>
            <w:tcW w:w="1635" w:type="dxa"/>
            <w:tcBorders>
              <w:top w:val="single" w:sz="6" w:space="0" w:color="auto"/>
              <w:left w:val="single" w:sz="6" w:space="0" w:color="auto"/>
              <w:bottom w:val="nil"/>
              <w:right w:val="single" w:sz="6" w:space="0" w:color="auto"/>
            </w:tcBorders>
            <w:tcMar>
              <w:left w:w="105" w:type="dxa"/>
              <w:right w:w="105" w:type="dxa"/>
            </w:tcMar>
            <w:vAlign w:val="center"/>
          </w:tcPr>
          <w:p w14:paraId="0B1B44A6"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35" w:type="dxa"/>
            <w:tcBorders>
              <w:top w:val="single" w:sz="6" w:space="0" w:color="auto"/>
              <w:left w:val="single" w:sz="6" w:space="0" w:color="auto"/>
              <w:bottom w:val="nil"/>
              <w:right w:val="nil"/>
            </w:tcBorders>
            <w:tcMar>
              <w:left w:w="105" w:type="dxa"/>
              <w:right w:w="105" w:type="dxa"/>
            </w:tcMar>
            <w:vAlign w:val="center"/>
          </w:tcPr>
          <w:p w14:paraId="47FC20C2"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35" w:type="dxa"/>
            <w:tcBorders>
              <w:top w:val="single" w:sz="6" w:space="0" w:color="auto"/>
              <w:left w:val="nil"/>
              <w:bottom w:val="nil"/>
              <w:right w:val="nil"/>
            </w:tcBorders>
            <w:tcMar>
              <w:left w:w="105" w:type="dxa"/>
              <w:right w:w="105" w:type="dxa"/>
            </w:tcMar>
            <w:vAlign w:val="center"/>
          </w:tcPr>
          <w:p w14:paraId="10DD3043"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r>
      <w:tr w:rsidR="00307043" w:rsidRPr="00307043" w14:paraId="78CDCF41" w14:textId="77777777" w:rsidTr="6D2C0DF0">
        <w:trPr>
          <w:trHeight w:val="300"/>
        </w:trPr>
        <w:tc>
          <w:tcPr>
            <w:tcW w:w="3090" w:type="dxa"/>
            <w:tcBorders>
              <w:top w:val="nil"/>
              <w:left w:val="nil"/>
              <w:bottom w:val="nil"/>
              <w:right w:val="single" w:sz="8" w:space="0" w:color="000000" w:themeColor="text1"/>
            </w:tcBorders>
            <w:tcMar>
              <w:left w:w="105" w:type="dxa"/>
              <w:right w:w="105" w:type="dxa"/>
            </w:tcMar>
            <w:vAlign w:val="center"/>
          </w:tcPr>
          <w:p w14:paraId="5074366D" w14:textId="77777777" w:rsidR="00684BFB" w:rsidRPr="00307043" w:rsidRDefault="00977696">
            <w:pPr>
              <w:spacing w:before="36" w:after="36"/>
              <w:ind w:left="284"/>
              <w:rPr>
                <w:rFonts w:ascii="Times New Roman" w:eastAsia="Times New Roman" w:hAnsi="Times New Roman" w:cs="Times New Roman"/>
                <w:b/>
                <w:bCs/>
                <w:sz w:val="20"/>
                <w:szCs w:val="20"/>
                <w:lang w:val="en-US"/>
              </w:rPr>
            </w:pPr>
            <w:r w:rsidRPr="00307043">
              <w:rPr>
                <w:rFonts w:ascii="Times New Roman" w:eastAsia="Times New Roman" w:hAnsi="Times New Roman" w:cs="Times New Roman"/>
                <w:b/>
                <w:bCs/>
                <w:sz w:val="20"/>
                <w:szCs w:val="20"/>
                <w:lang w:val="en-US"/>
              </w:rPr>
              <w:t>Primary prevention</w:t>
            </w:r>
          </w:p>
        </w:tc>
        <w:tc>
          <w:tcPr>
            <w:tcW w:w="1635" w:type="dxa"/>
            <w:tcBorders>
              <w:top w:val="nil"/>
              <w:left w:val="single" w:sz="8" w:space="0" w:color="000000" w:themeColor="text1"/>
              <w:bottom w:val="nil"/>
              <w:right w:val="single" w:sz="8" w:space="0" w:color="000000" w:themeColor="text1"/>
            </w:tcBorders>
            <w:tcMar>
              <w:left w:w="105" w:type="dxa"/>
              <w:right w:w="105" w:type="dxa"/>
            </w:tcMar>
            <w:vAlign w:val="center"/>
          </w:tcPr>
          <w:p w14:paraId="4EF155C8"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1 (25.0) </w:t>
            </w:r>
          </w:p>
        </w:tc>
        <w:tc>
          <w:tcPr>
            <w:tcW w:w="1635" w:type="dxa"/>
            <w:tcBorders>
              <w:top w:val="nil"/>
              <w:left w:val="single" w:sz="8" w:space="0" w:color="000000" w:themeColor="text1"/>
              <w:bottom w:val="nil"/>
              <w:right w:val="nil"/>
            </w:tcBorders>
            <w:tcMar>
              <w:left w:w="105" w:type="dxa"/>
              <w:right w:w="105" w:type="dxa"/>
            </w:tcMar>
            <w:vAlign w:val="center"/>
          </w:tcPr>
          <w:p w14:paraId="701DF996" w14:textId="77777777" w:rsidR="00684BFB" w:rsidRPr="00307043" w:rsidRDefault="00977696">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0 (0.0)</w:t>
            </w:r>
          </w:p>
        </w:tc>
        <w:tc>
          <w:tcPr>
            <w:tcW w:w="1635" w:type="dxa"/>
            <w:tcBorders>
              <w:top w:val="nil"/>
              <w:left w:val="nil"/>
              <w:bottom w:val="nil"/>
              <w:right w:val="nil"/>
            </w:tcBorders>
            <w:tcMar>
              <w:left w:w="105" w:type="dxa"/>
              <w:right w:w="105" w:type="dxa"/>
            </w:tcMar>
            <w:vAlign w:val="center"/>
          </w:tcPr>
          <w:p w14:paraId="18B7FFCC" w14:textId="77777777" w:rsidR="00684BFB" w:rsidRPr="00307043" w:rsidRDefault="00977696">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 xml:space="preserve">1 (50.0) </w:t>
            </w:r>
          </w:p>
        </w:tc>
      </w:tr>
      <w:tr w:rsidR="00307043" w:rsidRPr="00307043" w14:paraId="1E50C533" w14:textId="77777777" w:rsidTr="6D2C0DF0">
        <w:trPr>
          <w:trHeight w:val="300"/>
        </w:trPr>
        <w:tc>
          <w:tcPr>
            <w:tcW w:w="3090" w:type="dxa"/>
            <w:tcBorders>
              <w:top w:val="nil"/>
              <w:left w:val="nil"/>
              <w:bottom w:val="single" w:sz="6" w:space="0" w:color="auto"/>
              <w:right w:val="single" w:sz="6" w:space="0" w:color="auto"/>
            </w:tcBorders>
            <w:tcMar>
              <w:left w:w="105" w:type="dxa"/>
              <w:right w:w="105" w:type="dxa"/>
            </w:tcMar>
            <w:vAlign w:val="center"/>
          </w:tcPr>
          <w:p w14:paraId="0EE2B5FB" w14:textId="77777777" w:rsidR="00684BFB" w:rsidRPr="00307043" w:rsidRDefault="00977696">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Secondary prevention</w:t>
            </w:r>
          </w:p>
        </w:tc>
        <w:tc>
          <w:tcPr>
            <w:tcW w:w="1635" w:type="dxa"/>
            <w:tcBorders>
              <w:top w:val="nil"/>
              <w:left w:val="single" w:sz="6" w:space="0" w:color="auto"/>
              <w:bottom w:val="single" w:sz="6" w:space="0" w:color="auto"/>
              <w:right w:val="single" w:sz="6" w:space="0" w:color="auto"/>
            </w:tcBorders>
            <w:tcMar>
              <w:left w:w="105" w:type="dxa"/>
              <w:right w:w="105" w:type="dxa"/>
            </w:tcMar>
            <w:vAlign w:val="center"/>
          </w:tcPr>
          <w:p w14:paraId="0407053B" w14:textId="77777777" w:rsidR="00684BFB" w:rsidRPr="00307043" w:rsidRDefault="00977696">
            <w:pPr>
              <w:spacing w:before="36" w:after="36"/>
              <w:rPr>
                <w:rFonts w:ascii="Times New Roman" w:eastAsia="Times New Roman" w:hAnsi="Times New Roman" w:cs="Times New Roman"/>
                <w:sz w:val="20"/>
                <w:szCs w:val="20"/>
                <w:lang w:val="en-US"/>
              </w:rPr>
            </w:pPr>
            <w:r w:rsidRPr="00307043">
              <w:rPr>
                <w:rFonts w:ascii="Times New Roman" w:eastAsia="Times New Roman" w:hAnsi="Times New Roman" w:cs="Times New Roman"/>
                <w:sz w:val="20"/>
                <w:szCs w:val="20"/>
                <w:lang w:val="en-US"/>
              </w:rPr>
              <w:t>3 (75.0)</w:t>
            </w:r>
          </w:p>
        </w:tc>
        <w:tc>
          <w:tcPr>
            <w:tcW w:w="1635" w:type="dxa"/>
            <w:tcBorders>
              <w:top w:val="nil"/>
              <w:left w:val="single" w:sz="6" w:space="0" w:color="auto"/>
              <w:bottom w:val="single" w:sz="6" w:space="0" w:color="auto"/>
              <w:right w:val="nil"/>
            </w:tcBorders>
            <w:tcMar>
              <w:left w:w="105" w:type="dxa"/>
              <w:right w:w="105" w:type="dxa"/>
            </w:tcMar>
            <w:vAlign w:val="center"/>
          </w:tcPr>
          <w:p w14:paraId="73F4743E"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2 (100.0)</w:t>
            </w:r>
          </w:p>
        </w:tc>
        <w:tc>
          <w:tcPr>
            <w:tcW w:w="1635" w:type="dxa"/>
            <w:tcBorders>
              <w:top w:val="nil"/>
              <w:left w:val="nil"/>
              <w:bottom w:val="single" w:sz="6" w:space="0" w:color="auto"/>
              <w:right w:val="nil"/>
            </w:tcBorders>
            <w:tcMar>
              <w:left w:w="105" w:type="dxa"/>
              <w:right w:w="105" w:type="dxa"/>
            </w:tcMar>
            <w:vAlign w:val="center"/>
          </w:tcPr>
          <w:p w14:paraId="2B73ED9C"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1 (50.0)</w:t>
            </w:r>
          </w:p>
        </w:tc>
      </w:tr>
      <w:tr w:rsidR="00307043" w:rsidRPr="00307043" w14:paraId="7AE69926" w14:textId="77777777" w:rsidTr="6D2C0DF0">
        <w:trPr>
          <w:trHeight w:val="300"/>
        </w:trPr>
        <w:tc>
          <w:tcPr>
            <w:tcW w:w="3090" w:type="dxa"/>
            <w:tcBorders>
              <w:top w:val="single" w:sz="6" w:space="0" w:color="auto"/>
              <w:left w:val="nil"/>
              <w:bottom w:val="nil"/>
              <w:right w:val="single" w:sz="6" w:space="0" w:color="auto"/>
            </w:tcBorders>
            <w:tcMar>
              <w:left w:w="105" w:type="dxa"/>
              <w:right w:w="105" w:type="dxa"/>
            </w:tcMar>
            <w:vAlign w:val="center"/>
          </w:tcPr>
          <w:p w14:paraId="02CC0293"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Modifiable risk factor, n (%)</w:t>
            </w:r>
          </w:p>
        </w:tc>
        <w:tc>
          <w:tcPr>
            <w:tcW w:w="1635" w:type="dxa"/>
            <w:tcBorders>
              <w:top w:val="single" w:sz="6" w:space="0" w:color="auto"/>
              <w:left w:val="single" w:sz="6" w:space="0" w:color="auto"/>
              <w:bottom w:val="nil"/>
              <w:right w:val="single" w:sz="6" w:space="0" w:color="auto"/>
            </w:tcBorders>
            <w:tcMar>
              <w:left w:w="105" w:type="dxa"/>
              <w:right w:w="105" w:type="dxa"/>
            </w:tcMar>
            <w:vAlign w:val="center"/>
          </w:tcPr>
          <w:p w14:paraId="4EA07362"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35" w:type="dxa"/>
            <w:tcBorders>
              <w:top w:val="single" w:sz="6" w:space="0" w:color="auto"/>
              <w:left w:val="single" w:sz="6" w:space="0" w:color="auto"/>
              <w:bottom w:val="nil"/>
              <w:right w:val="nil"/>
            </w:tcBorders>
            <w:tcMar>
              <w:left w:w="105" w:type="dxa"/>
              <w:right w:w="105" w:type="dxa"/>
            </w:tcMar>
            <w:vAlign w:val="center"/>
          </w:tcPr>
          <w:p w14:paraId="652246EA"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35" w:type="dxa"/>
            <w:tcBorders>
              <w:top w:val="single" w:sz="6" w:space="0" w:color="auto"/>
              <w:left w:val="nil"/>
              <w:bottom w:val="nil"/>
              <w:right w:val="nil"/>
            </w:tcBorders>
            <w:tcMar>
              <w:left w:w="105" w:type="dxa"/>
              <w:right w:w="105" w:type="dxa"/>
            </w:tcMar>
            <w:vAlign w:val="center"/>
          </w:tcPr>
          <w:p w14:paraId="40BF0D03"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r>
      <w:tr w:rsidR="00307043" w:rsidRPr="00307043" w14:paraId="2561C584" w14:textId="77777777" w:rsidTr="6D2C0DF0">
        <w:trPr>
          <w:trHeight w:val="300"/>
        </w:trPr>
        <w:tc>
          <w:tcPr>
            <w:tcW w:w="3090" w:type="dxa"/>
            <w:tcBorders>
              <w:top w:val="nil"/>
              <w:left w:val="nil"/>
              <w:bottom w:val="single" w:sz="6" w:space="0" w:color="auto"/>
              <w:right w:val="single" w:sz="6" w:space="0" w:color="auto"/>
            </w:tcBorders>
            <w:tcMar>
              <w:left w:w="105" w:type="dxa"/>
              <w:right w:w="105" w:type="dxa"/>
            </w:tcMar>
            <w:vAlign w:val="center"/>
          </w:tcPr>
          <w:p w14:paraId="4EC9951C" w14:textId="77777777" w:rsidR="00684BFB" w:rsidRPr="00307043" w:rsidRDefault="00977696">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Tobacco use</w:t>
            </w:r>
          </w:p>
        </w:tc>
        <w:tc>
          <w:tcPr>
            <w:tcW w:w="1635" w:type="dxa"/>
            <w:tcBorders>
              <w:top w:val="nil"/>
              <w:left w:val="single" w:sz="6" w:space="0" w:color="auto"/>
              <w:bottom w:val="single" w:sz="6" w:space="0" w:color="auto"/>
              <w:right w:val="single" w:sz="6" w:space="0" w:color="auto"/>
            </w:tcBorders>
            <w:tcMar>
              <w:left w:w="105" w:type="dxa"/>
              <w:right w:w="105" w:type="dxa"/>
            </w:tcMar>
            <w:vAlign w:val="center"/>
          </w:tcPr>
          <w:p w14:paraId="405B9D6B"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c>
          <w:tcPr>
            <w:tcW w:w="1635" w:type="dxa"/>
            <w:tcBorders>
              <w:top w:val="nil"/>
              <w:left w:val="single" w:sz="6" w:space="0" w:color="auto"/>
              <w:bottom w:val="single" w:sz="6" w:space="0" w:color="auto"/>
              <w:right w:val="nil"/>
            </w:tcBorders>
            <w:tcMar>
              <w:left w:w="105" w:type="dxa"/>
              <w:right w:w="105" w:type="dxa"/>
            </w:tcMar>
            <w:vAlign w:val="center"/>
          </w:tcPr>
          <w:p w14:paraId="512F829D"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2 (100.0)</w:t>
            </w:r>
          </w:p>
        </w:tc>
        <w:tc>
          <w:tcPr>
            <w:tcW w:w="1635" w:type="dxa"/>
            <w:tcBorders>
              <w:top w:val="nil"/>
              <w:left w:val="nil"/>
              <w:bottom w:val="single" w:sz="6" w:space="0" w:color="auto"/>
              <w:right w:val="nil"/>
            </w:tcBorders>
            <w:tcMar>
              <w:left w:w="105" w:type="dxa"/>
              <w:right w:w="105" w:type="dxa"/>
            </w:tcMar>
            <w:vAlign w:val="center"/>
          </w:tcPr>
          <w:p w14:paraId="3EDA1A42"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r>
      <w:tr w:rsidR="00307043" w:rsidRPr="00307043" w14:paraId="725E2C5B" w14:textId="77777777" w:rsidTr="6D2C0DF0">
        <w:trPr>
          <w:trHeight w:val="300"/>
        </w:trPr>
        <w:tc>
          <w:tcPr>
            <w:tcW w:w="3090" w:type="dxa"/>
            <w:tcBorders>
              <w:top w:val="single" w:sz="6" w:space="0" w:color="auto"/>
              <w:left w:val="nil"/>
              <w:bottom w:val="nil"/>
              <w:right w:val="single" w:sz="6" w:space="0" w:color="auto"/>
            </w:tcBorders>
            <w:tcMar>
              <w:left w:w="105" w:type="dxa"/>
              <w:right w:w="105" w:type="dxa"/>
            </w:tcMar>
            <w:vAlign w:val="center"/>
          </w:tcPr>
          <w:p w14:paraId="0A3728A6"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With LoE/ consensus, n (%)</w:t>
            </w:r>
          </w:p>
        </w:tc>
        <w:tc>
          <w:tcPr>
            <w:tcW w:w="1635" w:type="dxa"/>
            <w:tcBorders>
              <w:top w:val="single" w:sz="6" w:space="0" w:color="auto"/>
              <w:left w:val="single" w:sz="6" w:space="0" w:color="auto"/>
              <w:bottom w:val="nil"/>
              <w:right w:val="single" w:sz="6" w:space="0" w:color="auto"/>
            </w:tcBorders>
            <w:tcMar>
              <w:left w:w="105" w:type="dxa"/>
              <w:right w:w="105" w:type="dxa"/>
            </w:tcMar>
            <w:vAlign w:val="center"/>
          </w:tcPr>
          <w:p w14:paraId="5CCBCB6A"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1 (25.0)</w:t>
            </w:r>
          </w:p>
        </w:tc>
        <w:tc>
          <w:tcPr>
            <w:tcW w:w="1635" w:type="dxa"/>
            <w:tcBorders>
              <w:top w:val="single" w:sz="6" w:space="0" w:color="auto"/>
              <w:left w:val="single" w:sz="6" w:space="0" w:color="auto"/>
              <w:bottom w:val="nil"/>
              <w:right w:val="nil"/>
            </w:tcBorders>
            <w:tcMar>
              <w:left w:w="105" w:type="dxa"/>
              <w:right w:w="105" w:type="dxa"/>
            </w:tcMar>
            <w:vAlign w:val="center"/>
          </w:tcPr>
          <w:p w14:paraId="29807DB6"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0 (0.0)</w:t>
            </w:r>
          </w:p>
        </w:tc>
        <w:tc>
          <w:tcPr>
            <w:tcW w:w="1635" w:type="dxa"/>
            <w:tcBorders>
              <w:top w:val="single" w:sz="6" w:space="0" w:color="auto"/>
              <w:left w:val="nil"/>
              <w:bottom w:val="nil"/>
              <w:right w:val="nil"/>
            </w:tcBorders>
            <w:tcMar>
              <w:left w:w="105" w:type="dxa"/>
              <w:right w:w="105" w:type="dxa"/>
            </w:tcMar>
            <w:vAlign w:val="center"/>
          </w:tcPr>
          <w:p w14:paraId="4CF8E3F2"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1 (50.0)</w:t>
            </w:r>
          </w:p>
        </w:tc>
      </w:tr>
      <w:tr w:rsidR="00307043" w:rsidRPr="00307043" w14:paraId="21BE65ED" w14:textId="77777777" w:rsidTr="6D2C0DF0">
        <w:trPr>
          <w:trHeight w:val="300"/>
        </w:trPr>
        <w:tc>
          <w:tcPr>
            <w:tcW w:w="3090" w:type="dxa"/>
            <w:tcBorders>
              <w:top w:val="nil"/>
              <w:left w:val="nil"/>
              <w:bottom w:val="nil"/>
              <w:right w:val="single" w:sz="6" w:space="0" w:color="auto"/>
            </w:tcBorders>
            <w:tcMar>
              <w:left w:w="105" w:type="dxa"/>
              <w:right w:w="105" w:type="dxa"/>
            </w:tcMar>
            <w:vAlign w:val="center"/>
          </w:tcPr>
          <w:p w14:paraId="5BA65753" w14:textId="77777777" w:rsidR="00684BFB" w:rsidRPr="00307043" w:rsidRDefault="00977696">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 xml:space="preserve">Tier </w:t>
            </w:r>
          </w:p>
        </w:tc>
        <w:tc>
          <w:tcPr>
            <w:tcW w:w="1635" w:type="dxa"/>
            <w:tcBorders>
              <w:top w:val="nil"/>
              <w:left w:val="single" w:sz="6" w:space="0" w:color="auto"/>
              <w:bottom w:val="nil"/>
              <w:right w:val="single" w:sz="6" w:space="0" w:color="auto"/>
            </w:tcBorders>
            <w:tcMar>
              <w:left w:w="105" w:type="dxa"/>
              <w:right w:w="105" w:type="dxa"/>
            </w:tcMar>
            <w:vAlign w:val="center"/>
          </w:tcPr>
          <w:p w14:paraId="667E33FB"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35" w:type="dxa"/>
            <w:tcBorders>
              <w:top w:val="nil"/>
              <w:left w:val="single" w:sz="6" w:space="0" w:color="auto"/>
              <w:bottom w:val="nil"/>
              <w:right w:val="nil"/>
            </w:tcBorders>
            <w:tcMar>
              <w:left w:w="105" w:type="dxa"/>
              <w:right w:w="105" w:type="dxa"/>
            </w:tcMar>
            <w:vAlign w:val="center"/>
          </w:tcPr>
          <w:p w14:paraId="19B312A8"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35" w:type="dxa"/>
            <w:tcBorders>
              <w:top w:val="nil"/>
              <w:left w:val="nil"/>
              <w:bottom w:val="nil"/>
              <w:right w:val="nil"/>
            </w:tcBorders>
            <w:tcMar>
              <w:left w:w="105" w:type="dxa"/>
              <w:right w:w="105" w:type="dxa"/>
            </w:tcMar>
            <w:vAlign w:val="center"/>
          </w:tcPr>
          <w:p w14:paraId="300010B6"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r>
      <w:tr w:rsidR="00307043" w:rsidRPr="00307043" w14:paraId="373987CA" w14:textId="77777777" w:rsidTr="6D2C0DF0">
        <w:trPr>
          <w:trHeight w:val="300"/>
        </w:trPr>
        <w:tc>
          <w:tcPr>
            <w:tcW w:w="3090" w:type="dxa"/>
            <w:tcBorders>
              <w:top w:val="nil"/>
              <w:left w:val="nil"/>
              <w:bottom w:val="nil"/>
              <w:right w:val="single" w:sz="6" w:space="0" w:color="auto"/>
            </w:tcBorders>
            <w:tcMar>
              <w:left w:w="105" w:type="dxa"/>
              <w:right w:w="105" w:type="dxa"/>
            </w:tcMar>
            <w:vAlign w:val="center"/>
          </w:tcPr>
          <w:p w14:paraId="77C0F49F" w14:textId="77777777" w:rsidR="00684BFB" w:rsidRPr="00307043" w:rsidRDefault="00977696">
            <w:pPr>
              <w:spacing w:before="36" w:after="36"/>
              <w:ind w:left="567"/>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1</w:t>
            </w:r>
          </w:p>
        </w:tc>
        <w:tc>
          <w:tcPr>
            <w:tcW w:w="1635" w:type="dxa"/>
            <w:tcBorders>
              <w:top w:val="nil"/>
              <w:left w:val="single" w:sz="6" w:space="0" w:color="auto"/>
              <w:bottom w:val="nil"/>
              <w:right w:val="single" w:sz="6" w:space="0" w:color="auto"/>
            </w:tcBorders>
            <w:tcMar>
              <w:left w:w="105" w:type="dxa"/>
              <w:right w:w="105" w:type="dxa"/>
            </w:tcMar>
            <w:vAlign w:val="center"/>
          </w:tcPr>
          <w:p w14:paraId="528C614F"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0 (0.0)</w:t>
            </w:r>
          </w:p>
        </w:tc>
        <w:tc>
          <w:tcPr>
            <w:tcW w:w="1635" w:type="dxa"/>
            <w:tcBorders>
              <w:top w:val="nil"/>
              <w:left w:val="single" w:sz="6" w:space="0" w:color="auto"/>
              <w:bottom w:val="nil"/>
              <w:right w:val="nil"/>
            </w:tcBorders>
            <w:tcMar>
              <w:left w:w="105" w:type="dxa"/>
              <w:right w:w="105" w:type="dxa"/>
            </w:tcMar>
            <w:vAlign w:val="center"/>
          </w:tcPr>
          <w:p w14:paraId="5CA14CCE"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c>
          <w:tcPr>
            <w:tcW w:w="1635" w:type="dxa"/>
            <w:tcBorders>
              <w:top w:val="nil"/>
              <w:left w:val="nil"/>
              <w:bottom w:val="nil"/>
              <w:right w:val="nil"/>
            </w:tcBorders>
            <w:tcMar>
              <w:left w:w="105" w:type="dxa"/>
              <w:right w:w="105" w:type="dxa"/>
            </w:tcMar>
            <w:vAlign w:val="center"/>
          </w:tcPr>
          <w:p w14:paraId="49C7CF7E"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0 (0.0)</w:t>
            </w:r>
          </w:p>
        </w:tc>
      </w:tr>
      <w:tr w:rsidR="00307043" w:rsidRPr="00307043" w14:paraId="1689A300" w14:textId="77777777" w:rsidTr="6D2C0DF0">
        <w:trPr>
          <w:trHeight w:val="300"/>
        </w:trPr>
        <w:tc>
          <w:tcPr>
            <w:tcW w:w="3090" w:type="dxa"/>
            <w:tcBorders>
              <w:top w:val="nil"/>
              <w:left w:val="nil"/>
              <w:bottom w:val="nil"/>
              <w:right w:val="single" w:sz="6" w:space="0" w:color="auto"/>
            </w:tcBorders>
            <w:tcMar>
              <w:left w:w="105" w:type="dxa"/>
              <w:right w:w="105" w:type="dxa"/>
            </w:tcMar>
            <w:vAlign w:val="center"/>
          </w:tcPr>
          <w:p w14:paraId="75545065" w14:textId="77777777" w:rsidR="00684BFB" w:rsidRPr="00307043" w:rsidRDefault="00977696">
            <w:pPr>
              <w:spacing w:before="36" w:after="36"/>
              <w:ind w:left="567"/>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2</w:t>
            </w:r>
          </w:p>
        </w:tc>
        <w:tc>
          <w:tcPr>
            <w:tcW w:w="1635" w:type="dxa"/>
            <w:tcBorders>
              <w:top w:val="nil"/>
              <w:left w:val="single" w:sz="6" w:space="0" w:color="auto"/>
              <w:bottom w:val="nil"/>
              <w:right w:val="single" w:sz="6" w:space="0" w:color="auto"/>
            </w:tcBorders>
            <w:tcMar>
              <w:left w:w="105" w:type="dxa"/>
              <w:right w:w="105" w:type="dxa"/>
            </w:tcMar>
            <w:vAlign w:val="center"/>
          </w:tcPr>
          <w:p w14:paraId="777584C8"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1 (100.0)</w:t>
            </w:r>
          </w:p>
        </w:tc>
        <w:tc>
          <w:tcPr>
            <w:tcW w:w="1635" w:type="dxa"/>
            <w:tcBorders>
              <w:top w:val="nil"/>
              <w:left w:val="single" w:sz="6" w:space="0" w:color="auto"/>
              <w:bottom w:val="nil"/>
              <w:right w:val="nil"/>
            </w:tcBorders>
            <w:tcMar>
              <w:left w:w="105" w:type="dxa"/>
              <w:right w:w="105" w:type="dxa"/>
            </w:tcMar>
            <w:vAlign w:val="center"/>
          </w:tcPr>
          <w:p w14:paraId="02B08B8B"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c>
          <w:tcPr>
            <w:tcW w:w="1635" w:type="dxa"/>
            <w:tcBorders>
              <w:top w:val="nil"/>
              <w:left w:val="nil"/>
              <w:bottom w:val="nil"/>
              <w:right w:val="nil"/>
            </w:tcBorders>
            <w:tcMar>
              <w:left w:w="105" w:type="dxa"/>
              <w:right w:w="105" w:type="dxa"/>
            </w:tcMar>
            <w:vAlign w:val="center"/>
          </w:tcPr>
          <w:p w14:paraId="29314269"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1 (100.0)</w:t>
            </w:r>
          </w:p>
        </w:tc>
      </w:tr>
      <w:tr w:rsidR="00684BFB" w:rsidRPr="00307043" w14:paraId="6FB8E89C" w14:textId="77777777" w:rsidTr="6D2C0DF0">
        <w:trPr>
          <w:trHeight w:val="300"/>
        </w:trPr>
        <w:tc>
          <w:tcPr>
            <w:tcW w:w="3090" w:type="dxa"/>
            <w:tcBorders>
              <w:top w:val="nil"/>
              <w:left w:val="nil"/>
              <w:bottom w:val="nil"/>
              <w:right w:val="single" w:sz="6" w:space="0" w:color="auto"/>
            </w:tcBorders>
            <w:tcMar>
              <w:left w:w="105" w:type="dxa"/>
              <w:right w:w="105" w:type="dxa"/>
            </w:tcMar>
            <w:vAlign w:val="center"/>
          </w:tcPr>
          <w:p w14:paraId="1E98E15F" w14:textId="77777777" w:rsidR="00684BFB" w:rsidRPr="00307043" w:rsidRDefault="00977696">
            <w:pPr>
              <w:spacing w:before="36" w:after="36"/>
              <w:ind w:left="567"/>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3</w:t>
            </w:r>
          </w:p>
        </w:tc>
        <w:tc>
          <w:tcPr>
            <w:tcW w:w="1635" w:type="dxa"/>
            <w:tcBorders>
              <w:top w:val="nil"/>
              <w:left w:val="single" w:sz="6" w:space="0" w:color="auto"/>
              <w:bottom w:val="nil"/>
              <w:right w:val="single" w:sz="6" w:space="0" w:color="auto"/>
            </w:tcBorders>
            <w:tcMar>
              <w:left w:w="105" w:type="dxa"/>
              <w:right w:w="105" w:type="dxa"/>
            </w:tcMar>
            <w:vAlign w:val="center"/>
          </w:tcPr>
          <w:p w14:paraId="11EADF6F"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0 (0.0)</w:t>
            </w:r>
          </w:p>
        </w:tc>
        <w:tc>
          <w:tcPr>
            <w:tcW w:w="1635" w:type="dxa"/>
            <w:tcBorders>
              <w:top w:val="nil"/>
              <w:left w:val="single" w:sz="6" w:space="0" w:color="auto"/>
              <w:bottom w:val="nil"/>
              <w:right w:val="nil"/>
            </w:tcBorders>
            <w:tcMar>
              <w:left w:w="105" w:type="dxa"/>
              <w:right w:w="105" w:type="dxa"/>
            </w:tcMar>
            <w:vAlign w:val="center"/>
          </w:tcPr>
          <w:p w14:paraId="32BD99D4"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c>
          <w:tcPr>
            <w:tcW w:w="1635" w:type="dxa"/>
            <w:tcBorders>
              <w:top w:val="nil"/>
              <w:left w:val="nil"/>
              <w:bottom w:val="nil"/>
              <w:right w:val="nil"/>
            </w:tcBorders>
            <w:tcMar>
              <w:left w:w="105" w:type="dxa"/>
              <w:right w:w="105" w:type="dxa"/>
            </w:tcMar>
            <w:vAlign w:val="center"/>
          </w:tcPr>
          <w:p w14:paraId="57D5F51A"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0 (0.0)</w:t>
            </w:r>
          </w:p>
        </w:tc>
      </w:tr>
    </w:tbl>
    <w:p w14:paraId="564CF33A" w14:textId="77777777" w:rsidR="00684BFB" w:rsidRPr="00307043" w:rsidRDefault="00684BFB"/>
    <w:p w14:paraId="4E6ED332" w14:textId="77777777" w:rsidR="00684BFB" w:rsidRPr="00307043" w:rsidRDefault="00977696">
      <w:pPr>
        <w:rPr>
          <w:rFonts w:ascii="Times New Roman" w:eastAsia="Times New Roman" w:hAnsi="Times New Roman" w:cs="Times New Roman"/>
          <w:b/>
          <w:bCs/>
          <w:lang w:val="en-US"/>
        </w:rPr>
      </w:pPr>
      <w:r w:rsidRPr="00307043">
        <w:rPr>
          <w:rFonts w:ascii="Times New Roman" w:eastAsia="Times New Roman" w:hAnsi="Times New Roman" w:cs="Times New Roman"/>
          <w:b/>
          <w:bCs/>
          <w:lang w:val="en-US"/>
        </w:rPr>
        <w:br w:type="page"/>
      </w:r>
    </w:p>
    <w:p w14:paraId="08B49D01" w14:textId="3F3DE175" w:rsidR="00684BFB" w:rsidRPr="00307043" w:rsidRDefault="54F32C53">
      <w:pPr>
        <w:spacing w:line="360" w:lineRule="auto"/>
        <w:rPr>
          <w:rFonts w:ascii="Times New Roman" w:eastAsia="Times New Roman" w:hAnsi="Times New Roman" w:cs="Times New Roman"/>
          <w:lang w:val="en-US"/>
        </w:rPr>
      </w:pPr>
      <w:r w:rsidRPr="00307043">
        <w:rPr>
          <w:rFonts w:ascii="Times New Roman" w:eastAsia="Times New Roman" w:hAnsi="Times New Roman" w:cs="Times New Roman"/>
          <w:b/>
          <w:bCs/>
          <w:lang w:val="en-US"/>
        </w:rPr>
        <w:lastRenderedPageBreak/>
        <w:t xml:space="preserve">Supplementary table </w:t>
      </w:r>
      <w:r w:rsidR="00A36575" w:rsidRPr="00307043">
        <w:rPr>
          <w:rFonts w:ascii="Times New Roman" w:eastAsia="Times New Roman" w:hAnsi="Times New Roman" w:cs="Times New Roman"/>
          <w:b/>
          <w:bCs/>
          <w:lang w:val="en-US"/>
        </w:rPr>
        <w:t>6</w:t>
      </w:r>
      <w:r w:rsidRPr="00307043">
        <w:rPr>
          <w:rFonts w:ascii="Times New Roman" w:eastAsia="Times New Roman" w:hAnsi="Times New Roman" w:cs="Times New Roman"/>
          <w:b/>
          <w:bCs/>
          <w:lang w:val="en-US"/>
        </w:rPr>
        <w:t xml:space="preserve">. </w:t>
      </w:r>
      <w:r w:rsidRPr="00307043">
        <w:rPr>
          <w:rFonts w:ascii="Times New Roman" w:eastAsia="Times New Roman" w:hAnsi="Times New Roman" w:cs="Times New Roman"/>
          <w:lang w:val="en-US"/>
        </w:rPr>
        <w:t>Characteristics of the approaches addressing diabetes.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165"/>
        <w:gridCol w:w="1605"/>
        <w:gridCol w:w="1605"/>
        <w:gridCol w:w="1605"/>
      </w:tblGrid>
      <w:tr w:rsidR="00307043" w:rsidRPr="00307043" w14:paraId="076EFEFD" w14:textId="77777777" w:rsidTr="00D726E3">
        <w:trPr>
          <w:trHeight w:val="300"/>
        </w:trPr>
        <w:tc>
          <w:tcPr>
            <w:tcW w:w="3165" w:type="dxa"/>
            <w:tcBorders>
              <w:top w:val="nil"/>
              <w:left w:val="nil"/>
              <w:bottom w:val="single" w:sz="6" w:space="0" w:color="auto"/>
              <w:right w:val="single" w:sz="6" w:space="0" w:color="auto"/>
            </w:tcBorders>
            <w:tcMar>
              <w:left w:w="105" w:type="dxa"/>
              <w:right w:w="105" w:type="dxa"/>
            </w:tcMar>
            <w:vAlign w:val="center"/>
          </w:tcPr>
          <w:p w14:paraId="0469A0FD" w14:textId="77777777" w:rsidR="00684BFB" w:rsidRPr="00307043" w:rsidRDefault="00684BFB">
            <w:pPr>
              <w:spacing w:before="36" w:after="36"/>
              <w:rPr>
                <w:rFonts w:ascii="Times New Roman" w:eastAsia="Times New Roman" w:hAnsi="Times New Roman" w:cs="Times New Roman"/>
                <w:sz w:val="20"/>
                <w:szCs w:val="20"/>
                <w:lang w:val="en-US"/>
              </w:rPr>
            </w:pPr>
          </w:p>
        </w:tc>
        <w:tc>
          <w:tcPr>
            <w:tcW w:w="1605" w:type="dxa"/>
            <w:tcBorders>
              <w:top w:val="nil"/>
              <w:left w:val="single" w:sz="6" w:space="0" w:color="auto"/>
              <w:bottom w:val="single" w:sz="6" w:space="0" w:color="auto"/>
              <w:right w:val="single" w:sz="6" w:space="0" w:color="auto"/>
            </w:tcBorders>
            <w:tcMar>
              <w:left w:w="105" w:type="dxa"/>
              <w:right w:w="105" w:type="dxa"/>
            </w:tcMar>
            <w:vAlign w:val="center"/>
          </w:tcPr>
          <w:p w14:paraId="7E938334"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Total approaches</w:t>
            </w:r>
          </w:p>
        </w:tc>
        <w:tc>
          <w:tcPr>
            <w:tcW w:w="1605" w:type="dxa"/>
            <w:tcBorders>
              <w:top w:val="nil"/>
              <w:left w:val="single" w:sz="6" w:space="0" w:color="auto"/>
              <w:bottom w:val="single" w:sz="6" w:space="0" w:color="auto"/>
              <w:right w:val="nil"/>
            </w:tcBorders>
            <w:tcMar>
              <w:left w:w="105" w:type="dxa"/>
              <w:right w:w="105" w:type="dxa"/>
            </w:tcMar>
            <w:vAlign w:val="center"/>
          </w:tcPr>
          <w:p w14:paraId="648099EF"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Modifiable risk factors</w:t>
            </w:r>
          </w:p>
        </w:tc>
        <w:tc>
          <w:tcPr>
            <w:tcW w:w="1605" w:type="dxa"/>
            <w:tcBorders>
              <w:top w:val="nil"/>
              <w:left w:val="nil"/>
              <w:bottom w:val="single" w:sz="6" w:space="0" w:color="auto"/>
              <w:right w:val="nil"/>
            </w:tcBorders>
            <w:tcMar>
              <w:left w:w="105" w:type="dxa"/>
              <w:right w:w="105" w:type="dxa"/>
            </w:tcMar>
            <w:vAlign w:val="center"/>
          </w:tcPr>
          <w:p w14:paraId="38179512" w14:textId="08F1FF31" w:rsidR="00684BFB" w:rsidRPr="00307043" w:rsidRDefault="00977696" w:rsidP="6D2C0DF0">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 xml:space="preserve">Genetic </w:t>
            </w:r>
            <w:r w:rsidR="37E7A444" w:rsidRPr="00307043">
              <w:rPr>
                <w:rFonts w:ascii="Times New Roman" w:eastAsia="Times New Roman" w:hAnsi="Times New Roman" w:cs="Times New Roman"/>
                <w:b/>
                <w:bCs/>
                <w:sz w:val="20"/>
                <w:szCs w:val="20"/>
                <w:lang w:val="en-US"/>
              </w:rPr>
              <w:t>factors</w:t>
            </w:r>
          </w:p>
        </w:tc>
      </w:tr>
      <w:tr w:rsidR="00307043" w:rsidRPr="00307043" w14:paraId="2EA10107" w14:textId="77777777" w:rsidTr="00D726E3">
        <w:trPr>
          <w:trHeight w:val="300"/>
        </w:trPr>
        <w:tc>
          <w:tcPr>
            <w:tcW w:w="3165" w:type="dxa"/>
            <w:tcBorders>
              <w:top w:val="single" w:sz="6" w:space="0" w:color="auto"/>
              <w:left w:val="nil"/>
              <w:bottom w:val="single" w:sz="6" w:space="0" w:color="auto"/>
              <w:right w:val="single" w:sz="6" w:space="0" w:color="auto"/>
            </w:tcBorders>
            <w:tcMar>
              <w:left w:w="105" w:type="dxa"/>
              <w:right w:w="105" w:type="dxa"/>
            </w:tcMar>
            <w:vAlign w:val="center"/>
          </w:tcPr>
          <w:p w14:paraId="72F29CD7"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N</w:t>
            </w:r>
          </w:p>
        </w:tc>
        <w:tc>
          <w:tcPr>
            <w:tcW w:w="160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937EF2"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2</w:t>
            </w:r>
          </w:p>
        </w:tc>
        <w:tc>
          <w:tcPr>
            <w:tcW w:w="1605" w:type="dxa"/>
            <w:tcBorders>
              <w:top w:val="single" w:sz="6" w:space="0" w:color="auto"/>
              <w:left w:val="single" w:sz="6" w:space="0" w:color="auto"/>
              <w:bottom w:val="single" w:sz="6" w:space="0" w:color="auto"/>
              <w:right w:val="nil"/>
            </w:tcBorders>
            <w:tcMar>
              <w:left w:w="105" w:type="dxa"/>
              <w:right w:w="105" w:type="dxa"/>
            </w:tcMar>
            <w:vAlign w:val="center"/>
          </w:tcPr>
          <w:p w14:paraId="7FD2884F"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2</w:t>
            </w:r>
          </w:p>
        </w:tc>
        <w:tc>
          <w:tcPr>
            <w:tcW w:w="1605" w:type="dxa"/>
            <w:tcBorders>
              <w:top w:val="single" w:sz="6" w:space="0" w:color="auto"/>
              <w:left w:val="nil"/>
              <w:bottom w:val="single" w:sz="6" w:space="0" w:color="auto"/>
              <w:right w:val="nil"/>
            </w:tcBorders>
            <w:tcMar>
              <w:left w:w="105" w:type="dxa"/>
              <w:right w:w="105" w:type="dxa"/>
            </w:tcMar>
            <w:vAlign w:val="center"/>
          </w:tcPr>
          <w:p w14:paraId="7ABC318F"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r>
      <w:tr w:rsidR="00307043" w:rsidRPr="00307043" w14:paraId="49E87BC0" w14:textId="77777777" w:rsidTr="00D726E3">
        <w:trPr>
          <w:trHeight w:val="300"/>
        </w:trPr>
        <w:tc>
          <w:tcPr>
            <w:tcW w:w="3165" w:type="dxa"/>
            <w:tcBorders>
              <w:top w:val="single" w:sz="6" w:space="0" w:color="auto"/>
              <w:left w:val="nil"/>
              <w:bottom w:val="nil"/>
              <w:right w:val="single" w:sz="6" w:space="0" w:color="auto"/>
            </w:tcBorders>
            <w:tcMar>
              <w:left w:w="105" w:type="dxa"/>
              <w:right w:w="105" w:type="dxa"/>
            </w:tcMar>
            <w:vAlign w:val="center"/>
          </w:tcPr>
          <w:p w14:paraId="6D693838"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Prevention level, n (%)</w:t>
            </w:r>
          </w:p>
        </w:tc>
        <w:tc>
          <w:tcPr>
            <w:tcW w:w="1605" w:type="dxa"/>
            <w:tcBorders>
              <w:top w:val="single" w:sz="6" w:space="0" w:color="auto"/>
              <w:left w:val="single" w:sz="6" w:space="0" w:color="auto"/>
              <w:bottom w:val="nil"/>
              <w:right w:val="single" w:sz="6" w:space="0" w:color="auto"/>
            </w:tcBorders>
            <w:tcMar>
              <w:left w:w="105" w:type="dxa"/>
              <w:right w:w="105" w:type="dxa"/>
            </w:tcMar>
            <w:vAlign w:val="center"/>
          </w:tcPr>
          <w:p w14:paraId="234A0F2C"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05" w:type="dxa"/>
            <w:tcBorders>
              <w:top w:val="single" w:sz="6" w:space="0" w:color="auto"/>
              <w:left w:val="single" w:sz="6" w:space="0" w:color="auto"/>
              <w:bottom w:val="nil"/>
              <w:right w:val="nil"/>
            </w:tcBorders>
            <w:tcMar>
              <w:left w:w="105" w:type="dxa"/>
              <w:right w:w="105" w:type="dxa"/>
            </w:tcMar>
            <w:vAlign w:val="center"/>
          </w:tcPr>
          <w:p w14:paraId="4478DBBC"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05" w:type="dxa"/>
            <w:tcBorders>
              <w:top w:val="single" w:sz="6" w:space="0" w:color="auto"/>
              <w:left w:val="nil"/>
              <w:bottom w:val="nil"/>
              <w:right w:val="nil"/>
            </w:tcBorders>
            <w:tcMar>
              <w:left w:w="105" w:type="dxa"/>
              <w:right w:w="105" w:type="dxa"/>
            </w:tcMar>
            <w:vAlign w:val="center"/>
          </w:tcPr>
          <w:p w14:paraId="3F6C092C"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r>
      <w:tr w:rsidR="00307043" w:rsidRPr="00307043" w14:paraId="6EA50413" w14:textId="77777777" w:rsidTr="00D726E3">
        <w:trPr>
          <w:trHeight w:val="300"/>
        </w:trPr>
        <w:tc>
          <w:tcPr>
            <w:tcW w:w="3165" w:type="dxa"/>
            <w:tcBorders>
              <w:top w:val="nil"/>
              <w:left w:val="nil"/>
              <w:bottom w:val="single" w:sz="6" w:space="0" w:color="auto"/>
              <w:right w:val="single" w:sz="6" w:space="0" w:color="auto"/>
            </w:tcBorders>
            <w:tcMar>
              <w:left w:w="105" w:type="dxa"/>
              <w:right w:w="105" w:type="dxa"/>
            </w:tcMar>
            <w:vAlign w:val="center"/>
          </w:tcPr>
          <w:p w14:paraId="4ED8390E" w14:textId="77777777" w:rsidR="00684BFB" w:rsidRPr="00307043" w:rsidRDefault="00977696">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Tertiary prevention</w:t>
            </w:r>
          </w:p>
        </w:tc>
        <w:tc>
          <w:tcPr>
            <w:tcW w:w="1605" w:type="dxa"/>
            <w:tcBorders>
              <w:top w:val="nil"/>
              <w:left w:val="single" w:sz="6" w:space="0" w:color="auto"/>
              <w:bottom w:val="single" w:sz="6" w:space="0" w:color="auto"/>
              <w:right w:val="single" w:sz="6" w:space="0" w:color="auto"/>
            </w:tcBorders>
            <w:tcMar>
              <w:left w:w="105" w:type="dxa"/>
              <w:right w:w="105" w:type="dxa"/>
            </w:tcMar>
            <w:vAlign w:val="center"/>
          </w:tcPr>
          <w:p w14:paraId="296535D8"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2 (100.0)</w:t>
            </w:r>
          </w:p>
        </w:tc>
        <w:tc>
          <w:tcPr>
            <w:tcW w:w="1605" w:type="dxa"/>
            <w:tcBorders>
              <w:top w:val="nil"/>
              <w:left w:val="single" w:sz="6" w:space="0" w:color="auto"/>
              <w:bottom w:val="single" w:sz="6" w:space="0" w:color="auto"/>
              <w:right w:val="nil"/>
            </w:tcBorders>
            <w:tcMar>
              <w:left w:w="105" w:type="dxa"/>
              <w:right w:w="105" w:type="dxa"/>
            </w:tcMar>
            <w:vAlign w:val="center"/>
          </w:tcPr>
          <w:p w14:paraId="74FD6A81"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2 (100.0)</w:t>
            </w:r>
          </w:p>
        </w:tc>
        <w:tc>
          <w:tcPr>
            <w:tcW w:w="1605" w:type="dxa"/>
            <w:tcBorders>
              <w:top w:val="nil"/>
              <w:left w:val="nil"/>
              <w:bottom w:val="single" w:sz="6" w:space="0" w:color="auto"/>
              <w:right w:val="nil"/>
            </w:tcBorders>
            <w:tcMar>
              <w:left w:w="105" w:type="dxa"/>
              <w:right w:w="105" w:type="dxa"/>
            </w:tcMar>
            <w:vAlign w:val="center"/>
          </w:tcPr>
          <w:p w14:paraId="7384A760"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r>
      <w:tr w:rsidR="00307043" w:rsidRPr="00307043" w14:paraId="5AABAAFC" w14:textId="77777777" w:rsidTr="00D726E3">
        <w:trPr>
          <w:trHeight w:val="300"/>
        </w:trPr>
        <w:tc>
          <w:tcPr>
            <w:tcW w:w="3165" w:type="dxa"/>
            <w:tcBorders>
              <w:top w:val="single" w:sz="6" w:space="0" w:color="auto"/>
              <w:left w:val="nil"/>
              <w:bottom w:val="nil"/>
              <w:right w:val="single" w:sz="6" w:space="0" w:color="auto"/>
            </w:tcBorders>
            <w:tcMar>
              <w:left w:w="105" w:type="dxa"/>
              <w:right w:w="105" w:type="dxa"/>
            </w:tcMar>
            <w:vAlign w:val="center"/>
          </w:tcPr>
          <w:p w14:paraId="293416A5"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Modifiable risk factor, n (%)</w:t>
            </w:r>
          </w:p>
        </w:tc>
        <w:tc>
          <w:tcPr>
            <w:tcW w:w="1605" w:type="dxa"/>
            <w:tcBorders>
              <w:top w:val="single" w:sz="6" w:space="0" w:color="auto"/>
              <w:left w:val="single" w:sz="6" w:space="0" w:color="auto"/>
              <w:bottom w:val="nil"/>
              <w:right w:val="single" w:sz="6" w:space="0" w:color="auto"/>
            </w:tcBorders>
            <w:tcMar>
              <w:left w:w="105" w:type="dxa"/>
              <w:right w:w="105" w:type="dxa"/>
            </w:tcMar>
            <w:vAlign w:val="center"/>
          </w:tcPr>
          <w:p w14:paraId="4260A9AB"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05" w:type="dxa"/>
            <w:tcBorders>
              <w:top w:val="single" w:sz="6" w:space="0" w:color="auto"/>
              <w:left w:val="single" w:sz="6" w:space="0" w:color="auto"/>
              <w:bottom w:val="nil"/>
              <w:right w:val="nil"/>
            </w:tcBorders>
            <w:tcMar>
              <w:left w:w="105" w:type="dxa"/>
              <w:right w:w="105" w:type="dxa"/>
            </w:tcMar>
            <w:vAlign w:val="center"/>
          </w:tcPr>
          <w:p w14:paraId="2D36A579"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05" w:type="dxa"/>
            <w:tcBorders>
              <w:top w:val="single" w:sz="6" w:space="0" w:color="auto"/>
              <w:left w:val="nil"/>
              <w:bottom w:val="nil"/>
              <w:right w:val="nil"/>
            </w:tcBorders>
            <w:tcMar>
              <w:left w:w="105" w:type="dxa"/>
              <w:right w:w="105" w:type="dxa"/>
            </w:tcMar>
            <w:vAlign w:val="center"/>
          </w:tcPr>
          <w:p w14:paraId="7E6772EA"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r>
      <w:tr w:rsidR="00307043" w:rsidRPr="00307043" w14:paraId="206F7429" w14:textId="77777777" w:rsidTr="00D726E3">
        <w:trPr>
          <w:trHeight w:val="300"/>
        </w:trPr>
        <w:tc>
          <w:tcPr>
            <w:tcW w:w="3165" w:type="dxa"/>
            <w:tcBorders>
              <w:top w:val="nil"/>
              <w:left w:val="nil"/>
              <w:bottom w:val="nil"/>
              <w:right w:val="single" w:sz="6" w:space="0" w:color="auto"/>
            </w:tcBorders>
            <w:tcMar>
              <w:left w:w="105" w:type="dxa"/>
              <w:right w:w="105" w:type="dxa"/>
            </w:tcMar>
            <w:vAlign w:val="center"/>
          </w:tcPr>
          <w:p w14:paraId="4A57F073" w14:textId="77777777" w:rsidR="00684BFB" w:rsidRPr="00307043" w:rsidRDefault="00977696">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Physical activity</w:t>
            </w:r>
          </w:p>
        </w:tc>
        <w:tc>
          <w:tcPr>
            <w:tcW w:w="1605" w:type="dxa"/>
            <w:tcBorders>
              <w:top w:val="nil"/>
              <w:left w:val="single" w:sz="6" w:space="0" w:color="auto"/>
              <w:bottom w:val="nil"/>
              <w:right w:val="single" w:sz="6" w:space="0" w:color="auto"/>
            </w:tcBorders>
            <w:tcMar>
              <w:left w:w="105" w:type="dxa"/>
              <w:right w:w="105" w:type="dxa"/>
            </w:tcMar>
            <w:vAlign w:val="center"/>
          </w:tcPr>
          <w:p w14:paraId="5A1C4E77"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c>
          <w:tcPr>
            <w:tcW w:w="1605" w:type="dxa"/>
            <w:tcBorders>
              <w:top w:val="nil"/>
              <w:left w:val="single" w:sz="6" w:space="0" w:color="auto"/>
              <w:bottom w:val="nil"/>
              <w:right w:val="nil"/>
            </w:tcBorders>
            <w:tcMar>
              <w:left w:w="105" w:type="dxa"/>
              <w:right w:w="105" w:type="dxa"/>
            </w:tcMar>
            <w:vAlign w:val="center"/>
          </w:tcPr>
          <w:p w14:paraId="279C870B"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1 (50.0)</w:t>
            </w:r>
          </w:p>
        </w:tc>
        <w:tc>
          <w:tcPr>
            <w:tcW w:w="1605" w:type="dxa"/>
            <w:tcBorders>
              <w:top w:val="nil"/>
              <w:left w:val="nil"/>
              <w:bottom w:val="nil"/>
              <w:right w:val="nil"/>
            </w:tcBorders>
            <w:tcMar>
              <w:left w:w="105" w:type="dxa"/>
              <w:right w:w="105" w:type="dxa"/>
            </w:tcMar>
            <w:vAlign w:val="center"/>
          </w:tcPr>
          <w:p w14:paraId="2A0B003E"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r>
      <w:tr w:rsidR="00307043" w:rsidRPr="00307043" w14:paraId="6A4AC521" w14:textId="77777777" w:rsidTr="00D726E3">
        <w:trPr>
          <w:trHeight w:val="300"/>
        </w:trPr>
        <w:tc>
          <w:tcPr>
            <w:tcW w:w="3165" w:type="dxa"/>
            <w:tcBorders>
              <w:top w:val="nil"/>
              <w:left w:val="nil"/>
              <w:bottom w:val="single" w:sz="6" w:space="0" w:color="auto"/>
              <w:right w:val="single" w:sz="6" w:space="0" w:color="auto"/>
            </w:tcBorders>
            <w:tcMar>
              <w:left w:w="105" w:type="dxa"/>
              <w:right w:w="105" w:type="dxa"/>
            </w:tcMar>
            <w:vAlign w:val="center"/>
          </w:tcPr>
          <w:p w14:paraId="73DA6EC3" w14:textId="77777777" w:rsidR="00684BFB" w:rsidRPr="00307043" w:rsidRDefault="00977696">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Tobacco use</w:t>
            </w:r>
          </w:p>
        </w:tc>
        <w:tc>
          <w:tcPr>
            <w:tcW w:w="1605" w:type="dxa"/>
            <w:tcBorders>
              <w:top w:val="nil"/>
              <w:left w:val="single" w:sz="6" w:space="0" w:color="auto"/>
              <w:bottom w:val="single" w:sz="6" w:space="0" w:color="auto"/>
              <w:right w:val="single" w:sz="6" w:space="0" w:color="auto"/>
            </w:tcBorders>
            <w:tcMar>
              <w:left w:w="105" w:type="dxa"/>
              <w:right w:w="105" w:type="dxa"/>
            </w:tcMar>
            <w:vAlign w:val="center"/>
          </w:tcPr>
          <w:p w14:paraId="4FD449A3"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c>
          <w:tcPr>
            <w:tcW w:w="1605" w:type="dxa"/>
            <w:tcBorders>
              <w:top w:val="nil"/>
              <w:left w:val="single" w:sz="6" w:space="0" w:color="auto"/>
              <w:bottom w:val="single" w:sz="6" w:space="0" w:color="auto"/>
              <w:right w:val="nil"/>
            </w:tcBorders>
            <w:tcMar>
              <w:left w:w="105" w:type="dxa"/>
              <w:right w:w="105" w:type="dxa"/>
            </w:tcMar>
            <w:vAlign w:val="center"/>
          </w:tcPr>
          <w:p w14:paraId="59FCD7FA"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1 (50.0)</w:t>
            </w:r>
          </w:p>
        </w:tc>
        <w:tc>
          <w:tcPr>
            <w:tcW w:w="1605" w:type="dxa"/>
            <w:tcBorders>
              <w:top w:val="nil"/>
              <w:left w:val="nil"/>
              <w:bottom w:val="single" w:sz="6" w:space="0" w:color="auto"/>
              <w:right w:val="nil"/>
            </w:tcBorders>
            <w:tcMar>
              <w:left w:w="105" w:type="dxa"/>
              <w:right w:w="105" w:type="dxa"/>
            </w:tcMar>
            <w:vAlign w:val="center"/>
          </w:tcPr>
          <w:p w14:paraId="1FFC90F4"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r>
      <w:tr w:rsidR="00307043" w:rsidRPr="00307043" w14:paraId="0CB76A8E" w14:textId="77777777" w:rsidTr="00D726E3">
        <w:trPr>
          <w:trHeight w:val="300"/>
        </w:trPr>
        <w:tc>
          <w:tcPr>
            <w:tcW w:w="3165" w:type="dxa"/>
            <w:tcBorders>
              <w:top w:val="single" w:sz="6" w:space="0" w:color="auto"/>
              <w:left w:val="nil"/>
              <w:bottom w:val="nil"/>
              <w:right w:val="single" w:sz="6" w:space="0" w:color="auto"/>
            </w:tcBorders>
            <w:tcMar>
              <w:left w:w="105" w:type="dxa"/>
              <w:right w:w="105" w:type="dxa"/>
            </w:tcMar>
            <w:vAlign w:val="center"/>
          </w:tcPr>
          <w:p w14:paraId="7E8CE572"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With LoE/ consensus, n (%)</w:t>
            </w:r>
          </w:p>
        </w:tc>
        <w:tc>
          <w:tcPr>
            <w:tcW w:w="1605" w:type="dxa"/>
            <w:tcBorders>
              <w:top w:val="single" w:sz="6" w:space="0" w:color="auto"/>
              <w:left w:val="single" w:sz="6" w:space="0" w:color="auto"/>
              <w:bottom w:val="nil"/>
              <w:right w:val="single" w:sz="6" w:space="0" w:color="auto"/>
            </w:tcBorders>
            <w:tcMar>
              <w:left w:w="105" w:type="dxa"/>
              <w:right w:w="105" w:type="dxa"/>
            </w:tcMar>
            <w:vAlign w:val="center"/>
          </w:tcPr>
          <w:p w14:paraId="6E19EDE7"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1 (50.0)</w:t>
            </w:r>
          </w:p>
        </w:tc>
        <w:tc>
          <w:tcPr>
            <w:tcW w:w="1605" w:type="dxa"/>
            <w:tcBorders>
              <w:top w:val="single" w:sz="6" w:space="0" w:color="auto"/>
              <w:left w:val="single" w:sz="6" w:space="0" w:color="auto"/>
              <w:bottom w:val="nil"/>
              <w:right w:val="nil"/>
            </w:tcBorders>
            <w:tcMar>
              <w:left w:w="105" w:type="dxa"/>
              <w:right w:w="105" w:type="dxa"/>
            </w:tcMar>
            <w:vAlign w:val="center"/>
          </w:tcPr>
          <w:p w14:paraId="18CA18F3"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1 (50.0)</w:t>
            </w:r>
          </w:p>
        </w:tc>
        <w:tc>
          <w:tcPr>
            <w:tcW w:w="1605" w:type="dxa"/>
            <w:tcBorders>
              <w:top w:val="single" w:sz="6" w:space="0" w:color="auto"/>
              <w:left w:val="nil"/>
              <w:bottom w:val="nil"/>
              <w:right w:val="nil"/>
            </w:tcBorders>
            <w:tcMar>
              <w:left w:w="105" w:type="dxa"/>
              <w:right w:w="105" w:type="dxa"/>
            </w:tcMar>
            <w:vAlign w:val="center"/>
          </w:tcPr>
          <w:p w14:paraId="0AA6D74D"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r>
      <w:tr w:rsidR="00307043" w:rsidRPr="00307043" w14:paraId="17EFFDE2" w14:textId="77777777" w:rsidTr="00D726E3">
        <w:trPr>
          <w:trHeight w:val="300"/>
        </w:trPr>
        <w:tc>
          <w:tcPr>
            <w:tcW w:w="3165" w:type="dxa"/>
            <w:tcBorders>
              <w:top w:val="nil"/>
              <w:left w:val="nil"/>
              <w:bottom w:val="nil"/>
              <w:right w:val="single" w:sz="6" w:space="0" w:color="auto"/>
            </w:tcBorders>
            <w:tcMar>
              <w:left w:w="105" w:type="dxa"/>
              <w:right w:w="105" w:type="dxa"/>
            </w:tcMar>
            <w:vAlign w:val="center"/>
          </w:tcPr>
          <w:p w14:paraId="7F3AF8F5" w14:textId="77777777" w:rsidR="00684BFB" w:rsidRPr="00307043" w:rsidRDefault="00977696">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Tier LoE</w:t>
            </w:r>
          </w:p>
        </w:tc>
        <w:tc>
          <w:tcPr>
            <w:tcW w:w="1605" w:type="dxa"/>
            <w:tcBorders>
              <w:top w:val="nil"/>
              <w:left w:val="single" w:sz="6" w:space="0" w:color="auto"/>
              <w:bottom w:val="nil"/>
              <w:right w:val="single" w:sz="6" w:space="0" w:color="auto"/>
            </w:tcBorders>
            <w:tcMar>
              <w:left w:w="105" w:type="dxa"/>
              <w:right w:w="105" w:type="dxa"/>
            </w:tcMar>
            <w:vAlign w:val="center"/>
          </w:tcPr>
          <w:p w14:paraId="18F5F188"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05" w:type="dxa"/>
            <w:tcBorders>
              <w:top w:val="nil"/>
              <w:left w:val="single" w:sz="6" w:space="0" w:color="auto"/>
              <w:bottom w:val="nil"/>
              <w:right w:val="nil"/>
            </w:tcBorders>
            <w:tcMar>
              <w:left w:w="105" w:type="dxa"/>
              <w:right w:w="105" w:type="dxa"/>
            </w:tcMar>
            <w:vAlign w:val="center"/>
          </w:tcPr>
          <w:p w14:paraId="68A5B449"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05" w:type="dxa"/>
            <w:tcBorders>
              <w:top w:val="nil"/>
              <w:left w:val="nil"/>
              <w:bottom w:val="nil"/>
              <w:right w:val="nil"/>
            </w:tcBorders>
            <w:tcMar>
              <w:left w:w="105" w:type="dxa"/>
              <w:right w:w="105" w:type="dxa"/>
            </w:tcMar>
            <w:vAlign w:val="center"/>
          </w:tcPr>
          <w:p w14:paraId="3CF3EBDD"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r>
      <w:tr w:rsidR="00307043" w:rsidRPr="00307043" w14:paraId="2F7B4B68" w14:textId="77777777" w:rsidTr="00D726E3">
        <w:trPr>
          <w:trHeight w:val="300"/>
        </w:trPr>
        <w:tc>
          <w:tcPr>
            <w:tcW w:w="3165" w:type="dxa"/>
            <w:tcBorders>
              <w:top w:val="nil"/>
              <w:left w:val="nil"/>
              <w:bottom w:val="nil"/>
              <w:right w:val="single" w:sz="6" w:space="0" w:color="auto"/>
            </w:tcBorders>
            <w:tcMar>
              <w:left w:w="105" w:type="dxa"/>
              <w:right w:w="105" w:type="dxa"/>
            </w:tcMar>
            <w:vAlign w:val="center"/>
          </w:tcPr>
          <w:p w14:paraId="4FB62DFA" w14:textId="77777777" w:rsidR="00684BFB" w:rsidRPr="00307043" w:rsidRDefault="00977696">
            <w:pPr>
              <w:spacing w:before="36" w:after="36"/>
              <w:ind w:left="567"/>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1</w:t>
            </w:r>
          </w:p>
        </w:tc>
        <w:tc>
          <w:tcPr>
            <w:tcW w:w="1605" w:type="dxa"/>
            <w:tcBorders>
              <w:top w:val="nil"/>
              <w:left w:val="single" w:sz="6" w:space="0" w:color="auto"/>
              <w:bottom w:val="nil"/>
              <w:right w:val="single" w:sz="6" w:space="0" w:color="auto"/>
            </w:tcBorders>
            <w:tcMar>
              <w:left w:w="105" w:type="dxa"/>
              <w:right w:w="105" w:type="dxa"/>
            </w:tcMar>
            <w:vAlign w:val="center"/>
          </w:tcPr>
          <w:p w14:paraId="48A84307"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0 (0.0)</w:t>
            </w:r>
          </w:p>
        </w:tc>
        <w:tc>
          <w:tcPr>
            <w:tcW w:w="1605" w:type="dxa"/>
            <w:tcBorders>
              <w:top w:val="nil"/>
              <w:left w:val="single" w:sz="6" w:space="0" w:color="auto"/>
              <w:bottom w:val="nil"/>
              <w:right w:val="nil"/>
            </w:tcBorders>
            <w:tcMar>
              <w:left w:w="105" w:type="dxa"/>
              <w:right w:w="105" w:type="dxa"/>
            </w:tcMar>
            <w:vAlign w:val="center"/>
          </w:tcPr>
          <w:p w14:paraId="4EF05497"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0 (0.0)</w:t>
            </w:r>
          </w:p>
        </w:tc>
        <w:tc>
          <w:tcPr>
            <w:tcW w:w="1605" w:type="dxa"/>
            <w:tcBorders>
              <w:top w:val="nil"/>
              <w:left w:val="nil"/>
              <w:bottom w:val="nil"/>
              <w:right w:val="nil"/>
            </w:tcBorders>
            <w:tcMar>
              <w:left w:w="105" w:type="dxa"/>
              <w:right w:w="105" w:type="dxa"/>
            </w:tcMar>
            <w:vAlign w:val="center"/>
          </w:tcPr>
          <w:p w14:paraId="71569092"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r>
      <w:tr w:rsidR="00307043" w:rsidRPr="00307043" w14:paraId="587901C2" w14:textId="77777777" w:rsidTr="00D726E3">
        <w:trPr>
          <w:trHeight w:val="300"/>
        </w:trPr>
        <w:tc>
          <w:tcPr>
            <w:tcW w:w="3165" w:type="dxa"/>
            <w:tcBorders>
              <w:top w:val="nil"/>
              <w:left w:val="nil"/>
              <w:bottom w:val="nil"/>
              <w:right w:val="single" w:sz="6" w:space="0" w:color="auto"/>
            </w:tcBorders>
            <w:tcMar>
              <w:left w:w="105" w:type="dxa"/>
              <w:right w:w="105" w:type="dxa"/>
            </w:tcMar>
            <w:vAlign w:val="center"/>
          </w:tcPr>
          <w:p w14:paraId="69A3933C" w14:textId="77777777" w:rsidR="00684BFB" w:rsidRPr="00307043" w:rsidRDefault="00977696">
            <w:pPr>
              <w:spacing w:before="36" w:after="36"/>
              <w:ind w:left="567"/>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2</w:t>
            </w:r>
          </w:p>
        </w:tc>
        <w:tc>
          <w:tcPr>
            <w:tcW w:w="1605" w:type="dxa"/>
            <w:tcBorders>
              <w:top w:val="nil"/>
              <w:left w:val="single" w:sz="6" w:space="0" w:color="auto"/>
              <w:bottom w:val="nil"/>
              <w:right w:val="single" w:sz="6" w:space="0" w:color="auto"/>
            </w:tcBorders>
            <w:tcMar>
              <w:left w:w="105" w:type="dxa"/>
              <w:right w:w="105" w:type="dxa"/>
            </w:tcMar>
            <w:vAlign w:val="center"/>
          </w:tcPr>
          <w:p w14:paraId="53AD0C2D"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0 (0.0)</w:t>
            </w:r>
          </w:p>
        </w:tc>
        <w:tc>
          <w:tcPr>
            <w:tcW w:w="1605" w:type="dxa"/>
            <w:tcBorders>
              <w:top w:val="nil"/>
              <w:left w:val="single" w:sz="6" w:space="0" w:color="auto"/>
              <w:bottom w:val="nil"/>
              <w:right w:val="nil"/>
            </w:tcBorders>
            <w:tcMar>
              <w:left w:w="105" w:type="dxa"/>
              <w:right w:w="105" w:type="dxa"/>
            </w:tcMar>
            <w:vAlign w:val="center"/>
          </w:tcPr>
          <w:p w14:paraId="0378D459"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0 (0.0)</w:t>
            </w:r>
          </w:p>
        </w:tc>
        <w:tc>
          <w:tcPr>
            <w:tcW w:w="1605" w:type="dxa"/>
            <w:tcBorders>
              <w:top w:val="nil"/>
              <w:left w:val="nil"/>
              <w:bottom w:val="nil"/>
              <w:right w:val="nil"/>
            </w:tcBorders>
            <w:tcMar>
              <w:left w:w="105" w:type="dxa"/>
              <w:right w:w="105" w:type="dxa"/>
            </w:tcMar>
            <w:vAlign w:val="center"/>
          </w:tcPr>
          <w:p w14:paraId="6912872B"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r>
      <w:tr w:rsidR="00684BFB" w:rsidRPr="00307043" w14:paraId="7166440C" w14:textId="77777777" w:rsidTr="00D726E3">
        <w:trPr>
          <w:trHeight w:val="300"/>
        </w:trPr>
        <w:tc>
          <w:tcPr>
            <w:tcW w:w="3165" w:type="dxa"/>
            <w:tcBorders>
              <w:top w:val="nil"/>
              <w:left w:val="nil"/>
              <w:bottom w:val="nil"/>
              <w:right w:val="single" w:sz="6" w:space="0" w:color="auto"/>
            </w:tcBorders>
            <w:tcMar>
              <w:left w:w="105" w:type="dxa"/>
              <w:right w:w="105" w:type="dxa"/>
            </w:tcMar>
            <w:vAlign w:val="center"/>
          </w:tcPr>
          <w:p w14:paraId="21C8FA92" w14:textId="77777777" w:rsidR="00684BFB" w:rsidRPr="00307043" w:rsidRDefault="00977696">
            <w:pPr>
              <w:spacing w:before="36" w:after="36"/>
              <w:ind w:left="567"/>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3</w:t>
            </w:r>
          </w:p>
        </w:tc>
        <w:tc>
          <w:tcPr>
            <w:tcW w:w="1605" w:type="dxa"/>
            <w:tcBorders>
              <w:top w:val="nil"/>
              <w:left w:val="single" w:sz="6" w:space="0" w:color="auto"/>
              <w:bottom w:val="nil"/>
              <w:right w:val="single" w:sz="6" w:space="0" w:color="auto"/>
            </w:tcBorders>
            <w:tcMar>
              <w:left w:w="105" w:type="dxa"/>
              <w:right w:w="105" w:type="dxa"/>
            </w:tcMar>
          </w:tcPr>
          <w:p w14:paraId="7C7F6773"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1 (100.0)</w:t>
            </w:r>
          </w:p>
        </w:tc>
        <w:tc>
          <w:tcPr>
            <w:tcW w:w="1605" w:type="dxa"/>
            <w:tcBorders>
              <w:top w:val="nil"/>
              <w:left w:val="single" w:sz="6" w:space="0" w:color="auto"/>
              <w:bottom w:val="nil"/>
              <w:right w:val="nil"/>
            </w:tcBorders>
            <w:tcMar>
              <w:left w:w="105" w:type="dxa"/>
              <w:right w:w="105" w:type="dxa"/>
            </w:tcMar>
          </w:tcPr>
          <w:p w14:paraId="09636799"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1 (100.0)</w:t>
            </w:r>
          </w:p>
        </w:tc>
        <w:tc>
          <w:tcPr>
            <w:tcW w:w="1605" w:type="dxa"/>
            <w:tcBorders>
              <w:top w:val="nil"/>
              <w:left w:val="nil"/>
              <w:bottom w:val="nil"/>
              <w:right w:val="nil"/>
            </w:tcBorders>
            <w:tcMar>
              <w:left w:w="105" w:type="dxa"/>
              <w:right w:w="105" w:type="dxa"/>
            </w:tcMar>
            <w:vAlign w:val="center"/>
          </w:tcPr>
          <w:p w14:paraId="4D9E3B11"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r>
    </w:tbl>
    <w:p w14:paraId="56B52532" w14:textId="77777777" w:rsidR="00684BFB" w:rsidRPr="00307043" w:rsidRDefault="00684BFB">
      <w:pPr>
        <w:spacing w:line="360" w:lineRule="auto"/>
        <w:rPr>
          <w:rFonts w:ascii="Times New Roman" w:eastAsia="Times New Roman" w:hAnsi="Times New Roman" w:cs="Times New Roman"/>
        </w:rPr>
      </w:pPr>
    </w:p>
    <w:p w14:paraId="3591A1E9" w14:textId="77777777" w:rsidR="00684BFB" w:rsidRPr="00307043" w:rsidRDefault="00684BFB">
      <w:pPr>
        <w:spacing w:line="360" w:lineRule="auto"/>
        <w:rPr>
          <w:rFonts w:ascii="Times New Roman" w:eastAsia="Times New Roman" w:hAnsi="Times New Roman" w:cs="Times New Roman"/>
        </w:rPr>
      </w:pPr>
    </w:p>
    <w:p w14:paraId="3EFDB5A4" w14:textId="77777777" w:rsidR="00684BFB" w:rsidRPr="00307043" w:rsidRDefault="00684BFB"/>
    <w:p w14:paraId="4C6802B9" w14:textId="77777777" w:rsidR="00684BFB" w:rsidRPr="00307043" w:rsidRDefault="00977696">
      <w:pPr>
        <w:rPr>
          <w:rFonts w:ascii="Times New Roman" w:eastAsia="Times New Roman" w:hAnsi="Times New Roman" w:cs="Times New Roman"/>
          <w:b/>
          <w:bCs/>
          <w:lang w:val="en-US"/>
        </w:rPr>
      </w:pPr>
      <w:r w:rsidRPr="00307043">
        <w:rPr>
          <w:rFonts w:ascii="Times New Roman" w:eastAsia="Times New Roman" w:hAnsi="Times New Roman" w:cs="Times New Roman"/>
          <w:b/>
          <w:bCs/>
          <w:lang w:val="en-US"/>
        </w:rPr>
        <w:br w:type="page"/>
      </w:r>
    </w:p>
    <w:p w14:paraId="43D3F97C" w14:textId="2A4048B9" w:rsidR="00684BFB" w:rsidRPr="00307043" w:rsidRDefault="54F32C53">
      <w:pPr>
        <w:spacing w:line="360" w:lineRule="auto"/>
        <w:rPr>
          <w:rFonts w:ascii="Times New Roman" w:eastAsia="Times New Roman" w:hAnsi="Times New Roman" w:cs="Times New Roman"/>
          <w:lang w:val="en-US"/>
        </w:rPr>
      </w:pPr>
      <w:r w:rsidRPr="00307043">
        <w:rPr>
          <w:rFonts w:ascii="Times New Roman" w:eastAsia="Times New Roman" w:hAnsi="Times New Roman" w:cs="Times New Roman"/>
          <w:b/>
          <w:bCs/>
          <w:lang w:val="en-US"/>
        </w:rPr>
        <w:lastRenderedPageBreak/>
        <w:t xml:space="preserve">Supplementary table </w:t>
      </w:r>
      <w:r w:rsidR="00A36575" w:rsidRPr="00307043">
        <w:rPr>
          <w:rFonts w:ascii="Times New Roman" w:eastAsia="Times New Roman" w:hAnsi="Times New Roman" w:cs="Times New Roman"/>
          <w:b/>
          <w:bCs/>
          <w:lang w:val="en-US"/>
        </w:rPr>
        <w:t>7</w:t>
      </w:r>
      <w:r w:rsidRPr="00307043">
        <w:rPr>
          <w:rFonts w:ascii="Times New Roman" w:eastAsia="Times New Roman" w:hAnsi="Times New Roman" w:cs="Times New Roman"/>
          <w:b/>
          <w:bCs/>
          <w:lang w:val="en-US"/>
        </w:rPr>
        <w:t xml:space="preserve">. </w:t>
      </w:r>
      <w:r w:rsidRPr="00307043">
        <w:rPr>
          <w:rFonts w:ascii="Times New Roman" w:eastAsia="Times New Roman" w:hAnsi="Times New Roman" w:cs="Times New Roman"/>
          <w:lang w:val="en-US"/>
        </w:rPr>
        <w:t>Characteristics of the approaches addressing mental health.</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165"/>
        <w:gridCol w:w="1605"/>
        <w:gridCol w:w="1605"/>
        <w:gridCol w:w="1605"/>
      </w:tblGrid>
      <w:tr w:rsidR="00307043" w:rsidRPr="00307043" w14:paraId="0A6CAD91" w14:textId="77777777" w:rsidTr="00D726E3">
        <w:trPr>
          <w:trHeight w:val="300"/>
        </w:trPr>
        <w:tc>
          <w:tcPr>
            <w:tcW w:w="3165" w:type="dxa"/>
            <w:tcBorders>
              <w:top w:val="nil"/>
              <w:left w:val="nil"/>
              <w:bottom w:val="single" w:sz="6" w:space="0" w:color="auto"/>
              <w:right w:val="single" w:sz="6" w:space="0" w:color="auto"/>
            </w:tcBorders>
            <w:tcMar>
              <w:left w:w="105" w:type="dxa"/>
              <w:right w:w="105" w:type="dxa"/>
            </w:tcMar>
            <w:vAlign w:val="center"/>
          </w:tcPr>
          <w:p w14:paraId="77BC781A" w14:textId="77777777" w:rsidR="00684BFB" w:rsidRPr="00307043" w:rsidRDefault="00684BFB">
            <w:pPr>
              <w:spacing w:before="36" w:after="36"/>
              <w:rPr>
                <w:rFonts w:ascii="Times New Roman" w:eastAsia="Times New Roman" w:hAnsi="Times New Roman" w:cs="Times New Roman"/>
                <w:sz w:val="20"/>
                <w:szCs w:val="20"/>
                <w:lang w:val="en-US"/>
              </w:rPr>
            </w:pPr>
          </w:p>
        </w:tc>
        <w:tc>
          <w:tcPr>
            <w:tcW w:w="1605" w:type="dxa"/>
            <w:tcBorders>
              <w:top w:val="nil"/>
              <w:left w:val="single" w:sz="6" w:space="0" w:color="auto"/>
              <w:bottom w:val="single" w:sz="6" w:space="0" w:color="auto"/>
              <w:right w:val="single" w:sz="6" w:space="0" w:color="auto"/>
            </w:tcBorders>
            <w:tcMar>
              <w:left w:w="105" w:type="dxa"/>
              <w:right w:w="105" w:type="dxa"/>
            </w:tcMar>
            <w:vAlign w:val="center"/>
          </w:tcPr>
          <w:p w14:paraId="69DFDD3F"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Total approaches</w:t>
            </w:r>
          </w:p>
        </w:tc>
        <w:tc>
          <w:tcPr>
            <w:tcW w:w="1605" w:type="dxa"/>
            <w:tcBorders>
              <w:top w:val="nil"/>
              <w:left w:val="single" w:sz="6" w:space="0" w:color="auto"/>
              <w:bottom w:val="single" w:sz="6" w:space="0" w:color="auto"/>
              <w:right w:val="nil"/>
            </w:tcBorders>
            <w:tcMar>
              <w:left w:w="105" w:type="dxa"/>
              <w:right w:w="105" w:type="dxa"/>
            </w:tcMar>
            <w:vAlign w:val="center"/>
          </w:tcPr>
          <w:p w14:paraId="336A93FA"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Modifiable risk factors</w:t>
            </w:r>
          </w:p>
        </w:tc>
        <w:tc>
          <w:tcPr>
            <w:tcW w:w="1605" w:type="dxa"/>
            <w:tcBorders>
              <w:top w:val="nil"/>
              <w:left w:val="nil"/>
              <w:bottom w:val="single" w:sz="6" w:space="0" w:color="auto"/>
              <w:right w:val="nil"/>
            </w:tcBorders>
            <w:tcMar>
              <w:left w:w="105" w:type="dxa"/>
              <w:right w:w="105" w:type="dxa"/>
            </w:tcMar>
            <w:vAlign w:val="center"/>
          </w:tcPr>
          <w:p w14:paraId="4BAD26D7" w14:textId="288C3EED" w:rsidR="00684BFB" w:rsidRPr="00307043" w:rsidRDefault="495768EE" w:rsidP="6D2C0DF0">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G</w:t>
            </w:r>
            <w:r w:rsidR="00977696" w:rsidRPr="00307043">
              <w:rPr>
                <w:rFonts w:ascii="Times New Roman" w:eastAsia="Times New Roman" w:hAnsi="Times New Roman" w:cs="Times New Roman"/>
                <w:b/>
                <w:bCs/>
                <w:sz w:val="20"/>
                <w:szCs w:val="20"/>
                <w:lang w:val="en-US"/>
              </w:rPr>
              <w:t xml:space="preserve">enetic </w:t>
            </w:r>
            <w:r w:rsidR="7745B221" w:rsidRPr="00307043">
              <w:rPr>
                <w:rFonts w:ascii="Times New Roman" w:eastAsia="Times New Roman" w:hAnsi="Times New Roman" w:cs="Times New Roman"/>
                <w:b/>
                <w:bCs/>
                <w:sz w:val="20"/>
                <w:szCs w:val="20"/>
                <w:lang w:val="en-US"/>
              </w:rPr>
              <w:t>factors</w:t>
            </w:r>
          </w:p>
        </w:tc>
      </w:tr>
      <w:tr w:rsidR="00307043" w:rsidRPr="00307043" w14:paraId="5E89CC6B" w14:textId="77777777" w:rsidTr="00D726E3">
        <w:trPr>
          <w:trHeight w:val="300"/>
        </w:trPr>
        <w:tc>
          <w:tcPr>
            <w:tcW w:w="3165" w:type="dxa"/>
            <w:tcBorders>
              <w:top w:val="single" w:sz="6" w:space="0" w:color="auto"/>
              <w:left w:val="nil"/>
              <w:bottom w:val="single" w:sz="6" w:space="0" w:color="auto"/>
              <w:right w:val="single" w:sz="6" w:space="0" w:color="auto"/>
            </w:tcBorders>
            <w:tcMar>
              <w:left w:w="105" w:type="dxa"/>
              <w:right w:w="105" w:type="dxa"/>
            </w:tcMar>
            <w:vAlign w:val="center"/>
          </w:tcPr>
          <w:p w14:paraId="4D4BA74E"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n</w:t>
            </w:r>
          </w:p>
        </w:tc>
        <w:tc>
          <w:tcPr>
            <w:tcW w:w="160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E50F18"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23</w:t>
            </w:r>
          </w:p>
        </w:tc>
        <w:tc>
          <w:tcPr>
            <w:tcW w:w="1605" w:type="dxa"/>
            <w:tcBorders>
              <w:top w:val="single" w:sz="6" w:space="0" w:color="auto"/>
              <w:left w:val="single" w:sz="6" w:space="0" w:color="auto"/>
              <w:bottom w:val="single" w:sz="6" w:space="0" w:color="auto"/>
              <w:right w:val="nil"/>
            </w:tcBorders>
            <w:tcMar>
              <w:left w:w="105" w:type="dxa"/>
              <w:right w:w="105" w:type="dxa"/>
            </w:tcMar>
            <w:vAlign w:val="center"/>
          </w:tcPr>
          <w:p w14:paraId="5D2DEADF"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1</w:t>
            </w:r>
          </w:p>
        </w:tc>
        <w:tc>
          <w:tcPr>
            <w:tcW w:w="1605" w:type="dxa"/>
            <w:tcBorders>
              <w:top w:val="single" w:sz="6" w:space="0" w:color="auto"/>
              <w:left w:val="nil"/>
              <w:bottom w:val="single" w:sz="6" w:space="0" w:color="auto"/>
              <w:right w:val="nil"/>
            </w:tcBorders>
            <w:tcMar>
              <w:left w:w="105" w:type="dxa"/>
              <w:right w:w="105" w:type="dxa"/>
            </w:tcMar>
            <w:vAlign w:val="center"/>
          </w:tcPr>
          <w:p w14:paraId="0AC642C1"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22</w:t>
            </w:r>
          </w:p>
        </w:tc>
      </w:tr>
      <w:tr w:rsidR="00307043" w:rsidRPr="00307043" w14:paraId="15A01983" w14:textId="77777777" w:rsidTr="00D726E3">
        <w:trPr>
          <w:trHeight w:val="300"/>
        </w:trPr>
        <w:tc>
          <w:tcPr>
            <w:tcW w:w="3165" w:type="dxa"/>
            <w:tcBorders>
              <w:top w:val="single" w:sz="6" w:space="0" w:color="auto"/>
              <w:left w:val="nil"/>
              <w:bottom w:val="nil"/>
              <w:right w:val="single" w:sz="6" w:space="0" w:color="auto"/>
            </w:tcBorders>
            <w:tcMar>
              <w:left w:w="105" w:type="dxa"/>
              <w:right w:w="105" w:type="dxa"/>
            </w:tcMar>
            <w:vAlign w:val="center"/>
          </w:tcPr>
          <w:p w14:paraId="06E4A49F"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Prevention level, n (%)</w:t>
            </w:r>
          </w:p>
        </w:tc>
        <w:tc>
          <w:tcPr>
            <w:tcW w:w="1605" w:type="dxa"/>
            <w:tcBorders>
              <w:top w:val="single" w:sz="6" w:space="0" w:color="auto"/>
              <w:left w:val="single" w:sz="6" w:space="0" w:color="auto"/>
              <w:bottom w:val="nil"/>
              <w:right w:val="single" w:sz="6" w:space="0" w:color="auto"/>
            </w:tcBorders>
            <w:tcMar>
              <w:left w:w="105" w:type="dxa"/>
              <w:right w:w="105" w:type="dxa"/>
            </w:tcMar>
            <w:vAlign w:val="center"/>
          </w:tcPr>
          <w:p w14:paraId="572D7681"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05" w:type="dxa"/>
            <w:tcBorders>
              <w:top w:val="single" w:sz="6" w:space="0" w:color="auto"/>
              <w:left w:val="single" w:sz="6" w:space="0" w:color="auto"/>
              <w:bottom w:val="nil"/>
              <w:right w:val="nil"/>
            </w:tcBorders>
            <w:tcMar>
              <w:left w:w="105" w:type="dxa"/>
              <w:right w:w="105" w:type="dxa"/>
            </w:tcMar>
            <w:vAlign w:val="center"/>
          </w:tcPr>
          <w:p w14:paraId="09DD7035"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05" w:type="dxa"/>
            <w:tcBorders>
              <w:top w:val="single" w:sz="6" w:space="0" w:color="auto"/>
              <w:left w:val="nil"/>
              <w:bottom w:val="nil"/>
              <w:right w:val="nil"/>
            </w:tcBorders>
            <w:tcMar>
              <w:left w:w="105" w:type="dxa"/>
              <w:right w:w="105" w:type="dxa"/>
            </w:tcMar>
            <w:vAlign w:val="center"/>
          </w:tcPr>
          <w:p w14:paraId="42ACEE50"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r>
      <w:tr w:rsidR="00307043" w:rsidRPr="00307043" w14:paraId="1EC1ECAC" w14:textId="77777777" w:rsidTr="00D726E3">
        <w:trPr>
          <w:trHeight w:val="300"/>
        </w:trPr>
        <w:tc>
          <w:tcPr>
            <w:tcW w:w="3165" w:type="dxa"/>
            <w:tcBorders>
              <w:top w:val="nil"/>
              <w:left w:val="nil"/>
              <w:bottom w:val="single" w:sz="6" w:space="0" w:color="auto"/>
              <w:right w:val="single" w:sz="6" w:space="0" w:color="auto"/>
            </w:tcBorders>
            <w:tcMar>
              <w:left w:w="105" w:type="dxa"/>
              <w:right w:w="105" w:type="dxa"/>
            </w:tcMar>
            <w:vAlign w:val="center"/>
          </w:tcPr>
          <w:p w14:paraId="3E3CFA97" w14:textId="77777777" w:rsidR="00684BFB" w:rsidRPr="00307043" w:rsidRDefault="00977696">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Tertiary prevention</w:t>
            </w:r>
          </w:p>
        </w:tc>
        <w:tc>
          <w:tcPr>
            <w:tcW w:w="1605" w:type="dxa"/>
            <w:tcBorders>
              <w:top w:val="nil"/>
              <w:left w:val="single" w:sz="6" w:space="0" w:color="auto"/>
              <w:bottom w:val="single" w:sz="6" w:space="0" w:color="auto"/>
              <w:right w:val="single" w:sz="6" w:space="0" w:color="auto"/>
            </w:tcBorders>
            <w:tcMar>
              <w:left w:w="105" w:type="dxa"/>
              <w:right w:w="105" w:type="dxa"/>
            </w:tcMar>
            <w:vAlign w:val="center"/>
          </w:tcPr>
          <w:p w14:paraId="57D0304D"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23 (100.0)</w:t>
            </w:r>
          </w:p>
        </w:tc>
        <w:tc>
          <w:tcPr>
            <w:tcW w:w="1605" w:type="dxa"/>
            <w:tcBorders>
              <w:top w:val="nil"/>
              <w:left w:val="single" w:sz="6" w:space="0" w:color="auto"/>
              <w:bottom w:val="single" w:sz="6" w:space="0" w:color="auto"/>
              <w:right w:val="nil"/>
            </w:tcBorders>
            <w:tcMar>
              <w:left w:w="105" w:type="dxa"/>
              <w:right w:w="105" w:type="dxa"/>
            </w:tcMar>
            <w:vAlign w:val="center"/>
          </w:tcPr>
          <w:p w14:paraId="5535C54E"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1 (100.0)</w:t>
            </w:r>
          </w:p>
        </w:tc>
        <w:tc>
          <w:tcPr>
            <w:tcW w:w="1605" w:type="dxa"/>
            <w:tcBorders>
              <w:top w:val="nil"/>
              <w:left w:val="nil"/>
              <w:bottom w:val="single" w:sz="6" w:space="0" w:color="auto"/>
              <w:right w:val="nil"/>
            </w:tcBorders>
            <w:tcMar>
              <w:left w:w="105" w:type="dxa"/>
              <w:right w:w="105" w:type="dxa"/>
            </w:tcMar>
            <w:vAlign w:val="center"/>
          </w:tcPr>
          <w:p w14:paraId="3E2D094E"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22 (100.0)</w:t>
            </w:r>
          </w:p>
        </w:tc>
      </w:tr>
      <w:tr w:rsidR="00307043" w:rsidRPr="00307043" w14:paraId="2B4D4441" w14:textId="77777777" w:rsidTr="00D726E3">
        <w:trPr>
          <w:trHeight w:val="300"/>
        </w:trPr>
        <w:tc>
          <w:tcPr>
            <w:tcW w:w="3165" w:type="dxa"/>
            <w:tcBorders>
              <w:top w:val="single" w:sz="6" w:space="0" w:color="auto"/>
              <w:left w:val="nil"/>
              <w:bottom w:val="nil"/>
              <w:right w:val="single" w:sz="6" w:space="0" w:color="auto"/>
            </w:tcBorders>
            <w:tcMar>
              <w:left w:w="105" w:type="dxa"/>
              <w:right w:w="105" w:type="dxa"/>
            </w:tcMar>
            <w:vAlign w:val="center"/>
          </w:tcPr>
          <w:p w14:paraId="7C855A68"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Modifiable risk factor, n (%)</w:t>
            </w:r>
          </w:p>
        </w:tc>
        <w:tc>
          <w:tcPr>
            <w:tcW w:w="1605" w:type="dxa"/>
            <w:tcBorders>
              <w:top w:val="single" w:sz="6" w:space="0" w:color="auto"/>
              <w:left w:val="single" w:sz="6" w:space="0" w:color="auto"/>
              <w:bottom w:val="nil"/>
              <w:right w:val="single" w:sz="6" w:space="0" w:color="auto"/>
            </w:tcBorders>
            <w:tcMar>
              <w:left w:w="105" w:type="dxa"/>
              <w:right w:w="105" w:type="dxa"/>
            </w:tcMar>
            <w:vAlign w:val="center"/>
          </w:tcPr>
          <w:p w14:paraId="36987D10"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05" w:type="dxa"/>
            <w:tcBorders>
              <w:top w:val="single" w:sz="6" w:space="0" w:color="auto"/>
              <w:left w:val="single" w:sz="6" w:space="0" w:color="auto"/>
              <w:bottom w:val="nil"/>
              <w:right w:val="nil"/>
            </w:tcBorders>
            <w:tcMar>
              <w:left w:w="105" w:type="dxa"/>
              <w:right w:w="105" w:type="dxa"/>
            </w:tcMar>
            <w:vAlign w:val="center"/>
          </w:tcPr>
          <w:p w14:paraId="0F7CC5E9"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05" w:type="dxa"/>
            <w:tcBorders>
              <w:top w:val="single" w:sz="6" w:space="0" w:color="auto"/>
              <w:left w:val="nil"/>
              <w:bottom w:val="nil"/>
              <w:right w:val="nil"/>
            </w:tcBorders>
            <w:tcMar>
              <w:left w:w="105" w:type="dxa"/>
              <w:right w:w="105" w:type="dxa"/>
            </w:tcMar>
            <w:vAlign w:val="center"/>
          </w:tcPr>
          <w:p w14:paraId="2038F972"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r>
      <w:tr w:rsidR="00307043" w:rsidRPr="00307043" w14:paraId="0441BB64" w14:textId="77777777" w:rsidTr="00D726E3">
        <w:trPr>
          <w:trHeight w:val="300"/>
        </w:trPr>
        <w:tc>
          <w:tcPr>
            <w:tcW w:w="3165" w:type="dxa"/>
            <w:tcBorders>
              <w:top w:val="nil"/>
              <w:left w:val="nil"/>
              <w:bottom w:val="single" w:sz="6" w:space="0" w:color="auto"/>
              <w:right w:val="single" w:sz="6" w:space="0" w:color="auto"/>
            </w:tcBorders>
            <w:tcMar>
              <w:left w:w="105" w:type="dxa"/>
              <w:right w:w="105" w:type="dxa"/>
            </w:tcMar>
            <w:vAlign w:val="center"/>
          </w:tcPr>
          <w:p w14:paraId="4C45470F" w14:textId="77777777" w:rsidR="00684BFB" w:rsidRPr="00307043" w:rsidRDefault="00977696">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Tobacco use</w:t>
            </w:r>
          </w:p>
        </w:tc>
        <w:tc>
          <w:tcPr>
            <w:tcW w:w="1605" w:type="dxa"/>
            <w:tcBorders>
              <w:top w:val="nil"/>
              <w:left w:val="single" w:sz="6" w:space="0" w:color="auto"/>
              <w:bottom w:val="single" w:sz="6" w:space="0" w:color="auto"/>
              <w:right w:val="single" w:sz="6" w:space="0" w:color="auto"/>
            </w:tcBorders>
            <w:tcMar>
              <w:left w:w="105" w:type="dxa"/>
              <w:right w:w="105" w:type="dxa"/>
            </w:tcMar>
            <w:vAlign w:val="center"/>
          </w:tcPr>
          <w:p w14:paraId="346B5B07"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c>
          <w:tcPr>
            <w:tcW w:w="1605" w:type="dxa"/>
            <w:tcBorders>
              <w:top w:val="nil"/>
              <w:left w:val="single" w:sz="6" w:space="0" w:color="auto"/>
              <w:bottom w:val="single" w:sz="6" w:space="0" w:color="auto"/>
              <w:right w:val="nil"/>
            </w:tcBorders>
            <w:tcMar>
              <w:left w:w="105" w:type="dxa"/>
              <w:right w:w="105" w:type="dxa"/>
            </w:tcMar>
            <w:vAlign w:val="center"/>
          </w:tcPr>
          <w:p w14:paraId="794271C9"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1 (100.0)</w:t>
            </w:r>
          </w:p>
        </w:tc>
        <w:tc>
          <w:tcPr>
            <w:tcW w:w="1605" w:type="dxa"/>
            <w:tcBorders>
              <w:top w:val="nil"/>
              <w:left w:val="nil"/>
              <w:bottom w:val="single" w:sz="6" w:space="0" w:color="auto"/>
              <w:right w:val="nil"/>
            </w:tcBorders>
            <w:tcMar>
              <w:left w:w="105" w:type="dxa"/>
              <w:right w:w="105" w:type="dxa"/>
            </w:tcMar>
            <w:vAlign w:val="center"/>
          </w:tcPr>
          <w:p w14:paraId="6AB9C290"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r>
      <w:tr w:rsidR="00307043" w:rsidRPr="00307043" w14:paraId="12E76B7C" w14:textId="77777777" w:rsidTr="00D726E3">
        <w:trPr>
          <w:trHeight w:val="300"/>
        </w:trPr>
        <w:tc>
          <w:tcPr>
            <w:tcW w:w="3165" w:type="dxa"/>
            <w:tcBorders>
              <w:top w:val="single" w:sz="6" w:space="0" w:color="auto"/>
              <w:left w:val="nil"/>
              <w:bottom w:val="nil"/>
              <w:right w:val="single" w:sz="6" w:space="0" w:color="auto"/>
            </w:tcBorders>
            <w:tcMar>
              <w:left w:w="105" w:type="dxa"/>
              <w:right w:w="105" w:type="dxa"/>
            </w:tcMar>
            <w:vAlign w:val="center"/>
          </w:tcPr>
          <w:p w14:paraId="151420BE"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With LoE/ consensus, n (%)</w:t>
            </w:r>
          </w:p>
        </w:tc>
        <w:tc>
          <w:tcPr>
            <w:tcW w:w="1605" w:type="dxa"/>
            <w:tcBorders>
              <w:top w:val="single" w:sz="6" w:space="0" w:color="auto"/>
              <w:left w:val="single" w:sz="6" w:space="0" w:color="auto"/>
              <w:bottom w:val="nil"/>
              <w:right w:val="single" w:sz="6" w:space="0" w:color="auto"/>
            </w:tcBorders>
            <w:tcMar>
              <w:left w:w="105" w:type="dxa"/>
              <w:right w:w="105" w:type="dxa"/>
            </w:tcMar>
            <w:vAlign w:val="center"/>
          </w:tcPr>
          <w:p w14:paraId="745E9709"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22 (95.7)</w:t>
            </w:r>
          </w:p>
        </w:tc>
        <w:tc>
          <w:tcPr>
            <w:tcW w:w="1605" w:type="dxa"/>
            <w:tcBorders>
              <w:top w:val="single" w:sz="6" w:space="0" w:color="auto"/>
              <w:left w:val="single" w:sz="6" w:space="0" w:color="auto"/>
              <w:bottom w:val="nil"/>
              <w:right w:val="nil"/>
            </w:tcBorders>
            <w:tcMar>
              <w:left w:w="105" w:type="dxa"/>
              <w:right w:w="105" w:type="dxa"/>
            </w:tcMar>
            <w:vAlign w:val="center"/>
          </w:tcPr>
          <w:p w14:paraId="2295C8EA"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0 (0.0)</w:t>
            </w:r>
          </w:p>
        </w:tc>
        <w:tc>
          <w:tcPr>
            <w:tcW w:w="1605" w:type="dxa"/>
            <w:tcBorders>
              <w:top w:val="single" w:sz="6" w:space="0" w:color="auto"/>
              <w:left w:val="nil"/>
              <w:bottom w:val="nil"/>
              <w:right w:val="nil"/>
            </w:tcBorders>
            <w:tcMar>
              <w:left w:w="105" w:type="dxa"/>
              <w:right w:w="105" w:type="dxa"/>
            </w:tcMar>
            <w:vAlign w:val="center"/>
          </w:tcPr>
          <w:p w14:paraId="10EA8BD5"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22 (100.0)</w:t>
            </w:r>
          </w:p>
        </w:tc>
      </w:tr>
      <w:tr w:rsidR="00307043" w:rsidRPr="00307043" w14:paraId="380EAF5D" w14:textId="77777777" w:rsidTr="00D726E3">
        <w:trPr>
          <w:trHeight w:val="300"/>
        </w:trPr>
        <w:tc>
          <w:tcPr>
            <w:tcW w:w="3165" w:type="dxa"/>
            <w:tcBorders>
              <w:top w:val="nil"/>
              <w:left w:val="nil"/>
              <w:bottom w:val="nil"/>
              <w:right w:val="single" w:sz="6" w:space="0" w:color="auto"/>
            </w:tcBorders>
            <w:tcMar>
              <w:left w:w="105" w:type="dxa"/>
              <w:right w:w="105" w:type="dxa"/>
            </w:tcMar>
            <w:vAlign w:val="center"/>
          </w:tcPr>
          <w:p w14:paraId="07B20472" w14:textId="77777777" w:rsidR="00684BFB" w:rsidRPr="00307043" w:rsidRDefault="00977696">
            <w:pPr>
              <w:spacing w:before="36" w:after="36"/>
              <w:ind w:left="284"/>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Tier LoE</w:t>
            </w:r>
          </w:p>
        </w:tc>
        <w:tc>
          <w:tcPr>
            <w:tcW w:w="1605" w:type="dxa"/>
            <w:tcBorders>
              <w:top w:val="nil"/>
              <w:left w:val="single" w:sz="6" w:space="0" w:color="auto"/>
              <w:bottom w:val="nil"/>
              <w:right w:val="single" w:sz="6" w:space="0" w:color="auto"/>
            </w:tcBorders>
            <w:tcMar>
              <w:left w:w="105" w:type="dxa"/>
              <w:right w:w="105" w:type="dxa"/>
            </w:tcMar>
            <w:vAlign w:val="center"/>
          </w:tcPr>
          <w:p w14:paraId="1EE9DF21"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05" w:type="dxa"/>
            <w:tcBorders>
              <w:top w:val="nil"/>
              <w:left w:val="single" w:sz="6" w:space="0" w:color="auto"/>
              <w:bottom w:val="nil"/>
              <w:right w:val="nil"/>
            </w:tcBorders>
            <w:tcMar>
              <w:left w:w="105" w:type="dxa"/>
              <w:right w:w="105" w:type="dxa"/>
            </w:tcMar>
            <w:vAlign w:val="center"/>
          </w:tcPr>
          <w:p w14:paraId="7C0B287F"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c>
          <w:tcPr>
            <w:tcW w:w="1605" w:type="dxa"/>
            <w:tcBorders>
              <w:top w:val="nil"/>
              <w:left w:val="nil"/>
              <w:bottom w:val="nil"/>
              <w:right w:val="nil"/>
            </w:tcBorders>
            <w:tcMar>
              <w:left w:w="105" w:type="dxa"/>
              <w:right w:w="105" w:type="dxa"/>
            </w:tcMar>
            <w:vAlign w:val="center"/>
          </w:tcPr>
          <w:p w14:paraId="343C66EF"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 </w:t>
            </w:r>
          </w:p>
        </w:tc>
      </w:tr>
      <w:tr w:rsidR="00307043" w:rsidRPr="00307043" w14:paraId="1A4B0462" w14:textId="77777777" w:rsidTr="00D726E3">
        <w:trPr>
          <w:trHeight w:val="300"/>
        </w:trPr>
        <w:tc>
          <w:tcPr>
            <w:tcW w:w="3165" w:type="dxa"/>
            <w:tcBorders>
              <w:top w:val="nil"/>
              <w:left w:val="nil"/>
              <w:bottom w:val="nil"/>
              <w:right w:val="single" w:sz="6" w:space="0" w:color="auto"/>
            </w:tcBorders>
            <w:tcMar>
              <w:left w:w="105" w:type="dxa"/>
              <w:right w:w="105" w:type="dxa"/>
            </w:tcMar>
            <w:vAlign w:val="center"/>
          </w:tcPr>
          <w:p w14:paraId="15E12327" w14:textId="77777777" w:rsidR="00684BFB" w:rsidRPr="00307043" w:rsidRDefault="00977696">
            <w:pPr>
              <w:spacing w:before="36" w:after="36"/>
              <w:ind w:left="567"/>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1</w:t>
            </w:r>
          </w:p>
        </w:tc>
        <w:tc>
          <w:tcPr>
            <w:tcW w:w="1605" w:type="dxa"/>
            <w:tcBorders>
              <w:top w:val="nil"/>
              <w:left w:val="single" w:sz="6" w:space="0" w:color="auto"/>
              <w:bottom w:val="nil"/>
              <w:right w:val="single" w:sz="6" w:space="0" w:color="auto"/>
            </w:tcBorders>
            <w:tcMar>
              <w:left w:w="105" w:type="dxa"/>
              <w:right w:w="105" w:type="dxa"/>
            </w:tcMar>
            <w:vAlign w:val="center"/>
          </w:tcPr>
          <w:p w14:paraId="1CEAFC8E"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7 (30.4)</w:t>
            </w:r>
          </w:p>
        </w:tc>
        <w:tc>
          <w:tcPr>
            <w:tcW w:w="1605" w:type="dxa"/>
            <w:tcBorders>
              <w:top w:val="nil"/>
              <w:left w:val="single" w:sz="6" w:space="0" w:color="auto"/>
              <w:bottom w:val="nil"/>
              <w:right w:val="nil"/>
            </w:tcBorders>
            <w:tcMar>
              <w:left w:w="105" w:type="dxa"/>
              <w:right w:w="105" w:type="dxa"/>
            </w:tcMar>
            <w:vAlign w:val="center"/>
          </w:tcPr>
          <w:p w14:paraId="36DE1818"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c>
          <w:tcPr>
            <w:tcW w:w="1605" w:type="dxa"/>
            <w:tcBorders>
              <w:top w:val="nil"/>
              <w:left w:val="nil"/>
              <w:bottom w:val="nil"/>
              <w:right w:val="nil"/>
            </w:tcBorders>
            <w:tcMar>
              <w:left w:w="105" w:type="dxa"/>
              <w:right w:w="105" w:type="dxa"/>
            </w:tcMar>
            <w:vAlign w:val="center"/>
          </w:tcPr>
          <w:p w14:paraId="233039D3"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7 (31.8)</w:t>
            </w:r>
          </w:p>
        </w:tc>
      </w:tr>
      <w:tr w:rsidR="00307043" w:rsidRPr="00307043" w14:paraId="4BF1FF82" w14:textId="77777777" w:rsidTr="00D726E3">
        <w:trPr>
          <w:trHeight w:val="300"/>
        </w:trPr>
        <w:tc>
          <w:tcPr>
            <w:tcW w:w="3165" w:type="dxa"/>
            <w:tcBorders>
              <w:top w:val="nil"/>
              <w:left w:val="nil"/>
              <w:bottom w:val="nil"/>
              <w:right w:val="single" w:sz="6" w:space="0" w:color="auto"/>
            </w:tcBorders>
            <w:tcMar>
              <w:left w:w="105" w:type="dxa"/>
              <w:right w:w="105" w:type="dxa"/>
            </w:tcMar>
            <w:vAlign w:val="center"/>
          </w:tcPr>
          <w:p w14:paraId="64FBFDF7" w14:textId="77777777" w:rsidR="00684BFB" w:rsidRPr="00307043" w:rsidRDefault="00977696">
            <w:pPr>
              <w:spacing w:before="36" w:after="36"/>
              <w:ind w:left="567"/>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2</w:t>
            </w:r>
          </w:p>
        </w:tc>
        <w:tc>
          <w:tcPr>
            <w:tcW w:w="1605" w:type="dxa"/>
            <w:tcBorders>
              <w:top w:val="nil"/>
              <w:left w:val="single" w:sz="6" w:space="0" w:color="auto"/>
              <w:bottom w:val="nil"/>
              <w:right w:val="single" w:sz="6" w:space="0" w:color="auto"/>
            </w:tcBorders>
            <w:tcMar>
              <w:left w:w="105" w:type="dxa"/>
              <w:right w:w="105" w:type="dxa"/>
            </w:tcMar>
            <w:vAlign w:val="center"/>
          </w:tcPr>
          <w:p w14:paraId="279690DA"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7 (30.4)</w:t>
            </w:r>
          </w:p>
        </w:tc>
        <w:tc>
          <w:tcPr>
            <w:tcW w:w="1605" w:type="dxa"/>
            <w:tcBorders>
              <w:top w:val="nil"/>
              <w:left w:val="single" w:sz="6" w:space="0" w:color="auto"/>
              <w:bottom w:val="nil"/>
              <w:right w:val="nil"/>
            </w:tcBorders>
            <w:tcMar>
              <w:left w:w="105" w:type="dxa"/>
              <w:right w:w="105" w:type="dxa"/>
            </w:tcMar>
            <w:vAlign w:val="center"/>
          </w:tcPr>
          <w:p w14:paraId="0466061F"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c>
          <w:tcPr>
            <w:tcW w:w="1605" w:type="dxa"/>
            <w:tcBorders>
              <w:top w:val="nil"/>
              <w:left w:val="nil"/>
              <w:bottom w:val="nil"/>
              <w:right w:val="nil"/>
            </w:tcBorders>
            <w:tcMar>
              <w:left w:w="105" w:type="dxa"/>
              <w:right w:w="105" w:type="dxa"/>
            </w:tcMar>
            <w:vAlign w:val="center"/>
          </w:tcPr>
          <w:p w14:paraId="5C18E68D"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7 (31.8)</w:t>
            </w:r>
          </w:p>
        </w:tc>
      </w:tr>
      <w:tr w:rsidR="00684BFB" w:rsidRPr="00307043" w14:paraId="35E91212" w14:textId="77777777" w:rsidTr="00D726E3">
        <w:trPr>
          <w:trHeight w:val="300"/>
        </w:trPr>
        <w:tc>
          <w:tcPr>
            <w:tcW w:w="3165" w:type="dxa"/>
            <w:tcBorders>
              <w:top w:val="nil"/>
              <w:left w:val="nil"/>
              <w:bottom w:val="nil"/>
              <w:right w:val="single" w:sz="6" w:space="0" w:color="auto"/>
            </w:tcBorders>
            <w:tcMar>
              <w:left w:w="105" w:type="dxa"/>
              <w:right w:w="105" w:type="dxa"/>
            </w:tcMar>
            <w:vAlign w:val="center"/>
          </w:tcPr>
          <w:p w14:paraId="3E7B51EE" w14:textId="77777777" w:rsidR="00684BFB" w:rsidRPr="00307043" w:rsidRDefault="00977696">
            <w:pPr>
              <w:spacing w:before="36" w:after="36"/>
              <w:ind w:left="567"/>
              <w:rPr>
                <w:rFonts w:ascii="Times New Roman" w:eastAsia="Times New Roman" w:hAnsi="Times New Roman" w:cs="Times New Roman"/>
                <w:sz w:val="20"/>
                <w:szCs w:val="20"/>
              </w:rPr>
            </w:pPr>
            <w:r w:rsidRPr="00307043">
              <w:rPr>
                <w:rFonts w:ascii="Times New Roman" w:eastAsia="Times New Roman" w:hAnsi="Times New Roman" w:cs="Times New Roman"/>
                <w:b/>
                <w:bCs/>
                <w:sz w:val="20"/>
                <w:szCs w:val="20"/>
                <w:lang w:val="en-US"/>
              </w:rPr>
              <w:t>3</w:t>
            </w:r>
          </w:p>
        </w:tc>
        <w:tc>
          <w:tcPr>
            <w:tcW w:w="1605" w:type="dxa"/>
            <w:tcBorders>
              <w:top w:val="nil"/>
              <w:left w:val="single" w:sz="6" w:space="0" w:color="auto"/>
              <w:bottom w:val="nil"/>
              <w:right w:val="single" w:sz="6" w:space="0" w:color="auto"/>
            </w:tcBorders>
            <w:tcMar>
              <w:left w:w="105" w:type="dxa"/>
              <w:right w:w="105" w:type="dxa"/>
            </w:tcMar>
            <w:vAlign w:val="center"/>
          </w:tcPr>
          <w:p w14:paraId="2B8545C7"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 xml:space="preserve">8 (34.8) </w:t>
            </w:r>
          </w:p>
        </w:tc>
        <w:tc>
          <w:tcPr>
            <w:tcW w:w="1605" w:type="dxa"/>
            <w:tcBorders>
              <w:top w:val="nil"/>
              <w:left w:val="single" w:sz="6" w:space="0" w:color="auto"/>
              <w:bottom w:val="nil"/>
              <w:right w:val="nil"/>
            </w:tcBorders>
            <w:tcMar>
              <w:left w:w="105" w:type="dxa"/>
              <w:right w:w="105" w:type="dxa"/>
            </w:tcMar>
            <w:vAlign w:val="center"/>
          </w:tcPr>
          <w:p w14:paraId="3F7DBD7E"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w:t>
            </w:r>
          </w:p>
        </w:tc>
        <w:tc>
          <w:tcPr>
            <w:tcW w:w="1605" w:type="dxa"/>
            <w:tcBorders>
              <w:top w:val="nil"/>
              <w:left w:val="nil"/>
              <w:bottom w:val="nil"/>
              <w:right w:val="nil"/>
            </w:tcBorders>
            <w:tcMar>
              <w:left w:w="105" w:type="dxa"/>
              <w:right w:w="105" w:type="dxa"/>
            </w:tcMar>
            <w:vAlign w:val="center"/>
          </w:tcPr>
          <w:p w14:paraId="6BEF1165" w14:textId="77777777" w:rsidR="00684BFB" w:rsidRPr="00307043" w:rsidRDefault="00977696">
            <w:pPr>
              <w:spacing w:before="36" w:after="36"/>
              <w:rPr>
                <w:rFonts w:ascii="Times New Roman" w:eastAsia="Times New Roman" w:hAnsi="Times New Roman" w:cs="Times New Roman"/>
                <w:sz w:val="20"/>
                <w:szCs w:val="20"/>
              </w:rPr>
            </w:pPr>
            <w:r w:rsidRPr="00307043">
              <w:rPr>
                <w:rFonts w:ascii="Times New Roman" w:eastAsia="Times New Roman" w:hAnsi="Times New Roman" w:cs="Times New Roman"/>
                <w:sz w:val="20"/>
                <w:szCs w:val="20"/>
                <w:lang w:val="en-US"/>
              </w:rPr>
              <w:t>8 (36.4)</w:t>
            </w:r>
          </w:p>
        </w:tc>
      </w:tr>
    </w:tbl>
    <w:p w14:paraId="2D092E31" w14:textId="77777777" w:rsidR="00684BFB" w:rsidRPr="00307043" w:rsidRDefault="00684BFB"/>
    <w:sectPr w:rsidR="00684BFB" w:rsidRPr="0030704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B6C94" w14:textId="77777777" w:rsidR="00BD3692" w:rsidRDefault="00BD3692">
      <w:pPr>
        <w:spacing w:line="240" w:lineRule="auto"/>
      </w:pPr>
      <w:r>
        <w:separator/>
      </w:r>
    </w:p>
  </w:endnote>
  <w:endnote w:type="continuationSeparator" w:id="0">
    <w:p w14:paraId="7E805FE0" w14:textId="77777777" w:rsidR="00BD3692" w:rsidRDefault="00BD36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D420D" w14:textId="77777777" w:rsidR="00BD3692" w:rsidRDefault="00BD3692">
      <w:pPr>
        <w:spacing w:after="0"/>
      </w:pPr>
      <w:r>
        <w:separator/>
      </w:r>
    </w:p>
  </w:footnote>
  <w:footnote w:type="continuationSeparator" w:id="0">
    <w:p w14:paraId="2A4A084A" w14:textId="77777777" w:rsidR="00BD3692" w:rsidRDefault="00BD369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93B74"/>
    <w:multiLevelType w:val="multilevel"/>
    <w:tmpl w:val="1760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28449C"/>
    <w:multiLevelType w:val="multilevel"/>
    <w:tmpl w:val="B0B6E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AD084C"/>
    <w:multiLevelType w:val="multilevel"/>
    <w:tmpl w:val="E3FAB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E66839"/>
    <w:multiLevelType w:val="multilevel"/>
    <w:tmpl w:val="26B8A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455E1B"/>
    <w:multiLevelType w:val="multilevel"/>
    <w:tmpl w:val="103E6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01526D"/>
    <w:multiLevelType w:val="multilevel"/>
    <w:tmpl w:val="B62C2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5B34B0"/>
    <w:multiLevelType w:val="multilevel"/>
    <w:tmpl w:val="16CA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CE6704"/>
    <w:multiLevelType w:val="multilevel"/>
    <w:tmpl w:val="9B06A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4C2199C"/>
    <w:multiLevelType w:val="multilevel"/>
    <w:tmpl w:val="638A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B9300F3"/>
    <w:multiLevelType w:val="multilevel"/>
    <w:tmpl w:val="27A44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4B69BF"/>
    <w:multiLevelType w:val="multilevel"/>
    <w:tmpl w:val="334A0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4678793">
    <w:abstractNumId w:val="0"/>
  </w:num>
  <w:num w:numId="2" w16cid:durableId="2082242438">
    <w:abstractNumId w:val="3"/>
  </w:num>
  <w:num w:numId="3" w16cid:durableId="1254584460">
    <w:abstractNumId w:val="1"/>
  </w:num>
  <w:num w:numId="4" w16cid:durableId="994407950">
    <w:abstractNumId w:val="9"/>
  </w:num>
  <w:num w:numId="5" w16cid:durableId="100532690">
    <w:abstractNumId w:val="4"/>
  </w:num>
  <w:num w:numId="6" w16cid:durableId="1865707227">
    <w:abstractNumId w:val="10"/>
  </w:num>
  <w:num w:numId="7" w16cid:durableId="1623417845">
    <w:abstractNumId w:val="2"/>
  </w:num>
  <w:num w:numId="8" w16cid:durableId="72166755">
    <w:abstractNumId w:val="6"/>
  </w:num>
  <w:num w:numId="9" w16cid:durableId="312804714">
    <w:abstractNumId w:val="7"/>
  </w:num>
  <w:num w:numId="10" w16cid:durableId="681976876">
    <w:abstractNumId w:val="8"/>
  </w:num>
  <w:num w:numId="11" w16cid:durableId="5729307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15792E"/>
    <w:rsid w:val="00066522"/>
    <w:rsid w:val="00140161"/>
    <w:rsid w:val="00271CE4"/>
    <w:rsid w:val="00273AD4"/>
    <w:rsid w:val="002B5D66"/>
    <w:rsid w:val="00307043"/>
    <w:rsid w:val="00342FC4"/>
    <w:rsid w:val="003F24C5"/>
    <w:rsid w:val="004B3060"/>
    <w:rsid w:val="00511C5D"/>
    <w:rsid w:val="00581555"/>
    <w:rsid w:val="005A3DD5"/>
    <w:rsid w:val="005E3135"/>
    <w:rsid w:val="00611128"/>
    <w:rsid w:val="00683FD8"/>
    <w:rsid w:val="00684BFB"/>
    <w:rsid w:val="006F2DE9"/>
    <w:rsid w:val="007269EF"/>
    <w:rsid w:val="008E2B10"/>
    <w:rsid w:val="0093006F"/>
    <w:rsid w:val="00963FEB"/>
    <w:rsid w:val="00964C37"/>
    <w:rsid w:val="00977696"/>
    <w:rsid w:val="00987858"/>
    <w:rsid w:val="009E6070"/>
    <w:rsid w:val="00A36575"/>
    <w:rsid w:val="00A6337A"/>
    <w:rsid w:val="00A727E2"/>
    <w:rsid w:val="00AA2839"/>
    <w:rsid w:val="00AE18EB"/>
    <w:rsid w:val="00B35D3B"/>
    <w:rsid w:val="00B56F53"/>
    <w:rsid w:val="00B61256"/>
    <w:rsid w:val="00B627CE"/>
    <w:rsid w:val="00BD3692"/>
    <w:rsid w:val="00CC29E6"/>
    <w:rsid w:val="00CC4926"/>
    <w:rsid w:val="00D726E3"/>
    <w:rsid w:val="00DD6AE3"/>
    <w:rsid w:val="00F96F56"/>
    <w:rsid w:val="00FA76C9"/>
    <w:rsid w:val="01F49718"/>
    <w:rsid w:val="0238B27A"/>
    <w:rsid w:val="045D615B"/>
    <w:rsid w:val="07CCFC20"/>
    <w:rsid w:val="08CBB258"/>
    <w:rsid w:val="0D416F65"/>
    <w:rsid w:val="0F1DEFE5"/>
    <w:rsid w:val="12C73864"/>
    <w:rsid w:val="143F51B1"/>
    <w:rsid w:val="177BB319"/>
    <w:rsid w:val="19768434"/>
    <w:rsid w:val="1F866CEA"/>
    <w:rsid w:val="20AB7512"/>
    <w:rsid w:val="21F4430C"/>
    <w:rsid w:val="23BD076C"/>
    <w:rsid w:val="2FA30665"/>
    <w:rsid w:val="346C2B41"/>
    <w:rsid w:val="34B9945B"/>
    <w:rsid w:val="3786EE28"/>
    <w:rsid w:val="37E7A444"/>
    <w:rsid w:val="391B5BD2"/>
    <w:rsid w:val="3F36F388"/>
    <w:rsid w:val="40F067FB"/>
    <w:rsid w:val="4210D21F"/>
    <w:rsid w:val="44FC7312"/>
    <w:rsid w:val="45D3B006"/>
    <w:rsid w:val="46977CF7"/>
    <w:rsid w:val="495768EE"/>
    <w:rsid w:val="49632043"/>
    <w:rsid w:val="4A3992B9"/>
    <w:rsid w:val="50BD2C94"/>
    <w:rsid w:val="526AEFDE"/>
    <w:rsid w:val="54F32C53"/>
    <w:rsid w:val="5541623E"/>
    <w:rsid w:val="5588A27A"/>
    <w:rsid w:val="58E8B14C"/>
    <w:rsid w:val="5C861F12"/>
    <w:rsid w:val="5C9CC4CF"/>
    <w:rsid w:val="5EFF9A4D"/>
    <w:rsid w:val="648C6085"/>
    <w:rsid w:val="67628828"/>
    <w:rsid w:val="67C25A5E"/>
    <w:rsid w:val="67D039B1"/>
    <w:rsid w:val="6B74A83C"/>
    <w:rsid w:val="6D2C0DF0"/>
    <w:rsid w:val="713BC398"/>
    <w:rsid w:val="7315792E"/>
    <w:rsid w:val="750DD8A1"/>
    <w:rsid w:val="7745B221"/>
    <w:rsid w:val="7BBCDC4D"/>
    <w:rsid w:val="7CDB12F5"/>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A596E"/>
  <w15:docId w15:val="{BEED8E93-7DEE-4513-B69C-F922D3133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9" w:lineRule="auto"/>
    </w:pPr>
    <w:rPr>
      <w:sz w:val="24"/>
      <w:szCs w:val="24"/>
      <w:lang w:eastAsia="en-US"/>
    </w:rPr>
  </w:style>
  <w:style w:type="paragraph" w:styleId="Heading1">
    <w:name w:val="heading 1"/>
    <w:basedOn w:val="Normal"/>
    <w:next w:val="Normal"/>
    <w:link w:val="Heading1Char"/>
    <w:uiPriority w:val="9"/>
    <w:qFormat/>
    <w:rsid w:val="00A3657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3657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36575"/>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36575"/>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A36575"/>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A36575"/>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A36575"/>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A36575"/>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A36575"/>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unhideWhenUsed/>
    <w:rsid w:val="00A36575"/>
    <w:rPr>
      <w:sz w:val="24"/>
      <w:szCs w:val="24"/>
      <w:lang w:eastAsia="en-US"/>
    </w:rPr>
  </w:style>
  <w:style w:type="character" w:customStyle="1" w:styleId="Heading1Char">
    <w:name w:val="Heading 1 Char"/>
    <w:basedOn w:val="DefaultParagraphFont"/>
    <w:link w:val="Heading1"/>
    <w:uiPriority w:val="9"/>
    <w:rsid w:val="00A36575"/>
    <w:rPr>
      <w:rFonts w:asciiTheme="majorHAnsi" w:eastAsiaTheme="majorEastAsia" w:hAnsiTheme="majorHAnsi" w:cstheme="majorBidi"/>
      <w:color w:val="0F4761" w:themeColor="accent1" w:themeShade="BF"/>
      <w:kern w:val="2"/>
      <w:sz w:val="40"/>
      <w:szCs w:val="40"/>
      <w:lang w:eastAsia="en-US"/>
      <w14:ligatures w14:val="standardContextual"/>
    </w:rPr>
  </w:style>
  <w:style w:type="character" w:customStyle="1" w:styleId="Heading2Char">
    <w:name w:val="Heading 2 Char"/>
    <w:basedOn w:val="DefaultParagraphFont"/>
    <w:link w:val="Heading2"/>
    <w:uiPriority w:val="9"/>
    <w:semiHidden/>
    <w:rsid w:val="00A36575"/>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basedOn w:val="DefaultParagraphFont"/>
    <w:link w:val="Heading3"/>
    <w:uiPriority w:val="9"/>
    <w:semiHidden/>
    <w:rsid w:val="00A36575"/>
    <w:rPr>
      <w:rFonts w:eastAsiaTheme="majorEastAsia" w:cstheme="majorBidi"/>
      <w:color w:val="0F4761" w:themeColor="accent1" w:themeShade="BF"/>
      <w:kern w:val="2"/>
      <w:sz w:val="28"/>
      <w:szCs w:val="28"/>
      <w:lang w:eastAsia="en-US"/>
      <w14:ligatures w14:val="standardContextual"/>
    </w:rPr>
  </w:style>
  <w:style w:type="character" w:customStyle="1" w:styleId="Heading4Char">
    <w:name w:val="Heading 4 Char"/>
    <w:basedOn w:val="DefaultParagraphFont"/>
    <w:link w:val="Heading4"/>
    <w:uiPriority w:val="9"/>
    <w:semiHidden/>
    <w:rsid w:val="00A36575"/>
    <w:rPr>
      <w:rFonts w:eastAsiaTheme="majorEastAsia" w:cstheme="majorBidi"/>
      <w:i/>
      <w:iCs/>
      <w:color w:val="0F4761" w:themeColor="accent1" w:themeShade="BF"/>
      <w:kern w:val="2"/>
      <w:sz w:val="22"/>
      <w:szCs w:val="22"/>
      <w:lang w:eastAsia="en-US"/>
      <w14:ligatures w14:val="standardContextual"/>
    </w:rPr>
  </w:style>
  <w:style w:type="character" w:customStyle="1" w:styleId="Heading5Char">
    <w:name w:val="Heading 5 Char"/>
    <w:basedOn w:val="DefaultParagraphFont"/>
    <w:link w:val="Heading5"/>
    <w:uiPriority w:val="9"/>
    <w:semiHidden/>
    <w:rsid w:val="00A36575"/>
    <w:rPr>
      <w:rFonts w:eastAsiaTheme="majorEastAsia" w:cstheme="majorBidi"/>
      <w:color w:val="0F4761" w:themeColor="accent1" w:themeShade="BF"/>
      <w:kern w:val="2"/>
      <w:sz w:val="22"/>
      <w:szCs w:val="22"/>
      <w:lang w:eastAsia="en-US"/>
      <w14:ligatures w14:val="standardContextual"/>
    </w:rPr>
  </w:style>
  <w:style w:type="character" w:customStyle="1" w:styleId="Heading6Char">
    <w:name w:val="Heading 6 Char"/>
    <w:basedOn w:val="DefaultParagraphFont"/>
    <w:link w:val="Heading6"/>
    <w:uiPriority w:val="9"/>
    <w:semiHidden/>
    <w:rsid w:val="00A36575"/>
    <w:rPr>
      <w:rFonts w:eastAsiaTheme="majorEastAsia" w:cstheme="majorBidi"/>
      <w:i/>
      <w:iCs/>
      <w:color w:val="595959" w:themeColor="text1" w:themeTint="A6"/>
      <w:kern w:val="2"/>
      <w:sz w:val="22"/>
      <w:szCs w:val="22"/>
      <w:lang w:eastAsia="en-US"/>
      <w14:ligatures w14:val="standardContextual"/>
    </w:rPr>
  </w:style>
  <w:style w:type="character" w:customStyle="1" w:styleId="Heading7Char">
    <w:name w:val="Heading 7 Char"/>
    <w:basedOn w:val="DefaultParagraphFont"/>
    <w:link w:val="Heading7"/>
    <w:uiPriority w:val="9"/>
    <w:semiHidden/>
    <w:rsid w:val="00A36575"/>
    <w:rPr>
      <w:rFonts w:eastAsiaTheme="majorEastAsia" w:cstheme="majorBidi"/>
      <w:color w:val="595959" w:themeColor="text1" w:themeTint="A6"/>
      <w:kern w:val="2"/>
      <w:sz w:val="22"/>
      <w:szCs w:val="22"/>
      <w:lang w:eastAsia="en-US"/>
      <w14:ligatures w14:val="standardContextual"/>
    </w:rPr>
  </w:style>
  <w:style w:type="character" w:customStyle="1" w:styleId="Heading8Char">
    <w:name w:val="Heading 8 Char"/>
    <w:basedOn w:val="DefaultParagraphFont"/>
    <w:link w:val="Heading8"/>
    <w:uiPriority w:val="9"/>
    <w:semiHidden/>
    <w:rsid w:val="00A36575"/>
    <w:rPr>
      <w:rFonts w:eastAsiaTheme="majorEastAsia" w:cstheme="majorBidi"/>
      <w:i/>
      <w:iCs/>
      <w:color w:val="272727" w:themeColor="text1" w:themeTint="D8"/>
      <w:kern w:val="2"/>
      <w:sz w:val="22"/>
      <w:szCs w:val="22"/>
      <w:lang w:eastAsia="en-US"/>
      <w14:ligatures w14:val="standardContextual"/>
    </w:rPr>
  </w:style>
  <w:style w:type="character" w:customStyle="1" w:styleId="Heading9Char">
    <w:name w:val="Heading 9 Char"/>
    <w:basedOn w:val="DefaultParagraphFont"/>
    <w:link w:val="Heading9"/>
    <w:uiPriority w:val="9"/>
    <w:semiHidden/>
    <w:rsid w:val="00A36575"/>
    <w:rPr>
      <w:rFonts w:eastAsiaTheme="majorEastAsia" w:cstheme="majorBidi"/>
      <w:color w:val="272727" w:themeColor="text1" w:themeTint="D8"/>
      <w:kern w:val="2"/>
      <w:sz w:val="22"/>
      <w:szCs w:val="22"/>
      <w:lang w:eastAsia="en-US"/>
      <w14:ligatures w14:val="standardContextual"/>
    </w:rPr>
  </w:style>
  <w:style w:type="paragraph" w:styleId="Title">
    <w:name w:val="Title"/>
    <w:basedOn w:val="Normal"/>
    <w:next w:val="Normal"/>
    <w:link w:val="TitleChar"/>
    <w:uiPriority w:val="10"/>
    <w:qFormat/>
    <w:rsid w:val="00A3657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36575"/>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A36575"/>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36575"/>
    <w:rPr>
      <w:rFonts w:eastAsiaTheme="majorEastAsia"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A36575"/>
    <w:pPr>
      <w:spacing w:before="160" w:line="259" w:lineRule="auto"/>
      <w:jc w:val="center"/>
    </w:pPr>
    <w:rPr>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A36575"/>
    <w:rPr>
      <w:i/>
      <w:iCs/>
      <w:color w:val="404040" w:themeColor="text1" w:themeTint="BF"/>
      <w:kern w:val="2"/>
      <w:sz w:val="22"/>
      <w:szCs w:val="22"/>
      <w:lang w:eastAsia="en-US"/>
      <w14:ligatures w14:val="standardContextual"/>
    </w:rPr>
  </w:style>
  <w:style w:type="paragraph" w:styleId="ListParagraph">
    <w:name w:val="List Paragraph"/>
    <w:basedOn w:val="Normal"/>
    <w:uiPriority w:val="34"/>
    <w:qFormat/>
    <w:rsid w:val="00A36575"/>
    <w:pPr>
      <w:spacing w:line="259" w:lineRule="auto"/>
      <w:ind w:left="720"/>
      <w:contextualSpacing/>
    </w:pPr>
    <w:rPr>
      <w:kern w:val="2"/>
      <w:sz w:val="22"/>
      <w:szCs w:val="22"/>
      <w14:ligatures w14:val="standardContextual"/>
    </w:rPr>
  </w:style>
  <w:style w:type="character" w:styleId="IntenseEmphasis">
    <w:name w:val="Intense Emphasis"/>
    <w:basedOn w:val="DefaultParagraphFont"/>
    <w:uiPriority w:val="21"/>
    <w:qFormat/>
    <w:rsid w:val="00A36575"/>
    <w:rPr>
      <w:i/>
      <w:iCs/>
      <w:color w:val="0F4761" w:themeColor="accent1" w:themeShade="BF"/>
    </w:rPr>
  </w:style>
  <w:style w:type="paragraph" w:styleId="IntenseQuote">
    <w:name w:val="Intense Quote"/>
    <w:basedOn w:val="Normal"/>
    <w:next w:val="Normal"/>
    <w:link w:val="IntenseQuoteChar"/>
    <w:uiPriority w:val="30"/>
    <w:qFormat/>
    <w:rsid w:val="00A36575"/>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A36575"/>
    <w:rPr>
      <w:i/>
      <w:iCs/>
      <w:color w:val="0F4761" w:themeColor="accent1" w:themeShade="BF"/>
      <w:kern w:val="2"/>
      <w:sz w:val="22"/>
      <w:szCs w:val="22"/>
      <w:lang w:eastAsia="en-US"/>
      <w14:ligatures w14:val="standardContextual"/>
    </w:rPr>
  </w:style>
  <w:style w:type="character" w:styleId="IntenseReference">
    <w:name w:val="Intense Reference"/>
    <w:basedOn w:val="DefaultParagraphFont"/>
    <w:uiPriority w:val="32"/>
    <w:qFormat/>
    <w:rsid w:val="00A36575"/>
    <w:rPr>
      <w:b/>
      <w:bCs/>
      <w:smallCaps/>
      <w:color w:val="0F4761" w:themeColor="accent1" w:themeShade="BF"/>
      <w:spacing w:val="5"/>
    </w:rPr>
  </w:style>
  <w:style w:type="character" w:styleId="Hyperlink">
    <w:name w:val="Hyperlink"/>
    <w:basedOn w:val="DefaultParagraphFont"/>
    <w:uiPriority w:val="99"/>
    <w:unhideWhenUsed/>
    <w:rsid w:val="00A36575"/>
    <w:rPr>
      <w:color w:val="467886" w:themeColor="hyperlink"/>
      <w:u w:val="single"/>
    </w:rPr>
  </w:style>
  <w:style w:type="character" w:styleId="UnresolvedMention">
    <w:name w:val="Unresolved Mention"/>
    <w:basedOn w:val="DefaultParagraphFont"/>
    <w:uiPriority w:val="99"/>
    <w:semiHidden/>
    <w:unhideWhenUsed/>
    <w:rsid w:val="00A365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afp.org" TargetMode="External"/><Relationship Id="rId13" Type="http://schemas.openxmlformats.org/officeDocument/2006/relationships/hyperlink" Target="https://doi.org/10.129" TargetMode="External"/><Relationship Id="rId18" Type="http://schemas.openxmlformats.org/officeDocument/2006/relationships/hyperlink" Target="http://eurocarearchive.or" TargetMode="External"/><Relationship Id="rId3" Type="http://schemas.openxmlformats.org/officeDocument/2006/relationships/settings" Target="settings.xml"/><Relationship Id="rId21" Type="http://schemas.openxmlformats.org/officeDocument/2006/relationships/hyperlink" Target="https://doi.org/10.1016" TargetMode="External"/><Relationship Id="rId7" Type="http://schemas.openxmlformats.org/officeDocument/2006/relationships/hyperlink" Target="https://doi.org/10.1111" TargetMode="External"/><Relationship Id="rId12" Type="http://schemas.openxmlformats.org/officeDocument/2006/relationships/hyperlink" Target="https://doi.org/10.109" TargetMode="External"/><Relationship Id="rId17" Type="http://schemas.openxmlformats.org/officeDocument/2006/relationships/hyperlink" Target="https://www.cancerresear"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ancer.uthscsa.edu" TargetMode="External"/><Relationship Id="rId20" Type="http://schemas.openxmlformats.org/officeDocument/2006/relationships/hyperlink" Target="https://doi.org/10.364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cbi.nlm.nih" TargetMode="External"/><Relationship Id="rId23" Type="http://schemas.openxmlformats.org/officeDocument/2006/relationships/hyperlink" Target="https://doi.org/10.100" TargetMode="External"/><Relationship Id="rId10" Type="http://schemas.openxmlformats.org/officeDocument/2006/relationships/hyperlink" Target="https://doi.org/10.1007" TargetMode="External"/><Relationship Id="rId19" Type="http://schemas.openxmlformats.org/officeDocument/2006/relationships/hyperlink" Target="https://doi.org/10.1016" TargetMode="External"/><Relationship Id="rId4" Type="http://schemas.openxmlformats.org/officeDocument/2006/relationships/webSettings" Target="webSettings.xml"/><Relationship Id="rId9" Type="http://schemas.openxmlformats.org/officeDocument/2006/relationships/hyperlink" Target="https://doi.org/10.100" TargetMode="External"/><Relationship Id="rId14" Type="http://schemas.openxmlformats.org/officeDocument/2006/relationships/hyperlink" Target="https://doi.org/10.60" TargetMode="External"/><Relationship Id="rId22" Type="http://schemas.openxmlformats.org/officeDocument/2006/relationships/hyperlink" Target="https://pmc.ncbi.nlm.nih.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12</Pages>
  <Words>4026</Words>
  <Characters>22952</Characters>
  <Application>Microsoft Office Word</Application>
  <DocSecurity>0</DocSecurity>
  <Lines>191</Lines>
  <Paragraphs>53</Paragraphs>
  <ScaleCrop>false</ScaleCrop>
  <Company/>
  <LinksUpToDate>false</LinksUpToDate>
  <CharactersWithSpaces>26925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Lentini Nicolo' (nicolo.lentini)</dc:creator>
  <cp:lastModifiedBy>nicolò lentini</cp:lastModifiedBy>
  <cp:revision>32</cp:revision>
  <dcterms:created xsi:type="dcterms:W3CDTF">2026-03-03T12:57:00Z</dcterms:created>
  <dcterms:modified xsi:type="dcterms:W3CDTF">2026-04-15T05:50:00Z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2EC96397A9794E27AB7459AA85B67B4B_12</vt:lpwstr>
  </property>
</Properties>
</file>