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43FDE" w14:textId="03B331E4" w:rsidR="007473DD" w:rsidRPr="00FC0390" w:rsidRDefault="00AB304F" w:rsidP="007473DD">
      <w:pPr>
        <w:jc w:val="both"/>
        <w:rPr>
          <w:rFonts w:ascii="Arial" w:hAnsi="Arial" w:cs="Arial"/>
          <w:color w:val="000000" w:themeColor="text1"/>
        </w:rPr>
      </w:pPr>
      <w:r w:rsidRPr="00FC0390">
        <w:rPr>
          <w:rFonts w:ascii="Arial" w:hAnsi="Arial" w:cs="Arial"/>
          <w:color w:val="000000"/>
        </w:rPr>
        <w:t>Supplementary</w:t>
      </w:r>
      <w:r w:rsidR="007473DD" w:rsidRPr="00FC0390">
        <w:rPr>
          <w:rFonts w:ascii="Arial" w:hAnsi="Arial" w:cs="Arial"/>
          <w:color w:val="000000" w:themeColor="text1"/>
        </w:rPr>
        <w:t xml:space="preserve"> </w:t>
      </w:r>
      <w:r w:rsidR="00FC0390">
        <w:rPr>
          <w:rFonts w:ascii="Arial" w:hAnsi="Arial" w:cs="Arial"/>
          <w:color w:val="000000" w:themeColor="text1"/>
        </w:rPr>
        <w:t>M</w:t>
      </w:r>
      <w:r w:rsidR="007473DD" w:rsidRPr="00FC0390">
        <w:rPr>
          <w:rFonts w:ascii="Arial" w:hAnsi="Arial" w:cs="Arial"/>
          <w:color w:val="000000" w:themeColor="text1"/>
        </w:rPr>
        <w:t>aterial</w:t>
      </w:r>
    </w:p>
    <w:p w14:paraId="45B30BAD" w14:textId="77777777" w:rsidR="007473DD" w:rsidRPr="00FC0390" w:rsidRDefault="007473DD" w:rsidP="007473DD">
      <w:pPr>
        <w:jc w:val="both"/>
        <w:rPr>
          <w:rFonts w:ascii="Arial" w:hAnsi="Arial" w:cs="Arial"/>
          <w:color w:val="000000" w:themeColor="text1"/>
        </w:rPr>
      </w:pPr>
    </w:p>
    <w:p w14:paraId="281E0895" w14:textId="5221531A" w:rsidR="003257B1" w:rsidRPr="00EF20AD" w:rsidRDefault="00EA75B1" w:rsidP="003257B1">
      <w:pPr>
        <w:rPr>
          <w:rFonts w:ascii="Arial" w:hAnsi="Arial" w:cs="Arial"/>
          <w:b/>
          <w:bCs/>
        </w:rPr>
      </w:pPr>
      <w:r w:rsidRPr="003C0B2A">
        <w:rPr>
          <w:rFonts w:ascii="Arial" w:hAnsi="Arial" w:cs="Arial"/>
          <w:color w:val="000000" w:themeColor="text1"/>
        </w:rPr>
        <w:t>Yu-Jung Lin</w:t>
      </w:r>
      <w:r w:rsidR="00B77A63">
        <w:rPr>
          <w:rFonts w:ascii="Arial" w:hAnsi="Arial" w:cs="Arial"/>
          <w:vertAlign w:val="superscript"/>
        </w:rPr>
        <w:t>1</w:t>
      </w:r>
      <w:r w:rsidRPr="003C0B2A">
        <w:rPr>
          <w:rFonts w:ascii="Arial" w:hAnsi="Arial" w:cs="Arial"/>
          <w:color w:val="212121"/>
          <w:shd w:val="clear" w:color="auto" w:fill="FFFFFF"/>
        </w:rPr>
        <w:t xml:space="preserve">, </w:t>
      </w:r>
      <w:r w:rsidRPr="003C0B2A">
        <w:rPr>
          <w:rFonts w:ascii="Arial" w:hAnsi="Arial" w:cs="Arial"/>
        </w:rPr>
        <w:t xml:space="preserve">Pei-Yun </w:t>
      </w:r>
      <w:r w:rsidRPr="003C0B2A">
        <w:rPr>
          <w:rFonts w:ascii="Arial" w:hAnsi="Arial" w:cs="Arial"/>
          <w:color w:val="000000" w:themeColor="text1"/>
        </w:rPr>
        <w:t>Li</w:t>
      </w:r>
      <w:r w:rsidR="00B77A63">
        <w:rPr>
          <w:rFonts w:ascii="Arial" w:hAnsi="Arial" w:cs="Arial"/>
          <w:vertAlign w:val="superscript"/>
        </w:rPr>
        <w:t>2</w:t>
      </w:r>
      <w:r w:rsidRPr="00F83B01">
        <w:rPr>
          <w:rFonts w:ascii="Arial" w:hAnsi="Arial" w:cs="Arial"/>
          <w:vertAlign w:val="superscript"/>
        </w:rPr>
        <w:t>,</w:t>
      </w:r>
      <w:r w:rsidR="00B77A63">
        <w:rPr>
          <w:rFonts w:ascii="Arial" w:hAnsi="Arial" w:cs="Arial"/>
          <w:vertAlign w:val="superscript"/>
        </w:rPr>
        <w:t>3</w:t>
      </w:r>
      <w:r w:rsidRPr="003C0B2A">
        <w:rPr>
          <w:rFonts w:ascii="Arial" w:hAnsi="Arial" w:cs="Arial"/>
          <w:color w:val="000000" w:themeColor="text1"/>
        </w:rPr>
        <w:t xml:space="preserve">, </w:t>
      </w:r>
      <w:r w:rsidRPr="00165873">
        <w:rPr>
          <w:rFonts w:ascii="Arial" w:hAnsi="Arial" w:cs="Arial"/>
          <w:color w:val="000000" w:themeColor="text1"/>
        </w:rPr>
        <w:t>Shao-Chia Chen</w:t>
      </w:r>
      <w:r w:rsidR="00B77A63">
        <w:rPr>
          <w:rFonts w:ascii="Arial" w:hAnsi="Arial" w:cs="Arial"/>
          <w:vertAlign w:val="superscript"/>
        </w:rPr>
        <w:t>2</w:t>
      </w:r>
      <w:r w:rsidR="00B77A63" w:rsidRPr="00F83B01">
        <w:rPr>
          <w:rFonts w:ascii="Arial" w:hAnsi="Arial" w:cs="Arial"/>
          <w:vertAlign w:val="superscript"/>
        </w:rPr>
        <w:t>,</w:t>
      </w:r>
      <w:r w:rsidR="00B77A63">
        <w:rPr>
          <w:rFonts w:ascii="Arial" w:hAnsi="Arial" w:cs="Arial"/>
          <w:vertAlign w:val="superscript"/>
        </w:rPr>
        <w:t>3</w:t>
      </w:r>
      <w:r w:rsidRPr="00165873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Pr="00F83B01">
        <w:rPr>
          <w:rFonts w:ascii="Arial" w:hAnsi="Arial" w:cs="Arial"/>
          <w:color w:val="000000" w:themeColor="text1"/>
        </w:rPr>
        <w:t>Gideon Meyerowitz-Katz</w:t>
      </w:r>
      <w:r w:rsidR="00B77A63">
        <w:rPr>
          <w:rFonts w:ascii="Arial" w:hAnsi="Arial" w:cs="Arial"/>
          <w:vertAlign w:val="superscript"/>
        </w:rPr>
        <w:t>4</w:t>
      </w:r>
      <w:r w:rsidRPr="00F83B01">
        <w:rPr>
          <w:rFonts w:ascii="Arial" w:eastAsia="標楷體" w:hAnsi="Arial" w:cs="Arial"/>
        </w:rPr>
        <w:t xml:space="preserve">, </w:t>
      </w:r>
      <w:r w:rsidRPr="003C0B2A">
        <w:rPr>
          <w:rFonts w:ascii="Arial" w:eastAsia="標楷體" w:hAnsi="Arial" w:cs="Arial"/>
        </w:rPr>
        <w:t>Yu-Nan Huang</w:t>
      </w:r>
      <w:r w:rsidR="00B77A63">
        <w:rPr>
          <w:rFonts w:ascii="Arial" w:hAnsi="Arial" w:cs="Arial"/>
          <w:vertAlign w:val="superscript"/>
        </w:rPr>
        <w:t>2</w:t>
      </w:r>
      <w:r w:rsidR="00B77A63" w:rsidRPr="00F83B01">
        <w:rPr>
          <w:rFonts w:ascii="Arial" w:hAnsi="Arial" w:cs="Arial"/>
          <w:vertAlign w:val="superscript"/>
        </w:rPr>
        <w:t>,</w:t>
      </w:r>
      <w:r w:rsidR="00B77A63">
        <w:rPr>
          <w:rFonts w:ascii="Arial" w:hAnsi="Arial" w:cs="Arial"/>
          <w:vertAlign w:val="superscript"/>
        </w:rPr>
        <w:t>3</w:t>
      </w:r>
      <w:r w:rsidRPr="003C0B2A">
        <w:rPr>
          <w:rFonts w:ascii="Arial" w:eastAsia="標楷體" w:hAnsi="Arial" w:cs="Arial"/>
        </w:rPr>
        <w:t xml:space="preserve">, </w:t>
      </w:r>
      <w:r w:rsidRPr="00F83B01">
        <w:rPr>
          <w:rFonts w:ascii="Arial" w:eastAsia="標楷體" w:hAnsi="Arial" w:cs="Arial"/>
        </w:rPr>
        <w:t>Pen-Hua Su</w:t>
      </w:r>
      <w:r w:rsidR="00B77A63">
        <w:rPr>
          <w:rFonts w:ascii="Arial" w:hAnsi="Arial" w:cs="Arial"/>
          <w:vertAlign w:val="superscript"/>
        </w:rPr>
        <w:t>2</w:t>
      </w:r>
      <w:r w:rsidR="00B77A63" w:rsidRPr="00F83B01">
        <w:rPr>
          <w:rFonts w:ascii="Arial" w:hAnsi="Arial" w:cs="Arial"/>
          <w:vertAlign w:val="superscript"/>
        </w:rPr>
        <w:t>,</w:t>
      </w:r>
      <w:r w:rsidR="00B77A63">
        <w:rPr>
          <w:rFonts w:ascii="Arial" w:hAnsi="Arial" w:cs="Arial"/>
          <w:vertAlign w:val="superscript"/>
        </w:rPr>
        <w:t>3</w:t>
      </w:r>
      <w:r>
        <w:rPr>
          <w:rFonts w:ascii="Arial" w:eastAsia="標楷體" w:hAnsi="Arial" w:cs="Arial"/>
        </w:rPr>
        <w:t>.</w:t>
      </w:r>
      <w:r w:rsidR="007473DD" w:rsidRPr="003257B1">
        <w:rPr>
          <w:rFonts w:ascii="Arial" w:hAnsi="Arial" w:cs="Arial"/>
          <w:color w:val="000000" w:themeColor="text1"/>
        </w:rPr>
        <w:t xml:space="preserve"> </w:t>
      </w:r>
      <w:r w:rsidR="00CD0DDD" w:rsidRPr="00540F61">
        <w:rPr>
          <w:rFonts w:ascii="Arial" w:hAnsi="Arial" w:cs="Arial"/>
          <w:color w:val="000000"/>
        </w:rPr>
        <w:t xml:space="preserve">GLP-1 Receptor Agonist Add-On at Immune Checkpoint Inhibitor Initiation and Fewer Wasting-Related Diagnoses and Acute-Care Episodes in </w:t>
      </w:r>
      <w:r w:rsidR="00CD0DDD">
        <w:rPr>
          <w:rFonts w:ascii="Arial" w:hAnsi="Arial" w:cs="Arial"/>
          <w:color w:val="000000"/>
        </w:rPr>
        <w:t>People</w:t>
      </w:r>
      <w:r w:rsidR="00CD0DDD" w:rsidRPr="00540F61">
        <w:rPr>
          <w:rFonts w:ascii="Arial" w:hAnsi="Arial" w:cs="Arial"/>
          <w:color w:val="000000"/>
        </w:rPr>
        <w:t xml:space="preserve"> with Cancer and Obesity without Diabetes: A Target Trial Emulation</w:t>
      </w:r>
    </w:p>
    <w:p w14:paraId="00D3D893" w14:textId="233BF18E" w:rsidR="007473DD" w:rsidRPr="007C1CD9" w:rsidRDefault="007473DD" w:rsidP="001D6FB6">
      <w:pPr>
        <w:rPr>
          <w:rFonts w:ascii="Arial" w:hAnsi="Arial" w:cs="Arial"/>
          <w:b/>
          <w:bCs/>
        </w:rPr>
      </w:pPr>
    </w:p>
    <w:p w14:paraId="5A282205" w14:textId="77777777" w:rsidR="007473DD" w:rsidRPr="007C1CD9" w:rsidRDefault="007473DD" w:rsidP="001D6FB6">
      <w:pPr>
        <w:rPr>
          <w:rFonts w:ascii="Arial" w:hAnsi="Arial" w:cs="Arial"/>
        </w:rPr>
      </w:pPr>
    </w:p>
    <w:p w14:paraId="6B4B4B89" w14:textId="77777777" w:rsidR="001D6FB6" w:rsidRPr="005524B0" w:rsidRDefault="00B77A63" w:rsidP="001D6FB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  <w:vertAlign w:val="superscript"/>
        </w:rPr>
        <w:t>1</w:t>
      </w:r>
      <w:r w:rsidR="000F6572" w:rsidRPr="00E84959">
        <w:rPr>
          <w:rFonts w:ascii="Arial" w:hAnsi="Arial" w:cs="Arial"/>
          <w:color w:val="000000" w:themeColor="text1"/>
          <w:sz w:val="20"/>
          <w:szCs w:val="20"/>
        </w:rPr>
        <w:t>Department of Research, Taipei Tzu Chi Hospital, Buddhist Tzu Chi Medical Foundation, New Taipei, Taiwan</w:t>
      </w:r>
      <w:r w:rsidR="000F6572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="000F6572" w:rsidRPr="00E84959">
        <w:rPr>
          <w:rFonts w:ascii="Arial" w:hAnsi="Arial" w:cs="Arial"/>
          <w:color w:val="000000"/>
          <w:sz w:val="20"/>
          <w:szCs w:val="20"/>
        </w:rPr>
        <w:t xml:space="preserve">Division of Genetics and Endocrinology, </w:t>
      </w:r>
      <w:r w:rsidR="000F6572" w:rsidRPr="00E84959">
        <w:rPr>
          <w:rFonts w:ascii="Arial" w:hAnsi="Arial" w:cs="Arial"/>
          <w:color w:val="000000" w:themeColor="text1"/>
          <w:sz w:val="20"/>
          <w:szCs w:val="20"/>
        </w:rPr>
        <w:t xml:space="preserve">Department of Pediatrics, Chung Shan Medical University Hospital, Taichung, Taiwan;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  <w:vertAlign w:val="superscript"/>
        </w:rPr>
        <w:t>3</w:t>
      </w:r>
      <w:r w:rsidR="000F6572" w:rsidRPr="00E84959">
        <w:rPr>
          <w:rFonts w:ascii="Arial" w:hAnsi="Arial" w:cs="Arial"/>
          <w:color w:val="000000" w:themeColor="text1"/>
          <w:sz w:val="20"/>
          <w:szCs w:val="20"/>
        </w:rPr>
        <w:t>School of Medicine, Chung Shan Medical University; Taichung, Taiwan;</w:t>
      </w:r>
      <w:r w:rsidR="000F6572">
        <w:rPr>
          <w:rFonts w:ascii="Arial" w:hAnsi="Arial" w:cs="Arial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  <w:vertAlign w:val="superscript"/>
        </w:rPr>
        <w:t>4</w:t>
      </w:r>
      <w:r w:rsidR="000F6572" w:rsidRPr="00F83B01">
        <w:rPr>
          <w:rFonts w:ascii="Arial" w:hAnsi="Arial" w:cs="Arial"/>
          <w:color w:val="000000" w:themeColor="text1"/>
          <w:sz w:val="20"/>
          <w:szCs w:val="20"/>
        </w:rPr>
        <w:t>School of Health and Society, University of Wollongong, Wollongong, Australia</w:t>
      </w:r>
      <w:r w:rsidR="000F6572" w:rsidRPr="00E84959">
        <w:rPr>
          <w:rFonts w:ascii="Arial" w:hAnsi="Arial" w:cs="Arial"/>
          <w:sz w:val="20"/>
          <w:szCs w:val="20"/>
        </w:rPr>
        <w:t xml:space="preserve">. </w:t>
      </w:r>
      <w:r w:rsidR="001D6FB6" w:rsidRPr="005524B0">
        <w:rPr>
          <w:rFonts w:ascii="Arial" w:eastAsia="標楷體" w:hAnsi="Arial" w:cs="Arial"/>
          <w:sz w:val="20"/>
          <w:szCs w:val="20"/>
        </w:rPr>
        <w:t>Yu-Nan Huang and Pen-Hua Su</w:t>
      </w:r>
      <w:r w:rsidR="001D6FB6" w:rsidRPr="005524B0">
        <w:rPr>
          <w:rFonts w:ascii="Arial" w:hAnsi="Arial" w:cs="Arial"/>
          <w:color w:val="000000"/>
          <w:sz w:val="20"/>
          <w:szCs w:val="20"/>
        </w:rPr>
        <w:t xml:space="preserve"> should be considered joint senior author</w:t>
      </w:r>
      <w:r w:rsidR="001D6FB6">
        <w:rPr>
          <w:rFonts w:ascii="Arial" w:hAnsi="Arial" w:cs="Arial"/>
          <w:color w:val="000000"/>
          <w:sz w:val="20"/>
          <w:szCs w:val="20"/>
        </w:rPr>
        <w:t>.</w:t>
      </w:r>
    </w:p>
    <w:p w14:paraId="50ADF082" w14:textId="429DBE5B" w:rsidR="007473DD" w:rsidRPr="001D6FB6" w:rsidRDefault="007473DD" w:rsidP="001D6FB6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BF09699" w14:textId="77777777" w:rsidR="007473DD" w:rsidRPr="00A73696" w:rsidRDefault="007473DD" w:rsidP="001D6FB6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406DDAB" w14:textId="5E936D0B" w:rsidR="00833F58" w:rsidRPr="00C249FD" w:rsidRDefault="007473DD" w:rsidP="00C249FD">
      <w:pPr>
        <w:snapToGrid w:val="0"/>
        <w:spacing w:before="100" w:beforeAutospacing="1" w:after="100" w:afterAutospacing="1"/>
        <w:jc w:val="both"/>
        <w:rPr>
          <w:rFonts w:ascii="Arial" w:hAnsi="Arial" w:cs="Arial"/>
          <w:bCs/>
          <w:color w:val="000000" w:themeColor="text1"/>
          <w:shd w:val="clear" w:color="auto" w:fill="FFFFFF"/>
        </w:rPr>
      </w:pPr>
      <w:r w:rsidRPr="005A1108">
        <w:rPr>
          <w:rFonts w:ascii="Arial" w:hAnsi="Arial" w:cs="Arial"/>
          <w:color w:val="000000" w:themeColor="text1"/>
        </w:rPr>
        <w:t>Correspondence to:</w:t>
      </w:r>
      <w:r w:rsidRPr="005A1108">
        <w:rPr>
          <w:rFonts w:ascii="Arial" w:hAnsi="Arial" w:cs="Arial"/>
          <w:bCs/>
          <w:color w:val="000000" w:themeColor="text1"/>
          <w:shd w:val="clear" w:color="auto" w:fill="FFFFFF"/>
        </w:rPr>
        <w:t xml:space="preserve"> </w:t>
      </w:r>
    </w:p>
    <w:p w14:paraId="6986A822" w14:textId="77777777" w:rsidR="00E32753" w:rsidRDefault="00C249FD" w:rsidP="00E32753">
      <w:pPr>
        <w:spacing w:line="480" w:lineRule="auto"/>
        <w:rPr>
          <w:rFonts w:ascii="Arial" w:hAnsi="Arial" w:cs="Arial"/>
        </w:rPr>
      </w:pPr>
      <w:r w:rsidRPr="00D46539">
        <w:rPr>
          <w:rFonts w:ascii="Arial" w:eastAsia="標楷體" w:hAnsi="Arial" w:cs="Arial"/>
          <w:color w:val="000000" w:themeColor="text1"/>
        </w:rPr>
        <w:t>Pen-Hua Su,</w:t>
      </w:r>
      <w:r w:rsidRPr="00D46539">
        <w:rPr>
          <w:rFonts w:ascii="Arial" w:hAnsi="Arial" w:cs="Arial"/>
        </w:rPr>
        <w:t xml:space="preserve"> MD, PhD</w:t>
      </w:r>
      <w:r w:rsidR="007473DD" w:rsidRPr="005A1108">
        <w:rPr>
          <w:rFonts w:ascii="Arial" w:hAnsi="Arial" w:cs="Arial"/>
        </w:rPr>
        <w:t xml:space="preserve"> </w:t>
      </w:r>
    </w:p>
    <w:p w14:paraId="2AA2CAD5" w14:textId="77777777" w:rsidR="00E32753" w:rsidRDefault="007473DD" w:rsidP="00E32753">
      <w:pPr>
        <w:spacing w:line="480" w:lineRule="auto"/>
        <w:rPr>
          <w:rFonts w:ascii="Arial" w:hAnsi="Arial" w:cs="Arial"/>
        </w:rPr>
      </w:pPr>
      <w:r w:rsidRPr="005A1108">
        <w:rPr>
          <w:rFonts w:ascii="Arial" w:hAnsi="Arial" w:cs="Arial"/>
        </w:rPr>
        <w:t>Division of Genetics and Metabolism, Department of Pediatrics, Chung Shan Medical University Hospital.</w:t>
      </w:r>
    </w:p>
    <w:p w14:paraId="3FD6F8F3" w14:textId="77777777" w:rsidR="00E32753" w:rsidRDefault="007473DD" w:rsidP="00E32753">
      <w:pPr>
        <w:spacing w:line="480" w:lineRule="auto"/>
        <w:rPr>
          <w:rFonts w:ascii="Arial" w:hAnsi="Arial" w:cs="Arial"/>
        </w:rPr>
      </w:pPr>
      <w:r w:rsidRPr="005A1108">
        <w:rPr>
          <w:rFonts w:ascii="Arial" w:hAnsi="Arial" w:cs="Arial"/>
        </w:rPr>
        <w:t xml:space="preserve">No. 110, Sec. 1, Jianguo N. Rd., South Dist., Taichung City 402306, Taiwan </w:t>
      </w:r>
      <w:r w:rsidR="00144937" w:rsidRPr="005A1108">
        <w:rPr>
          <w:rFonts w:ascii="Arial" w:hAnsi="Arial" w:cs="Arial"/>
          <w:color w:val="000000"/>
        </w:rPr>
        <w:t>(R.O.C.)</w:t>
      </w:r>
    </w:p>
    <w:p w14:paraId="749D9A53" w14:textId="77777777" w:rsidR="00E32753" w:rsidRDefault="007473DD" w:rsidP="00E32753">
      <w:pPr>
        <w:spacing w:line="480" w:lineRule="auto"/>
        <w:rPr>
          <w:rFonts w:ascii="Arial" w:hAnsi="Arial" w:cs="Arial"/>
        </w:rPr>
      </w:pPr>
      <w:r w:rsidRPr="005A1108">
        <w:rPr>
          <w:rFonts w:ascii="Arial" w:hAnsi="Arial" w:cs="Arial"/>
        </w:rPr>
        <w:t>E-mail:</w:t>
      </w:r>
      <w:r w:rsidR="005A1108" w:rsidRPr="005A1108">
        <w:rPr>
          <w:rFonts w:ascii="Arial" w:hAnsi="Arial" w:cs="Arial"/>
        </w:rPr>
        <w:t xml:space="preserve"> </w:t>
      </w:r>
      <w:hyperlink r:id="rId8" w:history="1">
        <w:r w:rsidR="0051112C" w:rsidRPr="00D46539">
          <w:rPr>
            <w:rStyle w:val="a3"/>
            <w:rFonts w:ascii="Arial" w:hAnsi="Arial" w:cs="Arial"/>
          </w:rPr>
          <w:t>ninaphsu@gmail.com</w:t>
        </w:r>
      </w:hyperlink>
    </w:p>
    <w:p w14:paraId="5B8F66E1" w14:textId="1262D54D" w:rsidR="007473DD" w:rsidRPr="005A1108" w:rsidRDefault="007473DD" w:rsidP="00E32753">
      <w:pPr>
        <w:spacing w:line="480" w:lineRule="auto"/>
        <w:rPr>
          <w:rFonts w:ascii="Arial" w:hAnsi="Arial" w:cs="Arial"/>
        </w:rPr>
      </w:pPr>
      <w:r w:rsidRPr="005A1108">
        <w:rPr>
          <w:rFonts w:ascii="Arial" w:hAnsi="Arial" w:cs="Arial"/>
        </w:rPr>
        <w:t>Tel: +886 4739595 (Ext. 21707)</w:t>
      </w:r>
    </w:p>
    <w:p w14:paraId="276AB8AE" w14:textId="77777777" w:rsidR="007473DD" w:rsidRPr="00C946E4" w:rsidRDefault="007473DD" w:rsidP="00010539">
      <w:pPr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14:paraId="6ABEA804" w14:textId="77777777" w:rsidR="0049377B" w:rsidRDefault="0049377B" w:rsidP="00FC6202">
      <w:pPr>
        <w:snapToGrid w:val="0"/>
        <w:spacing w:afterLines="50" w:after="180"/>
        <w:rPr>
          <w:rFonts w:ascii="Arial" w:hAnsi="Arial" w:cs="Arial"/>
          <w:color w:val="000000" w:themeColor="text1"/>
        </w:rPr>
        <w:sectPr w:rsidR="0049377B" w:rsidSect="00DF5957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14:paraId="780BB1C7" w14:textId="7078B50E" w:rsidR="00A1256D" w:rsidRDefault="00A1256D" w:rsidP="00C070B5">
      <w:pPr>
        <w:jc w:val="center"/>
        <w:rPr>
          <w:rFonts w:ascii="Arial" w:hAnsi="Arial" w:cs="Arial"/>
        </w:rPr>
      </w:pPr>
      <w:r w:rsidRPr="00A1256D">
        <w:rPr>
          <w:rFonts w:ascii="Arial" w:hAnsi="Arial" w:cs="Arial"/>
        </w:rPr>
        <w:lastRenderedPageBreak/>
        <w:t>Supplemental Online Content</w:t>
      </w:r>
    </w:p>
    <w:p w14:paraId="234F8A77" w14:textId="77777777" w:rsidR="00A1256D" w:rsidRDefault="00A1256D" w:rsidP="00425A77">
      <w:pPr>
        <w:rPr>
          <w:rFonts w:ascii="Arial" w:hAnsi="Arial" w:cs="Arial"/>
        </w:rPr>
      </w:pPr>
    </w:p>
    <w:p w14:paraId="66ECC61A" w14:textId="1A635027" w:rsidR="00A1256D" w:rsidRPr="007501C9" w:rsidRDefault="00A1256D" w:rsidP="00425A77">
      <w:pPr>
        <w:rPr>
          <w:rFonts w:ascii="Arial" w:hAnsi="Arial" w:cs="Arial"/>
        </w:rPr>
      </w:pPr>
      <w:r w:rsidRPr="007501C9">
        <w:rPr>
          <w:rFonts w:ascii="Arial" w:hAnsi="Arial" w:cs="Arial"/>
        </w:rPr>
        <w:t xml:space="preserve">Supplementary Table 1. </w:t>
      </w:r>
      <w:r w:rsidR="007501C9" w:rsidRPr="007501C9">
        <w:rPr>
          <w:rFonts w:ascii="Arial" w:hAnsi="Arial" w:cs="Arial"/>
        </w:rPr>
        <w:t>Target-trial emulation design</w:t>
      </w:r>
      <w:r w:rsidR="007501C9" w:rsidRPr="00373D79">
        <w:rPr>
          <w:rFonts w:ascii="Arial" w:hAnsi="Arial" w:cs="Arial"/>
        </w:rPr>
        <w:t xml:space="preserve"> </w:t>
      </w:r>
    </w:p>
    <w:p w14:paraId="596013D4" w14:textId="77777777" w:rsidR="00A1256D" w:rsidRPr="00436EDB" w:rsidRDefault="00A1256D" w:rsidP="00425A77">
      <w:pPr>
        <w:rPr>
          <w:rFonts w:ascii="Arial" w:hAnsi="Arial" w:cs="Arial"/>
          <w:highlight w:val="yellow"/>
        </w:rPr>
      </w:pPr>
    </w:p>
    <w:p w14:paraId="07488889" w14:textId="2B805990" w:rsidR="00970A06" w:rsidRPr="000606F8" w:rsidRDefault="00970A06" w:rsidP="00425A77">
      <w:pPr>
        <w:rPr>
          <w:rFonts w:ascii="Arial" w:hAnsi="Arial" w:cs="Arial"/>
          <w:color w:val="000000"/>
        </w:rPr>
      </w:pPr>
      <w:r w:rsidRPr="000606F8">
        <w:rPr>
          <w:rFonts w:ascii="Arial" w:hAnsi="Arial" w:cs="Arial"/>
          <w:color w:val="000000"/>
        </w:rPr>
        <w:t xml:space="preserve">Supplementary Table 2. </w:t>
      </w:r>
      <w:r w:rsidR="00DA4052" w:rsidRPr="000606F8">
        <w:rPr>
          <w:rFonts w:ascii="Arial" w:hAnsi="Arial" w:cs="Arial"/>
          <w:color w:val="000000" w:themeColor="text1"/>
        </w:rPr>
        <w:t>Demographic, diagnostic, procedural, medication, visit, and laboratory codes used in the definition of the cohorts.</w:t>
      </w:r>
    </w:p>
    <w:p w14:paraId="4E6CB565" w14:textId="77777777" w:rsidR="00970A06" w:rsidRPr="000606F8" w:rsidRDefault="00970A06" w:rsidP="00425A77">
      <w:pPr>
        <w:rPr>
          <w:rFonts w:ascii="Arial" w:hAnsi="Arial" w:cs="Arial"/>
        </w:rPr>
      </w:pPr>
    </w:p>
    <w:p w14:paraId="64AB4D6E" w14:textId="4E01000C" w:rsidR="00A1256D" w:rsidRPr="000606F8" w:rsidRDefault="00B82A7E" w:rsidP="00425A77">
      <w:pPr>
        <w:rPr>
          <w:rFonts w:ascii="Arial" w:hAnsi="Arial" w:cs="Arial"/>
          <w:color w:val="000000" w:themeColor="text1"/>
        </w:rPr>
      </w:pPr>
      <w:r w:rsidRPr="000606F8">
        <w:rPr>
          <w:rFonts w:ascii="Arial" w:hAnsi="Arial" w:cs="Arial"/>
          <w:color w:val="000000" w:themeColor="text1"/>
        </w:rPr>
        <w:t xml:space="preserve">Supplementary Table </w:t>
      </w:r>
      <w:r w:rsidR="00970A06" w:rsidRPr="000606F8">
        <w:rPr>
          <w:rFonts w:ascii="Arial" w:hAnsi="Arial" w:cs="Arial"/>
          <w:color w:val="000000" w:themeColor="text1"/>
        </w:rPr>
        <w:t>3</w:t>
      </w:r>
      <w:r w:rsidRPr="000606F8">
        <w:rPr>
          <w:rFonts w:ascii="Arial" w:hAnsi="Arial" w:cs="Arial"/>
          <w:color w:val="000000" w:themeColor="text1"/>
        </w:rPr>
        <w:t xml:space="preserve">. </w:t>
      </w:r>
      <w:r w:rsidR="009E0312" w:rsidRPr="000606F8">
        <w:rPr>
          <w:rFonts w:ascii="Arial" w:hAnsi="Arial" w:cs="Arial"/>
          <w:color w:val="000000" w:themeColor="text1"/>
        </w:rPr>
        <w:t>Demographic, diagnostic, laboratory, and medication codes used in the definition of covariates.</w:t>
      </w:r>
    </w:p>
    <w:p w14:paraId="41E56FB7" w14:textId="77777777" w:rsidR="00B82A7E" w:rsidRPr="000606F8" w:rsidRDefault="00B82A7E" w:rsidP="00425A77">
      <w:pPr>
        <w:rPr>
          <w:rFonts w:ascii="Arial" w:hAnsi="Arial" w:cs="Arial"/>
          <w:color w:val="000000" w:themeColor="text1"/>
        </w:rPr>
      </w:pPr>
    </w:p>
    <w:p w14:paraId="64720DBE" w14:textId="3B22CE24" w:rsidR="00B82A7E" w:rsidRDefault="00B82A7E" w:rsidP="00425A77">
      <w:pPr>
        <w:rPr>
          <w:rFonts w:ascii="Arial" w:hAnsi="Arial" w:cs="Arial"/>
          <w:color w:val="000000" w:themeColor="text1"/>
        </w:rPr>
      </w:pPr>
      <w:r w:rsidRPr="00E81127">
        <w:rPr>
          <w:rFonts w:ascii="Arial" w:hAnsi="Arial" w:cs="Arial"/>
          <w:color w:val="000000" w:themeColor="text1"/>
        </w:rPr>
        <w:t xml:space="preserve">Supplementary Table </w:t>
      </w:r>
      <w:r w:rsidR="00970A06" w:rsidRPr="00E81127">
        <w:rPr>
          <w:rFonts w:ascii="Arial" w:hAnsi="Arial" w:cs="Arial"/>
          <w:color w:val="000000" w:themeColor="text1"/>
        </w:rPr>
        <w:t>4</w:t>
      </w:r>
      <w:r w:rsidRPr="00E81127">
        <w:rPr>
          <w:rFonts w:ascii="Arial" w:hAnsi="Arial" w:cs="Arial"/>
          <w:color w:val="000000" w:themeColor="text1"/>
        </w:rPr>
        <w:t xml:space="preserve">. </w:t>
      </w:r>
      <w:r w:rsidR="009E0312" w:rsidRPr="00E81127">
        <w:rPr>
          <w:rFonts w:ascii="Arial" w:hAnsi="Arial" w:cs="Arial"/>
          <w:color w:val="000000" w:themeColor="text1"/>
        </w:rPr>
        <w:t>Diagnostic codes used in the definition of outcomes.</w:t>
      </w:r>
    </w:p>
    <w:p w14:paraId="4FFD963C" w14:textId="77777777" w:rsidR="00165312" w:rsidRDefault="00165312" w:rsidP="00425A77">
      <w:pPr>
        <w:rPr>
          <w:rFonts w:ascii="Arial" w:hAnsi="Arial" w:cs="Arial"/>
          <w:color w:val="000000" w:themeColor="text1"/>
        </w:rPr>
      </w:pPr>
    </w:p>
    <w:p w14:paraId="3D39FA18" w14:textId="4C0F8FB4" w:rsidR="00165312" w:rsidRPr="00165312" w:rsidRDefault="00165312" w:rsidP="00425A77">
      <w:pPr>
        <w:rPr>
          <w:rFonts w:ascii="Arial" w:hAnsi="Arial" w:cs="Arial"/>
        </w:rPr>
      </w:pPr>
      <w:r w:rsidRPr="00F138C7">
        <w:rPr>
          <w:rFonts w:ascii="Arial" w:hAnsi="Arial" w:cs="Arial"/>
        </w:rPr>
        <w:t>Supplementary Table</w:t>
      </w:r>
      <w:r>
        <w:rPr>
          <w:rFonts w:ascii="Arial" w:hAnsi="Arial" w:cs="Arial"/>
        </w:rPr>
        <w:t xml:space="preserve"> 5</w:t>
      </w:r>
      <w:r w:rsidRPr="00286EC1">
        <w:rPr>
          <w:rFonts w:ascii="Arial" w:hAnsi="Arial" w:cs="Arial"/>
          <w:color w:val="000000"/>
        </w:rPr>
        <w:t xml:space="preserve">. </w:t>
      </w:r>
      <w:r w:rsidR="00CF42C6" w:rsidRPr="00CC335B">
        <w:rPr>
          <w:rFonts w:ascii="Arial" w:hAnsi="Arial" w:cs="Arial"/>
          <w:color w:val="000000"/>
        </w:rPr>
        <w:t xml:space="preserve">Baseline characteristics before and after propensity-score matching in the target-trial emulation of concomitant GLP-1 receptor agonist use during ICI therapy among individuals with </w:t>
      </w:r>
      <w:r w:rsidR="00CF42C6" w:rsidRPr="00CC335B">
        <w:rPr>
          <w:rFonts w:ascii="Arial" w:hAnsi="Arial" w:cs="Arial" w:hint="eastAsia"/>
          <w:bCs/>
          <w:color w:val="000000" w:themeColor="text1"/>
        </w:rPr>
        <w:t>n</w:t>
      </w:r>
      <w:r w:rsidR="00CF42C6" w:rsidRPr="00CC335B">
        <w:rPr>
          <w:rFonts w:ascii="Arial" w:hAnsi="Arial" w:cs="Arial"/>
          <w:bCs/>
          <w:color w:val="000000" w:themeColor="text1"/>
        </w:rPr>
        <w:t>eoplasms</w:t>
      </w:r>
      <w:r w:rsidR="00CF42C6" w:rsidRPr="00CC335B">
        <w:rPr>
          <w:rFonts w:ascii="Arial" w:hAnsi="Arial" w:cs="Arial"/>
          <w:color w:val="000000"/>
        </w:rPr>
        <w:t xml:space="preserve"> and obesity</w:t>
      </w:r>
      <w:r w:rsidR="00F13B49">
        <w:rPr>
          <w:rFonts w:ascii="Arial" w:hAnsi="Arial" w:cs="Arial"/>
          <w:color w:val="000000"/>
        </w:rPr>
        <w:t>.</w:t>
      </w:r>
    </w:p>
    <w:p w14:paraId="62D6E408" w14:textId="77777777" w:rsidR="00592C51" w:rsidRDefault="00592C51" w:rsidP="00425A77">
      <w:pPr>
        <w:rPr>
          <w:rFonts w:ascii="Arial" w:hAnsi="Arial" w:cs="Arial"/>
        </w:rPr>
      </w:pPr>
    </w:p>
    <w:p w14:paraId="6F2E8BA2" w14:textId="0C08BDFE" w:rsidR="00A04CD7" w:rsidRPr="00165312" w:rsidRDefault="00A04CD7" w:rsidP="00A04CD7">
      <w:pPr>
        <w:rPr>
          <w:rFonts w:ascii="Arial" w:hAnsi="Arial" w:cs="Arial"/>
        </w:rPr>
      </w:pPr>
      <w:r w:rsidRPr="00F138C7">
        <w:rPr>
          <w:rFonts w:ascii="Arial" w:hAnsi="Arial" w:cs="Arial"/>
        </w:rPr>
        <w:t>Supplementary Table</w:t>
      </w:r>
      <w:r>
        <w:rPr>
          <w:rFonts w:ascii="Arial" w:hAnsi="Arial" w:cs="Arial"/>
        </w:rPr>
        <w:t xml:space="preserve"> 6</w:t>
      </w:r>
      <w:r w:rsidRPr="00286EC1">
        <w:rPr>
          <w:rFonts w:ascii="Arial" w:hAnsi="Arial" w:cs="Arial"/>
          <w:color w:val="000000"/>
        </w:rPr>
        <w:t xml:space="preserve">. </w:t>
      </w:r>
      <w:r w:rsidRPr="000C26B6">
        <w:rPr>
          <w:rFonts w:ascii="Arial" w:hAnsi="Arial" w:cs="Arial"/>
          <w:color w:val="000000"/>
        </w:rPr>
        <w:t xml:space="preserve">GLP-1 receptor agonist–related safety outcomes during immune checkpoint inhibitor therapy among individuals with </w:t>
      </w:r>
      <w:r>
        <w:rPr>
          <w:rFonts w:ascii="Arial" w:hAnsi="Arial" w:cs="Arial"/>
          <w:color w:val="000000"/>
        </w:rPr>
        <w:t>obesity</w:t>
      </w:r>
      <w:r w:rsidRPr="00956D71">
        <w:rPr>
          <w:rFonts w:ascii="Arial" w:hAnsi="Arial" w:cs="Arial"/>
          <w:color w:val="000000"/>
        </w:rPr>
        <w:t xml:space="preserve"> </w:t>
      </w:r>
      <w:r w:rsidRPr="003B7522">
        <w:rPr>
          <w:rFonts w:ascii="Arial" w:hAnsi="Arial" w:cs="Arial"/>
          <w:color w:val="000000"/>
        </w:rPr>
        <w:t xml:space="preserve">and </w:t>
      </w:r>
      <w:r>
        <w:rPr>
          <w:rFonts w:ascii="Arial" w:hAnsi="Arial" w:cs="Arial"/>
          <w:color w:val="000000"/>
        </w:rPr>
        <w:t>cancer</w:t>
      </w:r>
      <w:r w:rsidR="00F13B49">
        <w:rPr>
          <w:rFonts w:ascii="Arial" w:hAnsi="Arial" w:cs="Arial"/>
          <w:color w:val="000000"/>
        </w:rPr>
        <w:t>.</w:t>
      </w:r>
    </w:p>
    <w:p w14:paraId="7407ED7B" w14:textId="77777777" w:rsidR="00A04CD7" w:rsidRPr="00A04CD7" w:rsidRDefault="00A04CD7" w:rsidP="00425A77">
      <w:pPr>
        <w:rPr>
          <w:rFonts w:ascii="Arial" w:hAnsi="Arial" w:cs="Arial"/>
        </w:rPr>
      </w:pPr>
    </w:p>
    <w:p w14:paraId="4F96B7FB" w14:textId="3F6F42A9" w:rsidR="00ED4198" w:rsidRPr="00E81127" w:rsidRDefault="00ED4198" w:rsidP="00425A77">
      <w:pPr>
        <w:rPr>
          <w:rStyle w:val="afc"/>
          <w:rFonts w:ascii="Arial" w:hAnsi="Arial" w:cs="Arial"/>
          <w:b w:val="0"/>
          <w:bCs w:val="0"/>
          <w:color w:val="000000"/>
        </w:rPr>
      </w:pPr>
      <w:r w:rsidRPr="00E81127">
        <w:rPr>
          <w:rFonts w:ascii="Arial" w:hAnsi="Arial" w:cs="Arial"/>
          <w:color w:val="000000"/>
        </w:rPr>
        <w:t>Supplementary</w:t>
      </w:r>
      <w:r w:rsidRPr="00E81127">
        <w:rPr>
          <w:rStyle w:val="afc"/>
          <w:rFonts w:ascii="Arial" w:hAnsi="Arial" w:cs="Arial"/>
          <w:color w:val="000000"/>
        </w:rPr>
        <w:t xml:space="preserve"> 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 xml:space="preserve">Figure 1. </w:t>
      </w:r>
      <w:r w:rsidR="003F631B" w:rsidRPr="00E81127">
        <w:rPr>
          <w:rFonts w:ascii="Arial" w:hAnsi="Arial" w:cs="Arial"/>
          <w:color w:val="000000"/>
        </w:rPr>
        <w:t>Standardized mean differences before and after matching</w:t>
      </w:r>
      <w:r w:rsidR="00324247" w:rsidRPr="00E81127">
        <w:rPr>
          <w:rFonts w:ascii="Arial" w:hAnsi="Arial" w:cs="Arial"/>
        </w:rPr>
        <w:t>.</w:t>
      </w:r>
    </w:p>
    <w:p w14:paraId="60099A99" w14:textId="77777777" w:rsidR="00331326" w:rsidRPr="00E81127" w:rsidRDefault="00331326" w:rsidP="00425A77">
      <w:pPr>
        <w:rPr>
          <w:rStyle w:val="afc"/>
          <w:rFonts w:ascii="Arial" w:hAnsi="Arial" w:cs="Arial"/>
          <w:b w:val="0"/>
          <w:bCs w:val="0"/>
          <w:color w:val="000000"/>
        </w:rPr>
      </w:pPr>
    </w:p>
    <w:p w14:paraId="26D22813" w14:textId="74EA7984" w:rsidR="00D64D8F" w:rsidRDefault="00D64D8F" w:rsidP="006D0F4E">
      <w:pPr>
        <w:snapToGri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</w:t>
      </w:r>
      <w:r w:rsidRPr="00440EA1">
        <w:rPr>
          <w:rFonts w:ascii="Arial" w:hAnsi="Arial" w:cs="Arial"/>
          <w:color w:val="000000"/>
        </w:rPr>
        <w:t>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1E7D3C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 w:rsidRPr="001E7D3C">
        <w:rPr>
          <w:rFonts w:ascii="Arial" w:hAnsi="Arial" w:cs="Arial"/>
        </w:rPr>
        <w:t xml:space="preserve">. </w:t>
      </w:r>
      <w:r w:rsidRPr="00FD2D38">
        <w:rPr>
          <w:rFonts w:ascii="Arial" w:hAnsi="Arial" w:cs="Arial"/>
        </w:rPr>
        <w:t>Hazard ratios for clinical outcomes at 12, 24, and 36 months among matched patients receiving immune checkpoint inhibitors with vs without concomitant GLP</w:t>
      </w:r>
      <w:r>
        <w:rPr>
          <w:rFonts w:ascii="Arial" w:hAnsi="Arial" w:cs="Arial"/>
        </w:rPr>
        <w:t>-</w:t>
      </w:r>
      <w:r w:rsidRPr="00FD2D38">
        <w:rPr>
          <w:rFonts w:ascii="Arial" w:hAnsi="Arial" w:cs="Arial"/>
        </w:rPr>
        <w:t>1 receptor agonists</w:t>
      </w:r>
      <w:r w:rsidR="00F3796C">
        <w:rPr>
          <w:rFonts w:ascii="Arial" w:hAnsi="Arial" w:cs="Arial"/>
        </w:rPr>
        <w:t>.</w:t>
      </w:r>
    </w:p>
    <w:p w14:paraId="3C45DA0E" w14:textId="77777777" w:rsidR="00D64D8F" w:rsidRDefault="00D64D8F" w:rsidP="006D0F4E">
      <w:pPr>
        <w:snapToGrid w:val="0"/>
        <w:spacing w:line="276" w:lineRule="auto"/>
        <w:rPr>
          <w:rFonts w:ascii="Arial" w:hAnsi="Arial" w:cs="Arial"/>
        </w:rPr>
      </w:pPr>
    </w:p>
    <w:p w14:paraId="3C0FDF34" w14:textId="2EB9B349" w:rsidR="00AC6A85" w:rsidRDefault="00AC6A85" w:rsidP="006D0F4E">
      <w:pPr>
        <w:snapToGrid w:val="0"/>
        <w:spacing w:line="276" w:lineRule="auto"/>
        <w:rPr>
          <w:rFonts w:ascii="Arial" w:hAnsi="Arial" w:cs="Arial"/>
          <w:color w:val="000000"/>
        </w:rPr>
      </w:pPr>
      <w:r w:rsidRPr="00E81127">
        <w:rPr>
          <w:rFonts w:ascii="Arial" w:hAnsi="Arial" w:cs="Arial"/>
          <w:color w:val="000000"/>
        </w:rPr>
        <w:t>Supplementary</w:t>
      </w:r>
      <w:r w:rsidRPr="00E81127">
        <w:rPr>
          <w:rStyle w:val="afc"/>
          <w:rFonts w:ascii="Arial" w:hAnsi="Arial" w:cs="Arial"/>
          <w:color w:val="000000"/>
        </w:rPr>
        <w:t xml:space="preserve"> 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D64D8F">
        <w:rPr>
          <w:rStyle w:val="afc"/>
          <w:rFonts w:ascii="Arial" w:hAnsi="Arial" w:cs="Arial"/>
          <w:b w:val="0"/>
          <w:bCs w:val="0"/>
          <w:color w:val="000000"/>
        </w:rPr>
        <w:t>3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>.</w:t>
      </w:r>
      <w:r w:rsidR="00BF56EF" w:rsidRPr="00BF56EF">
        <w:rPr>
          <w:rFonts w:ascii="Arial" w:hAnsi="Arial" w:cs="Arial"/>
        </w:rPr>
        <w:t xml:space="preserve"> </w:t>
      </w:r>
      <w:r w:rsidR="00B234DE" w:rsidRPr="004572CA">
        <w:rPr>
          <w:rFonts w:ascii="Arial" w:hAnsi="Arial" w:cs="Arial"/>
        </w:rPr>
        <w:t>Sensitivity Analysis - Specifying the Semaglutide Brand</w:t>
      </w:r>
      <w:r w:rsidR="00B234DE">
        <w:rPr>
          <w:rFonts w:ascii="Arial" w:hAnsi="Arial" w:cs="Arial"/>
        </w:rPr>
        <w:t>.</w:t>
      </w:r>
    </w:p>
    <w:p w14:paraId="40E8FBD3" w14:textId="77777777" w:rsidR="00AC6A85" w:rsidRDefault="00AC6A85" w:rsidP="006D0F4E">
      <w:pPr>
        <w:snapToGrid w:val="0"/>
        <w:spacing w:line="276" w:lineRule="auto"/>
        <w:rPr>
          <w:rFonts w:ascii="Arial" w:hAnsi="Arial" w:cs="Arial"/>
          <w:color w:val="000000"/>
        </w:rPr>
      </w:pPr>
    </w:p>
    <w:p w14:paraId="7C1EE91E" w14:textId="4DA48B24" w:rsidR="006D0F4E" w:rsidRPr="00E81127" w:rsidRDefault="00331326" w:rsidP="006D0F4E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</w:pPr>
      <w:r w:rsidRPr="00E81127">
        <w:rPr>
          <w:rFonts w:ascii="Arial" w:hAnsi="Arial" w:cs="Arial"/>
          <w:color w:val="000000"/>
        </w:rPr>
        <w:t>Supplementary</w:t>
      </w:r>
      <w:r w:rsidRPr="00E81127">
        <w:rPr>
          <w:rStyle w:val="afc"/>
          <w:rFonts w:ascii="Arial" w:hAnsi="Arial" w:cs="Arial"/>
          <w:color w:val="000000"/>
        </w:rPr>
        <w:t xml:space="preserve"> 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D64D8F">
        <w:rPr>
          <w:rStyle w:val="afc"/>
          <w:rFonts w:ascii="Arial" w:hAnsi="Arial" w:cs="Arial"/>
          <w:b w:val="0"/>
          <w:bCs w:val="0"/>
          <w:color w:val="000000"/>
        </w:rPr>
        <w:t>4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>.</w:t>
      </w:r>
      <w:r w:rsidRPr="00E81127">
        <w:rPr>
          <w:rStyle w:val="afc"/>
          <w:rFonts w:ascii="Arial" w:hAnsi="Arial" w:cs="Arial"/>
          <w:color w:val="000000"/>
        </w:rPr>
        <w:t xml:space="preserve"> </w:t>
      </w:r>
      <w:r w:rsidR="003F049D" w:rsidRPr="0018018A">
        <w:rPr>
          <w:rFonts w:ascii="Arial" w:hAnsi="Arial" w:cs="Arial"/>
        </w:rPr>
        <w:t xml:space="preserve">Sensitivity Analysis </w:t>
      </w:r>
      <w:r w:rsidR="003F049D">
        <w:rPr>
          <w:rFonts w:ascii="Arial" w:hAnsi="Arial" w:cs="Arial"/>
        </w:rPr>
        <w:t>–</w:t>
      </w:r>
      <w:r w:rsidR="003F049D" w:rsidRPr="0018018A">
        <w:rPr>
          <w:rFonts w:ascii="Arial" w:hAnsi="Arial" w:cs="Arial"/>
        </w:rPr>
        <w:t xml:space="preserve"> </w:t>
      </w:r>
      <w:r w:rsidR="003F049D">
        <w:rPr>
          <w:rFonts w:ascii="Arial" w:hAnsi="Arial" w:cs="Arial"/>
        </w:rPr>
        <w:t>12-months washout.</w:t>
      </w:r>
    </w:p>
    <w:p w14:paraId="3342A3D3" w14:textId="77777777" w:rsidR="006D0F4E" w:rsidRPr="00E81127" w:rsidRDefault="006D0F4E" w:rsidP="00425A77">
      <w:pPr>
        <w:rPr>
          <w:rStyle w:val="afc"/>
          <w:rFonts w:ascii="Arial" w:hAnsi="Arial" w:cs="Arial"/>
          <w:b w:val="0"/>
          <w:bCs w:val="0"/>
          <w:color w:val="000000"/>
        </w:rPr>
      </w:pPr>
    </w:p>
    <w:p w14:paraId="6FB13189" w14:textId="4C674B72" w:rsidR="0009009A" w:rsidRDefault="006D0F4E" w:rsidP="00425A77">
      <w:pPr>
        <w:rPr>
          <w:rFonts w:ascii="Arial" w:hAnsi="Arial" w:cs="Arial"/>
        </w:rPr>
      </w:pPr>
      <w:r w:rsidRPr="00E81127">
        <w:rPr>
          <w:rStyle w:val="afc"/>
          <w:rFonts w:ascii="Arial" w:hAnsi="Arial" w:cs="Arial"/>
          <w:b w:val="0"/>
          <w:bCs w:val="0"/>
          <w:color w:val="000000"/>
        </w:rPr>
        <w:t xml:space="preserve">Supplementary Figure </w:t>
      </w:r>
      <w:r w:rsidR="00D64D8F">
        <w:rPr>
          <w:rStyle w:val="afc"/>
          <w:rFonts w:ascii="Arial" w:hAnsi="Arial" w:cs="Arial"/>
          <w:b w:val="0"/>
          <w:bCs w:val="0"/>
          <w:color w:val="000000"/>
        </w:rPr>
        <w:t>5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 xml:space="preserve">. </w:t>
      </w:r>
      <w:r w:rsidR="00E81127" w:rsidRPr="00E81127">
        <w:rPr>
          <w:rFonts w:ascii="Arial" w:hAnsi="Arial" w:cs="Arial"/>
        </w:rPr>
        <w:t xml:space="preserve">Sensitivity analysis - </w:t>
      </w:r>
      <w:r w:rsidR="00E81127" w:rsidRPr="00E81127">
        <w:rPr>
          <w:rFonts w:ascii="Arial" w:hAnsi="Arial" w:cs="Arial" w:hint="eastAsia"/>
        </w:rPr>
        <w:t>T</w:t>
      </w:r>
      <w:r w:rsidR="00E81127" w:rsidRPr="00E81127">
        <w:rPr>
          <w:rFonts w:ascii="Arial" w:hAnsi="Arial" w:cs="Arial"/>
        </w:rPr>
        <w:t>hree-month landmark.</w:t>
      </w:r>
    </w:p>
    <w:p w14:paraId="2988C354" w14:textId="77777777" w:rsidR="00E91C42" w:rsidRDefault="00E91C42" w:rsidP="00425A77">
      <w:pPr>
        <w:rPr>
          <w:rFonts w:ascii="Arial" w:hAnsi="Arial" w:cs="Arial"/>
        </w:rPr>
      </w:pPr>
    </w:p>
    <w:p w14:paraId="0A7FA9B1" w14:textId="1DD78389" w:rsidR="00851BA9" w:rsidRDefault="00851BA9" w:rsidP="00425A77">
      <w:pPr>
        <w:rPr>
          <w:rFonts w:ascii="Arial" w:hAnsi="Arial" w:cs="Arial"/>
        </w:rPr>
      </w:pPr>
      <w:r w:rsidRPr="00E81127">
        <w:rPr>
          <w:rStyle w:val="afc"/>
          <w:rFonts w:ascii="Arial" w:hAnsi="Arial" w:cs="Arial"/>
          <w:b w:val="0"/>
          <w:bCs w:val="0"/>
          <w:color w:val="000000"/>
        </w:rPr>
        <w:t xml:space="preserve">Supplementary Figure </w:t>
      </w:r>
      <w:r w:rsidR="00D64D8F">
        <w:rPr>
          <w:rStyle w:val="afc"/>
          <w:rFonts w:ascii="Arial" w:hAnsi="Arial" w:cs="Arial"/>
          <w:b w:val="0"/>
          <w:bCs w:val="0"/>
          <w:color w:val="000000"/>
        </w:rPr>
        <w:t>6</w:t>
      </w:r>
      <w:r w:rsidRPr="00E81127">
        <w:rPr>
          <w:rStyle w:val="afc"/>
          <w:rFonts w:ascii="Arial" w:hAnsi="Arial" w:cs="Arial"/>
          <w:b w:val="0"/>
          <w:bCs w:val="0"/>
          <w:color w:val="000000"/>
        </w:rPr>
        <w:t>.</w:t>
      </w:r>
      <w:r w:rsidR="00D3451A" w:rsidRPr="00D3451A">
        <w:rPr>
          <w:rFonts w:ascii="Arial" w:hAnsi="Arial" w:cs="Arial"/>
        </w:rPr>
        <w:t xml:space="preserve"> </w:t>
      </w:r>
      <w:r w:rsidR="00C571B3" w:rsidRPr="004572CA">
        <w:rPr>
          <w:rFonts w:ascii="Arial" w:hAnsi="Arial" w:cs="Arial"/>
        </w:rPr>
        <w:t xml:space="preserve">Sensitivity Analysis </w:t>
      </w:r>
      <w:r w:rsidR="00C571B3">
        <w:rPr>
          <w:rFonts w:ascii="Arial" w:hAnsi="Arial" w:cs="Arial"/>
        </w:rPr>
        <w:t>–</w:t>
      </w:r>
      <w:r w:rsidR="00C571B3" w:rsidRPr="004572CA">
        <w:rPr>
          <w:rFonts w:ascii="Arial" w:hAnsi="Arial" w:cs="Arial"/>
        </w:rPr>
        <w:t xml:space="preserve"> </w:t>
      </w:r>
      <w:r w:rsidR="00C571B3">
        <w:rPr>
          <w:rFonts w:ascii="Arial" w:hAnsi="Arial" w:cs="Arial"/>
        </w:rPr>
        <w:t>Global region.</w:t>
      </w:r>
    </w:p>
    <w:p w14:paraId="5EECB4F5" w14:textId="77777777" w:rsidR="00D3451A" w:rsidRDefault="00D3451A" w:rsidP="00425A77">
      <w:pPr>
        <w:rPr>
          <w:rStyle w:val="afc"/>
          <w:rFonts w:ascii="Arial" w:hAnsi="Arial" w:cs="Arial"/>
          <w:b w:val="0"/>
          <w:bCs w:val="0"/>
          <w:color w:val="000000"/>
        </w:rPr>
      </w:pPr>
    </w:p>
    <w:p w14:paraId="0E0447EE" w14:textId="2B8FAFCB" w:rsidR="000150C0" w:rsidRPr="006541B3" w:rsidRDefault="000150C0" w:rsidP="000150C0">
      <w:pPr>
        <w:snapToGrid w:val="0"/>
        <w:spacing w:line="276" w:lineRule="auto"/>
        <w:rPr>
          <w:rFonts w:ascii="Arial" w:hAnsi="Arial" w:cs="Arial"/>
          <w:color w:val="000000"/>
        </w:rPr>
      </w:pPr>
      <w:r w:rsidRPr="00440EA1">
        <w:rPr>
          <w:rFonts w:ascii="Arial" w:hAnsi="Arial" w:cs="Arial"/>
          <w:color w:val="000000"/>
        </w:rPr>
        <w:t>Supplementary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D64D8F">
        <w:rPr>
          <w:rStyle w:val="afc"/>
          <w:rFonts w:ascii="Arial" w:hAnsi="Arial" w:cs="Arial"/>
          <w:b w:val="0"/>
          <w:bCs w:val="0"/>
          <w:color w:val="000000"/>
        </w:rPr>
        <w:t>7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>.</w:t>
      </w:r>
      <w:r>
        <w:rPr>
          <w:rStyle w:val="afc"/>
          <w:rFonts w:ascii="Arial" w:hAnsi="Arial" w:cs="Arial"/>
          <w:b w:val="0"/>
          <w:bCs w:val="0"/>
          <w:color w:val="000000"/>
        </w:rPr>
        <w:t xml:space="preserve"> </w:t>
      </w:r>
      <w:r w:rsidRPr="007B12C8">
        <w:rPr>
          <w:rStyle w:val="afc"/>
          <w:rFonts w:ascii="Arial" w:hAnsi="Arial" w:cs="Arial"/>
          <w:b w:val="0"/>
          <w:bCs w:val="0"/>
          <w:color w:val="000000"/>
        </w:rPr>
        <w:t>Longitudinal trajectories of body weight and body mass index after immune checkpoint inhibitor initiation in the propensity score matched cohort</w:t>
      </w:r>
      <w:r>
        <w:rPr>
          <w:rStyle w:val="afc"/>
          <w:rFonts w:ascii="Arial" w:hAnsi="Arial" w:cs="Arial"/>
          <w:b w:val="0"/>
          <w:bCs w:val="0"/>
          <w:color w:val="000000"/>
        </w:rPr>
        <w:t>.</w:t>
      </w:r>
    </w:p>
    <w:p w14:paraId="571738F8" w14:textId="672601AB" w:rsidR="00D3451A" w:rsidRPr="00C67C4F" w:rsidRDefault="00D3451A" w:rsidP="00425A77">
      <w:pPr>
        <w:rPr>
          <w:rFonts w:ascii="Arial" w:hAnsi="Arial" w:cs="Arial"/>
          <w:color w:val="000000"/>
        </w:rPr>
        <w:sectPr w:rsidR="00D3451A" w:rsidRPr="00C67C4F" w:rsidSect="00DF5957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14:paraId="508F1C39" w14:textId="77777777" w:rsidR="008003A8" w:rsidRPr="00373D79" w:rsidRDefault="008003A8" w:rsidP="008003A8">
      <w:pPr>
        <w:rPr>
          <w:rFonts w:ascii="Arial" w:hAnsi="Arial" w:cs="Arial"/>
        </w:rPr>
      </w:pPr>
      <w:r w:rsidRPr="00162157">
        <w:rPr>
          <w:rFonts w:ascii="Arial" w:hAnsi="Arial" w:cs="Arial"/>
        </w:rPr>
        <w:lastRenderedPageBreak/>
        <w:t>Supplementary Table 1. Target-trial emulation design</w:t>
      </w:r>
      <w:r w:rsidRPr="00373D79">
        <w:rPr>
          <w:rFonts w:ascii="Arial" w:hAnsi="Arial" w:cs="Arial"/>
        </w:rPr>
        <w:t xml:space="preserve"> 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536"/>
        <w:gridCol w:w="5812"/>
      </w:tblGrid>
      <w:tr w:rsidR="008003A8" w:rsidRPr="00373D79" w14:paraId="01C7204D" w14:textId="77777777" w:rsidTr="007501C9">
        <w:tc>
          <w:tcPr>
            <w:tcW w:w="2830" w:type="dxa"/>
          </w:tcPr>
          <w:p w14:paraId="1D3AA455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Protocol component</w:t>
            </w:r>
          </w:p>
        </w:tc>
        <w:tc>
          <w:tcPr>
            <w:tcW w:w="4536" w:type="dxa"/>
          </w:tcPr>
          <w:p w14:paraId="6DBF1164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Target trial</w:t>
            </w:r>
          </w:p>
        </w:tc>
        <w:tc>
          <w:tcPr>
            <w:tcW w:w="5812" w:type="dxa"/>
          </w:tcPr>
          <w:p w14:paraId="560B123A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Emulated trial</w:t>
            </w:r>
          </w:p>
        </w:tc>
      </w:tr>
      <w:tr w:rsidR="008003A8" w:rsidRPr="00373D79" w14:paraId="09D8784F" w14:textId="77777777" w:rsidTr="007501C9">
        <w:tc>
          <w:tcPr>
            <w:tcW w:w="2830" w:type="dxa"/>
          </w:tcPr>
          <w:p w14:paraId="4F2EECA9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Aim</w:t>
            </w:r>
          </w:p>
        </w:tc>
        <w:tc>
          <w:tcPr>
            <w:tcW w:w="4536" w:type="dxa"/>
          </w:tcPr>
          <w:p w14:paraId="5639DC33" w14:textId="6B46D2D6" w:rsidR="008003A8" w:rsidRPr="00373D79" w:rsidRDefault="00103445" w:rsidP="00E01D42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Compare clinical outcomes after initiating immune checkpoint inhibitor (ICI) therapy with concomitant GLP-1 receptor agonist (GLP-1 RA) use versus initiating ICI therapy without concomitant GLP-1 RA use among adults with cancer and obesity, focusing on all-cause mortality, immune-related adverse events, healthcare utilization, and selected GLP-1 RA safety outcomes.</w:t>
            </w:r>
          </w:p>
        </w:tc>
        <w:tc>
          <w:tcPr>
            <w:tcW w:w="5812" w:type="dxa"/>
          </w:tcPr>
          <w:p w14:paraId="04C161FA" w14:textId="0C231B03" w:rsidR="008003A8" w:rsidRPr="00373D79" w:rsidRDefault="00103445" w:rsidP="00E01D42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Same objective operationalized using de-identified electronic health record data from the TriNetX US Collaborative Network (70 organizations).</w:t>
            </w:r>
          </w:p>
        </w:tc>
      </w:tr>
      <w:tr w:rsidR="008003A8" w:rsidRPr="00373D79" w14:paraId="4BAF3082" w14:textId="77777777" w:rsidTr="007501C9">
        <w:tc>
          <w:tcPr>
            <w:tcW w:w="2830" w:type="dxa"/>
          </w:tcPr>
          <w:p w14:paraId="508C22EC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Population &amp; eligibility</w:t>
            </w:r>
          </w:p>
        </w:tc>
        <w:tc>
          <w:tcPr>
            <w:tcW w:w="4536" w:type="dxa"/>
          </w:tcPr>
          <w:p w14:paraId="2B24A8BA" w14:textId="1A8C2E33" w:rsidR="008003A8" w:rsidRPr="00373D79" w:rsidRDefault="006811CF" w:rsidP="00E01D42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Adults (18 years or older) with malignant neoplasms and obesity eligible to initiate ICI therapy, without diabetes and without glucose-lowering therapy during a 12-month baseline period. Require a 3-month GLP-1 RA washout before treatment initiation. Exclude solid organ transplantation, prior bariatric surgery, documented HIV infection, or end stage renal disease. For each endpoint, exclude individuals with a history of that endpoint before treatment initiation from that endpoint’s risk set.</w:t>
            </w:r>
          </w:p>
        </w:tc>
        <w:tc>
          <w:tcPr>
            <w:tcW w:w="5812" w:type="dxa"/>
          </w:tcPr>
          <w:p w14:paraId="3869BE1D" w14:textId="79C33398" w:rsidR="008003A8" w:rsidRPr="00373D79" w:rsidRDefault="007202C8" w:rsidP="00E01D42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Adults with malignant neoplasms and obesity (ICD-10-CM E66 or BMI at least 27 kg/m2) who initiated a first qualifying ICI between January 1, 2021 and October 31, 2025, with at least 12 months of prior EHR activity. Excluded if any diabetes diagnosis codes or prescriptions for glucose-lowering drugs (including insulin and non-insulin agents) were present during baseline. Additional exclusions were prior GLP-1 RA exposure within 3 months before index or failure to meet the 3-month washout, and history of solid organ transplantation, bariatric surgery, HIV, or end stage renal disease. Prior occurrences of each endpoint were excluded from that endpoint’s analysis risk set.</w:t>
            </w:r>
          </w:p>
        </w:tc>
      </w:tr>
      <w:tr w:rsidR="008003A8" w:rsidRPr="00373D79" w14:paraId="6E179F53" w14:textId="77777777" w:rsidTr="007501C9">
        <w:tc>
          <w:tcPr>
            <w:tcW w:w="2830" w:type="dxa"/>
          </w:tcPr>
          <w:p w14:paraId="1AE4BA21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Interventions</w:t>
            </w:r>
          </w:p>
        </w:tc>
        <w:tc>
          <w:tcPr>
            <w:tcW w:w="4536" w:type="dxa"/>
          </w:tcPr>
          <w:p w14:paraId="53C541BA" w14:textId="25C9FC48" w:rsidR="008003A8" w:rsidRPr="00373D79" w:rsidRDefault="005409D2" w:rsidP="00E01D42">
            <w:pPr>
              <w:rPr>
                <w:rFonts w:ascii="Arial" w:hAnsi="Arial" w:cs="Arial"/>
              </w:rPr>
            </w:pPr>
            <w:r w:rsidRPr="005409D2">
              <w:rPr>
                <w:rFonts w:ascii="Arial" w:hAnsi="Arial" w:cs="Arial"/>
              </w:rPr>
              <w:t>(A) Start GLP</w:t>
            </w:r>
            <w:r w:rsidRPr="005409D2">
              <w:rPr>
                <w:rFonts w:ascii="Cambria Math" w:hAnsi="Cambria Math" w:cs="Cambria Math"/>
              </w:rPr>
              <w:t>‑</w:t>
            </w:r>
            <w:r w:rsidRPr="005409D2">
              <w:rPr>
                <w:rFonts w:ascii="Arial" w:hAnsi="Arial" w:cs="Arial"/>
              </w:rPr>
              <w:t>1 RA at ICI initiation; (B) Start ICI without GLP</w:t>
            </w:r>
            <w:r w:rsidRPr="005409D2">
              <w:rPr>
                <w:rFonts w:ascii="Cambria Math" w:hAnsi="Cambria Math" w:cs="Cambria Math"/>
              </w:rPr>
              <w:t>‑</w:t>
            </w:r>
            <w:r w:rsidRPr="005409D2">
              <w:rPr>
                <w:rFonts w:ascii="Arial" w:hAnsi="Arial" w:cs="Arial"/>
              </w:rPr>
              <w:t>1 RA. ICIs include PD</w:t>
            </w:r>
            <w:r w:rsidRPr="005409D2">
              <w:rPr>
                <w:rFonts w:ascii="Cambria Math" w:hAnsi="Cambria Math" w:cs="Cambria Math"/>
              </w:rPr>
              <w:t>‑</w:t>
            </w:r>
            <w:r w:rsidRPr="005409D2">
              <w:rPr>
                <w:rFonts w:ascii="Arial" w:hAnsi="Arial" w:cs="Arial"/>
              </w:rPr>
              <w:t>1, PD</w:t>
            </w:r>
            <w:r w:rsidRPr="005409D2">
              <w:rPr>
                <w:rFonts w:ascii="Cambria Math" w:hAnsi="Cambria Math" w:cs="Cambria Math"/>
              </w:rPr>
              <w:t>‑</w:t>
            </w:r>
            <w:r w:rsidRPr="005409D2">
              <w:rPr>
                <w:rFonts w:ascii="Arial" w:hAnsi="Arial" w:cs="Arial"/>
              </w:rPr>
              <w:t>L1, CTLA</w:t>
            </w:r>
            <w:r w:rsidRPr="005409D2">
              <w:rPr>
                <w:rFonts w:ascii="Cambria Math" w:hAnsi="Cambria Math" w:cs="Cambria Math"/>
              </w:rPr>
              <w:t>‑</w:t>
            </w:r>
            <w:r w:rsidRPr="005409D2">
              <w:rPr>
                <w:rFonts w:ascii="Arial" w:hAnsi="Arial" w:cs="Arial"/>
              </w:rPr>
              <w:t>4 agents.</w:t>
            </w:r>
          </w:p>
        </w:tc>
        <w:tc>
          <w:tcPr>
            <w:tcW w:w="5812" w:type="dxa"/>
          </w:tcPr>
          <w:p w14:paraId="5177702F" w14:textId="243BD02E" w:rsidR="008003A8" w:rsidRPr="00373D79" w:rsidRDefault="00A839EB" w:rsidP="00E01D42">
            <w:pPr>
              <w:rPr>
                <w:rFonts w:ascii="Arial" w:hAnsi="Arial" w:cs="Arial"/>
              </w:rPr>
            </w:pPr>
            <w:r w:rsidRPr="00A839EB">
              <w:rPr>
                <w:rFonts w:ascii="Arial" w:hAnsi="Arial" w:cs="Arial"/>
              </w:rPr>
              <w:t>Exposure (A) defined by GLP</w:t>
            </w:r>
            <w:r w:rsidRPr="00A839EB">
              <w:rPr>
                <w:rFonts w:ascii="Cambria Math" w:hAnsi="Cambria Math" w:cs="Cambria Math"/>
              </w:rPr>
              <w:t>‑</w:t>
            </w:r>
            <w:r w:rsidRPr="00A839EB">
              <w:rPr>
                <w:rFonts w:ascii="Arial" w:hAnsi="Arial" w:cs="Arial"/>
              </w:rPr>
              <w:t>1 RA prescription/administration overlapping the ICI index date; comparator (B) no GLP</w:t>
            </w:r>
            <w:r w:rsidRPr="00A839EB">
              <w:rPr>
                <w:rFonts w:ascii="Cambria Math" w:hAnsi="Cambria Math" w:cs="Cambria Math"/>
              </w:rPr>
              <w:t>‑</w:t>
            </w:r>
            <w:r w:rsidRPr="00A839EB">
              <w:rPr>
                <w:rFonts w:ascii="Arial" w:hAnsi="Arial" w:cs="Arial"/>
              </w:rPr>
              <w:t>1 RA at index. ICI classes and combinations captured from medication records.</w:t>
            </w:r>
          </w:p>
        </w:tc>
      </w:tr>
      <w:tr w:rsidR="008003A8" w:rsidRPr="00373D79" w14:paraId="085A61EC" w14:textId="77777777" w:rsidTr="007501C9">
        <w:tc>
          <w:tcPr>
            <w:tcW w:w="2830" w:type="dxa"/>
          </w:tcPr>
          <w:p w14:paraId="1B4834B5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Assignment &amp; time zero</w:t>
            </w:r>
          </w:p>
        </w:tc>
        <w:tc>
          <w:tcPr>
            <w:tcW w:w="4536" w:type="dxa"/>
          </w:tcPr>
          <w:p w14:paraId="3C1AB97A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Random 1:1 allocation at ICI start; time zero = first qualifying ICI administration after eligibility.</w:t>
            </w:r>
          </w:p>
        </w:tc>
        <w:tc>
          <w:tcPr>
            <w:tcW w:w="5812" w:type="dxa"/>
          </w:tcPr>
          <w:p w14:paraId="684A6039" w14:textId="7CB8AB06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New</w:t>
            </w:r>
            <w:r w:rsidRPr="00373D79">
              <w:rPr>
                <w:rFonts w:ascii="Cambria Math" w:hAnsi="Cambria Math" w:cs="Cambria Math"/>
              </w:rPr>
              <w:t>‑</w:t>
            </w:r>
            <w:r w:rsidRPr="00373D79">
              <w:rPr>
                <w:rFonts w:ascii="Arial" w:hAnsi="Arial" w:cs="Arial"/>
              </w:rPr>
              <w:t>user; time zero = first ICI after all criteria met with overlapping GLP</w:t>
            </w:r>
            <w:r w:rsidRPr="00373D79">
              <w:rPr>
                <w:rFonts w:ascii="Cambria Math" w:hAnsi="Cambria Math" w:cs="Cambria Math"/>
              </w:rPr>
              <w:t>‑</w:t>
            </w:r>
            <w:r w:rsidRPr="00373D79">
              <w:rPr>
                <w:rFonts w:ascii="Arial" w:hAnsi="Arial" w:cs="Arial"/>
              </w:rPr>
              <w:t>1 RA (exposed) or without (unexposed).</w:t>
            </w:r>
          </w:p>
        </w:tc>
      </w:tr>
      <w:tr w:rsidR="008003A8" w:rsidRPr="00373D79" w14:paraId="616461A4" w14:textId="77777777" w:rsidTr="007501C9">
        <w:tc>
          <w:tcPr>
            <w:tcW w:w="2830" w:type="dxa"/>
          </w:tcPr>
          <w:p w14:paraId="0E6B4DD7" w14:textId="77777777" w:rsidR="008003A8" w:rsidRPr="00373D79" w:rsidRDefault="008003A8" w:rsidP="00E01D42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Follow</w:t>
            </w:r>
            <w:r w:rsidRPr="00373D79">
              <w:rPr>
                <w:rFonts w:ascii="Cambria Math" w:hAnsi="Cambria Math" w:cs="Cambria Math"/>
              </w:rPr>
              <w:t>‑</w:t>
            </w:r>
            <w:r w:rsidRPr="00373D79">
              <w:rPr>
                <w:rFonts w:ascii="Arial" w:hAnsi="Arial" w:cs="Arial"/>
              </w:rPr>
              <w:t>up</w:t>
            </w:r>
          </w:p>
        </w:tc>
        <w:tc>
          <w:tcPr>
            <w:tcW w:w="4536" w:type="dxa"/>
          </w:tcPr>
          <w:p w14:paraId="4595DFF0" w14:textId="60C607D6" w:rsidR="008003A8" w:rsidRPr="00373D79" w:rsidRDefault="00357A7C" w:rsidP="00E01D42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From the day after treatment initiation until the earliest of the outcome event, death, last recorded encounter, or administrative censoring at 36 months.</w:t>
            </w:r>
          </w:p>
        </w:tc>
        <w:tc>
          <w:tcPr>
            <w:tcW w:w="5812" w:type="dxa"/>
          </w:tcPr>
          <w:p w14:paraId="21BCC1D2" w14:textId="24FF76B7" w:rsidR="008003A8" w:rsidRPr="00373D79" w:rsidRDefault="00357A7C" w:rsidP="00E01D42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Identical follow-up definition. The primary analysis used an intention-to-treat contrast. Prespecified sensitivity analyses included per-protocol (on treatment) definitions with grace periods and censoring at discontinuation or switching, and a 90 day landmark analysis excluding the first 3 months of follow-up.</w:t>
            </w:r>
          </w:p>
        </w:tc>
      </w:tr>
      <w:tr w:rsidR="00453D59" w:rsidRPr="00373D79" w14:paraId="6F91E138" w14:textId="77777777" w:rsidTr="007501C9">
        <w:tc>
          <w:tcPr>
            <w:tcW w:w="2830" w:type="dxa"/>
          </w:tcPr>
          <w:p w14:paraId="6302ADF0" w14:textId="77777777" w:rsidR="00453D59" w:rsidRPr="00373D79" w:rsidRDefault="00453D59" w:rsidP="00453D59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Outcomes</w:t>
            </w:r>
          </w:p>
        </w:tc>
        <w:tc>
          <w:tcPr>
            <w:tcW w:w="4536" w:type="dxa"/>
          </w:tcPr>
          <w:p w14:paraId="78D7B676" w14:textId="02F27692" w:rsidR="00453D59" w:rsidRPr="00373D79" w:rsidRDefault="00CB3197" w:rsidP="00453D59">
            <w:pPr>
              <w:rPr>
                <w:rFonts w:ascii="Arial" w:hAnsi="Arial" w:cs="Arial"/>
              </w:rPr>
            </w:pPr>
            <w:r w:rsidRPr="00CB3197">
              <w:rPr>
                <w:rFonts w:ascii="Arial" w:hAnsi="Arial" w:cs="Arial"/>
              </w:rPr>
              <w:t>Primary endpoint: wasting-related diagnoses, defined as a composite of sarcopenia, cachexia, or protein-calorie malnutrition. Key secondary endpoints: acute-care utilization (all-cause hospitalization, ICU/critical care use, and emergency department visits). Contextual secondary outcomes: all-cause mortality and immune-related adverse events. Selected GLP-1 RA safety outcomes and negative control outcomes were prespecified for descriptive and calibration purposes.</w:t>
            </w:r>
          </w:p>
        </w:tc>
        <w:tc>
          <w:tcPr>
            <w:tcW w:w="5812" w:type="dxa"/>
          </w:tcPr>
          <w:p w14:paraId="067FCAC0" w14:textId="7B011ED2" w:rsidR="00453D59" w:rsidRPr="00373D79" w:rsidRDefault="00CB3197" w:rsidP="00453D59">
            <w:pPr>
              <w:rPr>
                <w:rFonts w:ascii="Arial" w:hAnsi="Arial" w:cs="Arial"/>
              </w:rPr>
            </w:pPr>
            <w:r w:rsidRPr="00CB3197">
              <w:rPr>
                <w:rFonts w:ascii="Arial" w:hAnsi="Arial" w:cs="Arial"/>
              </w:rPr>
              <w:t>Endpoints were operationalized using ICD-10-CM, CPT/HCPCS, and visit-type codes as specified in Table S4. Wasting-related diagnoses were analyzed as the primary endpoint, and acute-care utilization outcomes were analyzed as key secondary endpoints. All-cause mortality and immune-related adverse events were evaluated as contextual secondary outcomes. Negative control outcomes were used for calibration.</w:t>
            </w:r>
          </w:p>
        </w:tc>
      </w:tr>
      <w:tr w:rsidR="00453D59" w:rsidRPr="00373D79" w14:paraId="6C1FEC91" w14:textId="77777777" w:rsidTr="007501C9">
        <w:tc>
          <w:tcPr>
            <w:tcW w:w="2830" w:type="dxa"/>
          </w:tcPr>
          <w:p w14:paraId="4A7A0765" w14:textId="77777777" w:rsidR="00453D59" w:rsidRPr="00373D79" w:rsidRDefault="00453D59" w:rsidP="00453D59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lastRenderedPageBreak/>
              <w:t>Causal contrasts</w:t>
            </w:r>
          </w:p>
        </w:tc>
        <w:tc>
          <w:tcPr>
            <w:tcW w:w="4536" w:type="dxa"/>
          </w:tcPr>
          <w:p w14:paraId="467A96AA" w14:textId="5E7D76E8" w:rsidR="00453D59" w:rsidRPr="00373D79" w:rsidRDefault="001D379A" w:rsidP="00453D59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Intention-to-treat and per-protocol (on treatment) effects, with additional prespecified sensitivity analyses.</w:t>
            </w:r>
          </w:p>
        </w:tc>
        <w:tc>
          <w:tcPr>
            <w:tcW w:w="5812" w:type="dxa"/>
          </w:tcPr>
          <w:p w14:paraId="67F2E3F4" w14:textId="644CAA66" w:rsidR="00453D59" w:rsidRPr="00373D79" w:rsidRDefault="001D379A" w:rsidP="00453D59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Intention-to-treat was primary. Sensitivity analyses included per-protocol with grace periods, a 90 day landmark analysis, restriction of exposure to semaglutide, an alternative 12 month GLP-1 RA washout, negative control outcome calibration, and replication in the TriNetX Global Network.</w:t>
            </w:r>
          </w:p>
        </w:tc>
      </w:tr>
      <w:tr w:rsidR="00453D59" w:rsidRPr="00373D79" w14:paraId="03F063BB" w14:textId="77777777" w:rsidTr="007501C9">
        <w:tc>
          <w:tcPr>
            <w:tcW w:w="2830" w:type="dxa"/>
          </w:tcPr>
          <w:p w14:paraId="1FC36A38" w14:textId="77777777" w:rsidR="00453D59" w:rsidRPr="00373D79" w:rsidRDefault="00453D59" w:rsidP="00453D59">
            <w:pPr>
              <w:rPr>
                <w:rFonts w:ascii="Arial" w:hAnsi="Arial" w:cs="Arial"/>
              </w:rPr>
            </w:pPr>
            <w:r w:rsidRPr="00373D79">
              <w:rPr>
                <w:rFonts w:ascii="Arial" w:hAnsi="Arial" w:cs="Arial"/>
              </w:rPr>
              <w:t>Statistical analysis</w:t>
            </w:r>
          </w:p>
        </w:tc>
        <w:tc>
          <w:tcPr>
            <w:tcW w:w="4536" w:type="dxa"/>
          </w:tcPr>
          <w:p w14:paraId="26CE9D45" w14:textId="7B284701" w:rsidR="00453D59" w:rsidRPr="00373D79" w:rsidRDefault="00343730" w:rsidP="00453D59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Cox proportional hazards models for hazard ratios with 95% confidence intervals; Kaplan Meier and log-rank tests; multiplicity control; prespecified sensitivity analyses.</w:t>
            </w:r>
          </w:p>
        </w:tc>
        <w:tc>
          <w:tcPr>
            <w:tcW w:w="5812" w:type="dxa"/>
          </w:tcPr>
          <w:p w14:paraId="5F741903" w14:textId="113330D8" w:rsidR="00453D59" w:rsidRPr="00373D79" w:rsidRDefault="00343730" w:rsidP="00453D59">
            <w:pPr>
              <w:rPr>
                <w:rFonts w:ascii="Arial" w:hAnsi="Arial" w:cs="Arial"/>
              </w:rPr>
            </w:pPr>
            <w:r w:rsidRPr="00D33A52">
              <w:rPr>
                <w:rFonts w:ascii="Arial" w:hAnsi="Arial" w:cs="Arial"/>
              </w:rPr>
              <w:t>Cox proportional hazards models in 1:1 propensity score matched cohorts; Kaplan Meier curves and 36 month absolute risk differences; Benjamini Hochberg false discovery rate procedure for prespecified secondary endpoints; E-values for the primary endpoint; diagnostics and figures generated on exported aggregates.</w:t>
            </w:r>
          </w:p>
        </w:tc>
      </w:tr>
    </w:tbl>
    <w:p w14:paraId="382EB608" w14:textId="77777777" w:rsidR="008003A8" w:rsidRPr="00373D79" w:rsidRDefault="008003A8" w:rsidP="008003A8">
      <w:pPr>
        <w:rPr>
          <w:rFonts w:ascii="Arial" w:hAnsi="Arial" w:cs="Arial"/>
        </w:rPr>
      </w:pPr>
    </w:p>
    <w:p w14:paraId="60C73493" w14:textId="77777777" w:rsidR="00425A77" w:rsidRPr="007501C9" w:rsidRDefault="00425A77" w:rsidP="00FC6202">
      <w:pPr>
        <w:snapToGrid w:val="0"/>
        <w:spacing w:afterLines="50" w:after="180"/>
        <w:rPr>
          <w:rFonts w:ascii="Arial" w:hAnsi="Arial" w:cs="Arial"/>
          <w:color w:val="000000" w:themeColor="text1"/>
        </w:rPr>
        <w:sectPr w:rsidR="00425A77" w:rsidRPr="007501C9" w:rsidSect="009D1458">
          <w:pgSz w:w="16840" w:h="23820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404713D" w14:textId="77777777" w:rsidR="00506742" w:rsidRPr="003D005E" w:rsidRDefault="00C02552" w:rsidP="00506742">
      <w:pPr>
        <w:snapToGrid w:val="0"/>
        <w:spacing w:afterLines="50" w:after="180"/>
        <w:rPr>
          <w:rFonts w:ascii="Arial" w:hAnsi="Arial" w:cs="Arial"/>
          <w:b/>
          <w:bCs/>
          <w:color w:val="A8D08D" w:themeColor="accent6" w:themeTint="99"/>
        </w:rPr>
      </w:pPr>
      <w:r w:rsidRPr="009A1D2B">
        <w:rPr>
          <w:rFonts w:ascii="Arial" w:hAnsi="Arial" w:cs="Arial"/>
          <w:color w:val="000000"/>
        </w:rPr>
        <w:lastRenderedPageBreak/>
        <w:t xml:space="preserve">Supplementary Table 2. </w:t>
      </w:r>
      <w:r w:rsidR="00506742" w:rsidRPr="003D005E">
        <w:rPr>
          <w:rFonts w:ascii="Arial" w:hAnsi="Arial" w:cs="Arial"/>
          <w:color w:val="000000" w:themeColor="text1"/>
        </w:rPr>
        <w:t>Demographic, diagnostic, procedural, medication, visit, and laboratory codes used in the definition of the cohorts.</w:t>
      </w:r>
    </w:p>
    <w:tbl>
      <w:tblPr>
        <w:tblStyle w:val="af"/>
        <w:tblW w:w="9742" w:type="dxa"/>
        <w:jc w:val="righ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5636"/>
      </w:tblGrid>
      <w:tr w:rsidR="00506742" w:rsidRPr="00171DCB" w14:paraId="62AFC7B4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697918B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Category</w:t>
            </w:r>
          </w:p>
        </w:tc>
        <w:tc>
          <w:tcPr>
            <w:tcW w:w="2551" w:type="dxa"/>
            <w:vAlign w:val="center"/>
          </w:tcPr>
          <w:p w14:paraId="65B5D90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Code</w:t>
            </w:r>
          </w:p>
        </w:tc>
        <w:tc>
          <w:tcPr>
            <w:tcW w:w="5636" w:type="dxa"/>
            <w:vAlign w:val="center"/>
          </w:tcPr>
          <w:p w14:paraId="0C52E1D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Description</w:t>
            </w:r>
          </w:p>
        </w:tc>
      </w:tr>
      <w:tr w:rsidR="00506742" w:rsidRPr="00171DCB" w14:paraId="2198F7E3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0C8D3E3A" w14:textId="77777777" w:rsidR="00506742" w:rsidRPr="00171DCB" w:rsidRDefault="00506742" w:rsidP="0063788F">
            <w:pPr>
              <w:pStyle w:val="p1"/>
              <w:rPr>
                <w:rFonts w:ascii="Arial" w:hAnsi="Arial" w:cs="Arial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ICI+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GLP-1 RA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g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roup</w:t>
            </w:r>
          </w:p>
        </w:tc>
      </w:tr>
      <w:tr w:rsidR="00506742" w:rsidRPr="00171DCB" w14:paraId="0377B156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046A778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#1: At least 18 years old (must have the following).</w:t>
            </w:r>
          </w:p>
        </w:tc>
      </w:tr>
      <w:tr w:rsidR="00506742" w:rsidRPr="00171DCB" w14:paraId="317D4B69" w14:textId="77777777" w:rsidTr="0063788F">
        <w:trPr>
          <w:trHeight w:val="57"/>
          <w:jc w:val="right"/>
        </w:trPr>
        <w:tc>
          <w:tcPr>
            <w:tcW w:w="1555" w:type="dxa"/>
          </w:tcPr>
          <w:p w14:paraId="21DAF46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2551" w:type="dxa"/>
          </w:tcPr>
          <w:p w14:paraId="67DFDEA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Age</w:t>
            </w:r>
          </w:p>
        </w:tc>
        <w:tc>
          <w:tcPr>
            <w:tcW w:w="5636" w:type="dxa"/>
          </w:tcPr>
          <w:p w14:paraId="126E6DF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Age (at least 18 years)</w:t>
            </w:r>
          </w:p>
        </w:tc>
      </w:tr>
      <w:tr w:rsidR="00506742" w:rsidRPr="00171DCB" w14:paraId="04602E7D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2EC2DB34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#1: Individuals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with neoplasms and obesity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treated with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ICI and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GLP-1 RA (#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3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and #1.4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must be fulfilled after #1.1 and #1.2).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br/>
              <w:t>Date constraint: The terms in this group occurred between Jan 1, 201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7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and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Oct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3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, 2025.</w:t>
            </w:r>
          </w:p>
        </w:tc>
      </w:tr>
      <w:tr w:rsidR="00506742" w:rsidRPr="00171DCB" w14:paraId="63D2455A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78E427A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#1.1: Individuals with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neoplasms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(must have the following).</w:t>
            </w:r>
          </w:p>
        </w:tc>
      </w:tr>
      <w:tr w:rsidR="00506742" w:rsidRPr="00171DCB" w14:paraId="0306CAFA" w14:textId="77777777" w:rsidTr="0063788F">
        <w:trPr>
          <w:trHeight w:val="96"/>
          <w:jc w:val="right"/>
        </w:trPr>
        <w:tc>
          <w:tcPr>
            <w:tcW w:w="1555" w:type="dxa"/>
          </w:tcPr>
          <w:p w14:paraId="14BB6823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7496C36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UMLS:ICD10CM:C00-D49</w:t>
            </w:r>
          </w:p>
        </w:tc>
        <w:tc>
          <w:tcPr>
            <w:tcW w:w="5636" w:type="dxa"/>
          </w:tcPr>
          <w:p w14:paraId="56D34B9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  <w:t>Neoplasms</w:t>
            </w:r>
          </w:p>
        </w:tc>
      </w:tr>
      <w:tr w:rsidR="00506742" w:rsidRPr="00171DCB" w14:paraId="0879EBFC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36A58F5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2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Individuals with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obesity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(must have any of the following).</w:t>
            </w:r>
          </w:p>
        </w:tc>
      </w:tr>
      <w:tr w:rsidR="00506742" w:rsidRPr="00171DCB" w14:paraId="3C338CDA" w14:textId="77777777" w:rsidTr="0063788F">
        <w:trPr>
          <w:trHeight w:val="57"/>
          <w:jc w:val="right"/>
        </w:trPr>
        <w:tc>
          <w:tcPr>
            <w:tcW w:w="1555" w:type="dxa"/>
          </w:tcPr>
          <w:p w14:paraId="485EDD1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7A53A9B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UMLS:ICD10CM:E66</w:t>
            </w:r>
          </w:p>
        </w:tc>
        <w:tc>
          <w:tcPr>
            <w:tcW w:w="5636" w:type="dxa"/>
          </w:tcPr>
          <w:p w14:paraId="76A1E74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Overweight and obesity</w:t>
            </w:r>
          </w:p>
        </w:tc>
      </w:tr>
      <w:tr w:rsidR="00506742" w:rsidRPr="00171DCB" w14:paraId="20723C3E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20AF683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La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boratory</w:t>
            </w:r>
          </w:p>
        </w:tc>
        <w:tc>
          <w:tcPr>
            <w:tcW w:w="2551" w:type="dxa"/>
          </w:tcPr>
          <w:p w14:paraId="043E5B8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TNX:9083</w:t>
            </w:r>
          </w:p>
        </w:tc>
        <w:tc>
          <w:tcPr>
            <w:tcW w:w="5636" w:type="dxa"/>
          </w:tcPr>
          <w:p w14:paraId="674A177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BMI (at least 27.00 kg/m</w:t>
            </w:r>
            <w:r w:rsidRPr="00171DCB">
              <w:rPr>
                <w:rFonts w:ascii="Arial" w:hAnsi="Arial" w:cs="Arial"/>
                <w:bCs/>
                <w:sz w:val="21"/>
                <w:szCs w:val="21"/>
                <w:vertAlign w:val="superscript"/>
              </w:rPr>
              <w:t>2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)</w:t>
            </w:r>
          </w:p>
        </w:tc>
      </w:tr>
      <w:tr w:rsidR="00506742" w:rsidRPr="00171DCB" w14:paraId="4E727D5B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597DE97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Receiving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ICI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(must have any of the following).</w:t>
            </w:r>
          </w:p>
        </w:tc>
      </w:tr>
      <w:tr w:rsidR="00506742" w:rsidRPr="00171DCB" w14:paraId="2AEDBBB6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193FE0F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42A5C2C3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UMLS:HCPCS:J9271</w:t>
            </w:r>
          </w:p>
        </w:tc>
        <w:tc>
          <w:tcPr>
            <w:tcW w:w="5636" w:type="dxa"/>
          </w:tcPr>
          <w:p w14:paraId="6C2D8FA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Injection, pembrolizumab, 1 mg</w:t>
            </w:r>
          </w:p>
        </w:tc>
      </w:tr>
      <w:tr w:rsidR="00506742" w:rsidRPr="00171DCB" w14:paraId="13156E5A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7D47031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284F731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UMLS:HCPCS:J9299</w:t>
            </w:r>
          </w:p>
        </w:tc>
        <w:tc>
          <w:tcPr>
            <w:tcW w:w="5636" w:type="dxa"/>
          </w:tcPr>
          <w:p w14:paraId="0AFFD18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nivolumab, 1 mg</w:t>
            </w:r>
          </w:p>
        </w:tc>
      </w:tr>
      <w:tr w:rsidR="00506742" w:rsidRPr="00171DCB" w14:paraId="723548A7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38372B6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37896E9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UMLS:HCPCS:J9022</w:t>
            </w:r>
          </w:p>
        </w:tc>
        <w:tc>
          <w:tcPr>
            <w:tcW w:w="5636" w:type="dxa"/>
          </w:tcPr>
          <w:p w14:paraId="2E64F5C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Injection, atezolizumab, 10 mg</w:t>
            </w:r>
          </w:p>
        </w:tc>
      </w:tr>
      <w:tr w:rsidR="00506742" w:rsidRPr="00171DCB" w14:paraId="11CDA0FE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0131107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5250E74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UMLS:HCPCS:J9173</w:t>
            </w:r>
          </w:p>
        </w:tc>
        <w:tc>
          <w:tcPr>
            <w:tcW w:w="5636" w:type="dxa"/>
          </w:tcPr>
          <w:p w14:paraId="04C4ED3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durvalumab, 10 mg</w:t>
            </w:r>
          </w:p>
        </w:tc>
      </w:tr>
      <w:tr w:rsidR="00506742" w:rsidRPr="00171DCB" w14:paraId="2D490F88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18A5D85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2D6A221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UMLS:HCPCS:J9119</w:t>
            </w:r>
          </w:p>
        </w:tc>
        <w:tc>
          <w:tcPr>
            <w:tcW w:w="5636" w:type="dxa"/>
          </w:tcPr>
          <w:p w14:paraId="5BAA3F3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cemiplimab-rwlc, 1 mg</w:t>
            </w:r>
          </w:p>
        </w:tc>
      </w:tr>
      <w:tr w:rsidR="00506742" w:rsidRPr="00171DCB" w14:paraId="1F856FD9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66E59E5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11F913F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UMLS:HCPCS:J9023</w:t>
            </w:r>
          </w:p>
        </w:tc>
        <w:tc>
          <w:tcPr>
            <w:tcW w:w="5636" w:type="dxa"/>
          </w:tcPr>
          <w:p w14:paraId="1B802E8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avelumab, 10 mg</w:t>
            </w:r>
          </w:p>
        </w:tc>
      </w:tr>
      <w:tr w:rsidR="00506742" w:rsidRPr="00171DCB" w14:paraId="3911B5E0" w14:textId="77777777" w:rsidTr="0063788F">
        <w:trPr>
          <w:trHeight w:val="57"/>
          <w:jc w:val="right"/>
        </w:trPr>
        <w:tc>
          <w:tcPr>
            <w:tcW w:w="1555" w:type="dxa"/>
          </w:tcPr>
          <w:p w14:paraId="5D208EE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4517212A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NLM:RXNORM:1547545</w:t>
            </w:r>
          </w:p>
        </w:tc>
        <w:tc>
          <w:tcPr>
            <w:tcW w:w="5636" w:type="dxa"/>
          </w:tcPr>
          <w:p w14:paraId="23601BA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Pembrolizumab</w:t>
            </w:r>
          </w:p>
        </w:tc>
      </w:tr>
      <w:tr w:rsidR="00506742" w:rsidRPr="00171DCB" w14:paraId="6A096831" w14:textId="77777777" w:rsidTr="0063788F">
        <w:trPr>
          <w:trHeight w:val="57"/>
          <w:jc w:val="right"/>
        </w:trPr>
        <w:tc>
          <w:tcPr>
            <w:tcW w:w="1555" w:type="dxa"/>
          </w:tcPr>
          <w:p w14:paraId="777B34E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4CA97CA6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NLM:RXNORM:1597876</w:t>
            </w:r>
          </w:p>
        </w:tc>
        <w:tc>
          <w:tcPr>
            <w:tcW w:w="5636" w:type="dxa"/>
          </w:tcPr>
          <w:p w14:paraId="1D1FDA6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Nivolumab</w:t>
            </w:r>
          </w:p>
        </w:tc>
      </w:tr>
      <w:tr w:rsidR="00506742" w:rsidRPr="00171DCB" w14:paraId="174A2200" w14:textId="77777777" w:rsidTr="0063788F">
        <w:trPr>
          <w:trHeight w:val="57"/>
          <w:jc w:val="right"/>
        </w:trPr>
        <w:tc>
          <w:tcPr>
            <w:tcW w:w="1555" w:type="dxa"/>
          </w:tcPr>
          <w:p w14:paraId="05EF1F6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41949912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NLM:RXNORM:1792776</w:t>
            </w:r>
          </w:p>
        </w:tc>
        <w:tc>
          <w:tcPr>
            <w:tcW w:w="5636" w:type="dxa"/>
          </w:tcPr>
          <w:p w14:paraId="7CC11B8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Atezolizumab</w:t>
            </w:r>
          </w:p>
        </w:tc>
      </w:tr>
      <w:tr w:rsidR="00506742" w:rsidRPr="00171DCB" w14:paraId="7270B51A" w14:textId="77777777" w:rsidTr="0063788F">
        <w:trPr>
          <w:trHeight w:val="57"/>
          <w:jc w:val="right"/>
        </w:trPr>
        <w:tc>
          <w:tcPr>
            <w:tcW w:w="1555" w:type="dxa"/>
          </w:tcPr>
          <w:p w14:paraId="12071B9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35B93AA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NLM:RXNORM:1919503</w:t>
            </w:r>
          </w:p>
        </w:tc>
        <w:tc>
          <w:tcPr>
            <w:tcW w:w="5636" w:type="dxa"/>
          </w:tcPr>
          <w:p w14:paraId="1E0CF71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Durvalumab</w:t>
            </w:r>
          </w:p>
        </w:tc>
      </w:tr>
      <w:tr w:rsidR="00506742" w:rsidRPr="00171DCB" w14:paraId="567655D9" w14:textId="77777777" w:rsidTr="0063788F">
        <w:trPr>
          <w:trHeight w:val="57"/>
          <w:jc w:val="right"/>
        </w:trPr>
        <w:tc>
          <w:tcPr>
            <w:tcW w:w="1555" w:type="dxa"/>
          </w:tcPr>
          <w:p w14:paraId="68E08EA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09CE297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NLM:RXNORM:2058826</w:t>
            </w:r>
          </w:p>
        </w:tc>
        <w:tc>
          <w:tcPr>
            <w:tcW w:w="5636" w:type="dxa"/>
          </w:tcPr>
          <w:p w14:paraId="4518761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Cemiplimab</w:t>
            </w:r>
          </w:p>
        </w:tc>
      </w:tr>
      <w:tr w:rsidR="00506742" w:rsidRPr="00171DCB" w14:paraId="5847ABC9" w14:textId="77777777" w:rsidTr="0063788F">
        <w:trPr>
          <w:trHeight w:val="57"/>
          <w:jc w:val="right"/>
        </w:trPr>
        <w:tc>
          <w:tcPr>
            <w:tcW w:w="1555" w:type="dxa"/>
          </w:tcPr>
          <w:p w14:paraId="14C84059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615959F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NLM:RXNORM:1875534</w:t>
            </w:r>
          </w:p>
        </w:tc>
        <w:tc>
          <w:tcPr>
            <w:tcW w:w="5636" w:type="dxa"/>
          </w:tcPr>
          <w:p w14:paraId="3BDE3FF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Avelumab</w:t>
            </w:r>
          </w:p>
        </w:tc>
      </w:tr>
      <w:tr w:rsidR="00506742" w:rsidRPr="00171DCB" w14:paraId="28019166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5096107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4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: Receiving GLP-1 RA (must have the following).</w:t>
            </w:r>
          </w:p>
        </w:tc>
      </w:tr>
      <w:tr w:rsidR="00506742" w:rsidRPr="00171DCB" w14:paraId="45D1BBF0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5F33C16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Medication</w:t>
            </w:r>
          </w:p>
        </w:tc>
        <w:tc>
          <w:tcPr>
            <w:tcW w:w="2551" w:type="dxa"/>
            <w:vAlign w:val="center"/>
          </w:tcPr>
          <w:p w14:paraId="5F908ED2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NLM:ATC:A10B</w:t>
            </w: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J</w:t>
            </w:r>
          </w:p>
        </w:tc>
        <w:tc>
          <w:tcPr>
            <w:tcW w:w="5636" w:type="dxa"/>
            <w:vAlign w:val="center"/>
          </w:tcPr>
          <w:p w14:paraId="47C403C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Glucagon-like peptide-1 (GLP-1) analogues</w:t>
            </w:r>
          </w:p>
        </w:tc>
      </w:tr>
      <w:tr w:rsidR="00506742" w:rsidRPr="00171DCB" w14:paraId="6A8D2710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1A23CD71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2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: Without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b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ariatric surgery,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t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ransplantation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 xml:space="preserve">, HIV, ESRD, type 2 diabetes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(cannot have any of the following). 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2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must be fulfilled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within 3 years on or before</w:t>
            </w:r>
            <w:r w:rsidRPr="00171DCB">
              <w:rPr>
                <w:rFonts w:ascii="Arial" w:hAnsi="Arial" w:cs="Arial"/>
                <w:b/>
                <w:sz w:val="21"/>
                <w:szCs w:val="21"/>
                <w:lang w:eastAsia="zh-TW"/>
              </w:rPr>
              <w:t xml:space="preserve">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 xml:space="preserve">1. </w:t>
            </w:r>
          </w:p>
        </w:tc>
      </w:tr>
      <w:tr w:rsidR="00506742" w:rsidRPr="00171DCB" w14:paraId="3CBCA7BD" w14:textId="77777777" w:rsidTr="0063788F">
        <w:trPr>
          <w:trHeight w:val="57"/>
          <w:jc w:val="right"/>
        </w:trPr>
        <w:tc>
          <w:tcPr>
            <w:tcW w:w="1555" w:type="dxa"/>
          </w:tcPr>
          <w:p w14:paraId="442087C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O</w:t>
            </w:r>
            <w:r w:rsidRPr="00171DCB">
              <w:rPr>
                <w:rFonts w:ascii="Arial" w:hAnsi="Arial" w:cs="Arial"/>
                <w:sz w:val="21"/>
                <w:szCs w:val="21"/>
              </w:rPr>
              <w:t>ncology</w:t>
            </w:r>
          </w:p>
        </w:tc>
        <w:tc>
          <w:tcPr>
            <w:tcW w:w="2551" w:type="dxa"/>
          </w:tcPr>
          <w:p w14:paraId="2F068809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NAACCR:BIOM:3859</w:t>
            </w:r>
          </w:p>
        </w:tc>
        <w:tc>
          <w:tcPr>
            <w:tcW w:w="5636" w:type="dxa"/>
          </w:tcPr>
          <w:p w14:paraId="289D7C7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HIV Status</w:t>
            </w:r>
          </w:p>
        </w:tc>
      </w:tr>
      <w:tr w:rsidR="00506742" w:rsidRPr="00171DCB" w14:paraId="12D43932" w14:textId="77777777" w:rsidTr="0063788F">
        <w:trPr>
          <w:trHeight w:val="57"/>
          <w:jc w:val="right"/>
        </w:trPr>
        <w:tc>
          <w:tcPr>
            <w:tcW w:w="1555" w:type="dxa"/>
          </w:tcPr>
          <w:p w14:paraId="2C7BD49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2597003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UMLS:ICD10CM:B20</w:t>
            </w:r>
          </w:p>
        </w:tc>
        <w:tc>
          <w:tcPr>
            <w:tcW w:w="5636" w:type="dxa"/>
          </w:tcPr>
          <w:p w14:paraId="2CF01EA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Human immunodeficiency virus [HIV] disease</w:t>
            </w:r>
          </w:p>
        </w:tc>
      </w:tr>
      <w:tr w:rsidR="00506742" w:rsidRPr="00171DCB" w14:paraId="0838E2DB" w14:textId="77777777" w:rsidTr="0063788F">
        <w:trPr>
          <w:trHeight w:val="57"/>
          <w:jc w:val="right"/>
        </w:trPr>
        <w:tc>
          <w:tcPr>
            <w:tcW w:w="1555" w:type="dxa"/>
          </w:tcPr>
          <w:p w14:paraId="72A2EEC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6FB0452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UMLS:ICD10PCS:0TY</w:t>
            </w:r>
          </w:p>
        </w:tc>
        <w:tc>
          <w:tcPr>
            <w:tcW w:w="5636" w:type="dxa"/>
          </w:tcPr>
          <w:p w14:paraId="5859CDC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Transplantation</w:t>
            </w:r>
          </w:p>
        </w:tc>
      </w:tr>
      <w:tr w:rsidR="00506742" w:rsidRPr="00171DCB" w14:paraId="612D6FC0" w14:textId="77777777" w:rsidTr="0063788F">
        <w:trPr>
          <w:trHeight w:val="57"/>
          <w:jc w:val="right"/>
        </w:trPr>
        <w:tc>
          <w:tcPr>
            <w:tcW w:w="1555" w:type="dxa"/>
          </w:tcPr>
          <w:p w14:paraId="09639393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4C2121BA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UMLS:ICD10CM:Z94</w:t>
            </w:r>
          </w:p>
        </w:tc>
        <w:tc>
          <w:tcPr>
            <w:tcW w:w="5636" w:type="dxa"/>
          </w:tcPr>
          <w:p w14:paraId="2E17C6A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Transplanted organ and tissue status</w:t>
            </w:r>
          </w:p>
        </w:tc>
      </w:tr>
      <w:tr w:rsidR="00506742" w:rsidRPr="00171DCB" w14:paraId="7651A6E8" w14:textId="77777777" w:rsidTr="0063788F">
        <w:trPr>
          <w:trHeight w:val="57"/>
          <w:jc w:val="right"/>
        </w:trPr>
        <w:tc>
          <w:tcPr>
            <w:tcW w:w="1555" w:type="dxa"/>
          </w:tcPr>
          <w:p w14:paraId="27250C9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5360CFA6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UMLS:ICD10CM:Z98.84</w:t>
            </w:r>
          </w:p>
        </w:tc>
        <w:tc>
          <w:tcPr>
            <w:tcW w:w="5636" w:type="dxa"/>
          </w:tcPr>
          <w:p w14:paraId="440B087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Bariatric surgery status</w:t>
            </w:r>
          </w:p>
        </w:tc>
      </w:tr>
      <w:tr w:rsidR="00506742" w:rsidRPr="00171DCB" w14:paraId="2F94111C" w14:textId="77777777" w:rsidTr="0063788F">
        <w:trPr>
          <w:trHeight w:val="57"/>
          <w:jc w:val="right"/>
        </w:trPr>
        <w:tc>
          <w:tcPr>
            <w:tcW w:w="1555" w:type="dxa"/>
          </w:tcPr>
          <w:p w14:paraId="357D0A0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18F61F56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UMLS:CPT:1007385</w:t>
            </w:r>
          </w:p>
        </w:tc>
        <w:tc>
          <w:tcPr>
            <w:tcW w:w="5636" w:type="dxa"/>
          </w:tcPr>
          <w:p w14:paraId="351CDE9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Bariatric Surgery Procedures</w:t>
            </w:r>
          </w:p>
        </w:tc>
      </w:tr>
      <w:tr w:rsidR="00506742" w:rsidRPr="00171DCB" w14:paraId="4DFBA144" w14:textId="77777777" w:rsidTr="0063788F">
        <w:trPr>
          <w:trHeight w:val="57"/>
          <w:jc w:val="right"/>
        </w:trPr>
        <w:tc>
          <w:tcPr>
            <w:tcW w:w="1555" w:type="dxa"/>
          </w:tcPr>
          <w:p w14:paraId="5E61393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52DD995F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UMLS:ICD10CM:N18.6</w:t>
            </w:r>
          </w:p>
        </w:tc>
        <w:tc>
          <w:tcPr>
            <w:tcW w:w="5636" w:type="dxa"/>
          </w:tcPr>
          <w:p w14:paraId="1A51C4E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End stage renal disease</w:t>
            </w:r>
          </w:p>
        </w:tc>
      </w:tr>
      <w:tr w:rsidR="00506742" w:rsidRPr="00171DCB" w14:paraId="7630CE6B" w14:textId="77777777" w:rsidTr="0063788F">
        <w:trPr>
          <w:trHeight w:val="57"/>
          <w:jc w:val="right"/>
        </w:trPr>
        <w:tc>
          <w:tcPr>
            <w:tcW w:w="1555" w:type="dxa"/>
          </w:tcPr>
          <w:p w14:paraId="49669541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7F78B97F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UMLS:ICD10CM:E11</w:t>
            </w:r>
          </w:p>
        </w:tc>
        <w:tc>
          <w:tcPr>
            <w:tcW w:w="5636" w:type="dxa"/>
          </w:tcPr>
          <w:p w14:paraId="55714A0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Type 2 diabetes mellitus</w:t>
            </w:r>
          </w:p>
        </w:tc>
      </w:tr>
      <w:tr w:rsidR="00506742" w:rsidRPr="00171DCB" w14:paraId="49655891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496BD8B4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: Without prior exposure to the following medications (cannot have any of the following). 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must be fulfilled within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months on or before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#1.1 and #1.2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. </w:t>
            </w:r>
          </w:p>
        </w:tc>
      </w:tr>
      <w:tr w:rsidR="00506742" w:rsidRPr="00171DCB" w14:paraId="7601368B" w14:textId="77777777" w:rsidTr="0063788F">
        <w:trPr>
          <w:trHeight w:val="57"/>
          <w:jc w:val="right"/>
        </w:trPr>
        <w:tc>
          <w:tcPr>
            <w:tcW w:w="1555" w:type="dxa"/>
          </w:tcPr>
          <w:p w14:paraId="50039116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33E1CDB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NLM:RXNORM:2058826</w:t>
            </w:r>
          </w:p>
        </w:tc>
        <w:tc>
          <w:tcPr>
            <w:tcW w:w="5636" w:type="dxa"/>
          </w:tcPr>
          <w:p w14:paraId="789E8FD7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Cemiplimab</w:t>
            </w:r>
          </w:p>
        </w:tc>
      </w:tr>
      <w:tr w:rsidR="00506742" w:rsidRPr="00171DCB" w14:paraId="3CE65EA3" w14:textId="77777777" w:rsidTr="0063788F">
        <w:trPr>
          <w:trHeight w:val="57"/>
          <w:jc w:val="right"/>
        </w:trPr>
        <w:tc>
          <w:tcPr>
            <w:tcW w:w="1555" w:type="dxa"/>
          </w:tcPr>
          <w:p w14:paraId="2796740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51EECC72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NLM:RXNORM:1547545</w:t>
            </w:r>
          </w:p>
        </w:tc>
        <w:tc>
          <w:tcPr>
            <w:tcW w:w="5636" w:type="dxa"/>
          </w:tcPr>
          <w:p w14:paraId="51261452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Pembrolizumab</w:t>
            </w:r>
          </w:p>
        </w:tc>
      </w:tr>
      <w:tr w:rsidR="00506742" w:rsidRPr="00171DCB" w14:paraId="4D5E9BBB" w14:textId="77777777" w:rsidTr="0063788F">
        <w:trPr>
          <w:trHeight w:val="57"/>
          <w:jc w:val="right"/>
        </w:trPr>
        <w:tc>
          <w:tcPr>
            <w:tcW w:w="1555" w:type="dxa"/>
          </w:tcPr>
          <w:p w14:paraId="6CC96CA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065B2469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NLM:RXNORM:1919503</w:t>
            </w:r>
          </w:p>
        </w:tc>
        <w:tc>
          <w:tcPr>
            <w:tcW w:w="5636" w:type="dxa"/>
          </w:tcPr>
          <w:p w14:paraId="7190717C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Durvalumab</w:t>
            </w:r>
          </w:p>
        </w:tc>
      </w:tr>
      <w:tr w:rsidR="00506742" w:rsidRPr="00171DCB" w14:paraId="053553D9" w14:textId="77777777" w:rsidTr="0063788F">
        <w:trPr>
          <w:trHeight w:val="57"/>
          <w:jc w:val="right"/>
        </w:trPr>
        <w:tc>
          <w:tcPr>
            <w:tcW w:w="1555" w:type="dxa"/>
          </w:tcPr>
          <w:p w14:paraId="41892E2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46BD34A3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NLM:RXNORM:1792776</w:t>
            </w:r>
          </w:p>
        </w:tc>
        <w:tc>
          <w:tcPr>
            <w:tcW w:w="5636" w:type="dxa"/>
          </w:tcPr>
          <w:p w14:paraId="63992535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Atezolizumab</w:t>
            </w:r>
          </w:p>
        </w:tc>
      </w:tr>
      <w:tr w:rsidR="00506742" w:rsidRPr="00171DCB" w14:paraId="5022B643" w14:textId="77777777" w:rsidTr="0063788F">
        <w:trPr>
          <w:trHeight w:val="57"/>
          <w:jc w:val="right"/>
        </w:trPr>
        <w:tc>
          <w:tcPr>
            <w:tcW w:w="1555" w:type="dxa"/>
          </w:tcPr>
          <w:p w14:paraId="69DE6D6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1517931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NLM:RXNORM:1597876</w:t>
            </w:r>
          </w:p>
        </w:tc>
        <w:tc>
          <w:tcPr>
            <w:tcW w:w="5636" w:type="dxa"/>
          </w:tcPr>
          <w:p w14:paraId="44717859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Nivolumab</w:t>
            </w:r>
          </w:p>
        </w:tc>
      </w:tr>
      <w:tr w:rsidR="00506742" w:rsidRPr="00171DCB" w14:paraId="169A5D6F" w14:textId="77777777" w:rsidTr="0063788F">
        <w:trPr>
          <w:trHeight w:val="57"/>
          <w:jc w:val="right"/>
        </w:trPr>
        <w:tc>
          <w:tcPr>
            <w:tcW w:w="1555" w:type="dxa"/>
          </w:tcPr>
          <w:p w14:paraId="5EB7109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lastRenderedPageBreak/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3003578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NLM:RXNORM:1875534</w:t>
            </w:r>
          </w:p>
        </w:tc>
        <w:tc>
          <w:tcPr>
            <w:tcW w:w="5636" w:type="dxa"/>
          </w:tcPr>
          <w:p w14:paraId="0B42A400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Avelumab</w:t>
            </w:r>
          </w:p>
        </w:tc>
      </w:tr>
      <w:tr w:rsidR="00506742" w:rsidRPr="00171DCB" w14:paraId="59613E6A" w14:textId="77777777" w:rsidTr="0063788F">
        <w:trPr>
          <w:trHeight w:val="57"/>
          <w:jc w:val="right"/>
        </w:trPr>
        <w:tc>
          <w:tcPr>
            <w:tcW w:w="1555" w:type="dxa"/>
          </w:tcPr>
          <w:p w14:paraId="3AFF1F1A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6858EFA0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UMLS:HCPCS:J9271</w:t>
            </w:r>
          </w:p>
        </w:tc>
        <w:tc>
          <w:tcPr>
            <w:tcW w:w="5636" w:type="dxa"/>
          </w:tcPr>
          <w:p w14:paraId="36EDBC65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pembrolizumab, 1 mg</w:t>
            </w:r>
          </w:p>
        </w:tc>
      </w:tr>
      <w:tr w:rsidR="00506742" w:rsidRPr="00171DCB" w14:paraId="531DC1EB" w14:textId="77777777" w:rsidTr="0063788F">
        <w:trPr>
          <w:trHeight w:val="57"/>
          <w:jc w:val="right"/>
        </w:trPr>
        <w:tc>
          <w:tcPr>
            <w:tcW w:w="1555" w:type="dxa"/>
          </w:tcPr>
          <w:p w14:paraId="02A44C8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7419106A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UMLS:HCPCS:J9299</w:t>
            </w:r>
          </w:p>
        </w:tc>
        <w:tc>
          <w:tcPr>
            <w:tcW w:w="5636" w:type="dxa"/>
          </w:tcPr>
          <w:p w14:paraId="00979AE4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nivolumab, 1 mg</w:t>
            </w:r>
          </w:p>
        </w:tc>
      </w:tr>
      <w:tr w:rsidR="00506742" w:rsidRPr="00171DCB" w14:paraId="6AAE82CD" w14:textId="77777777" w:rsidTr="0063788F">
        <w:trPr>
          <w:trHeight w:val="57"/>
          <w:jc w:val="right"/>
        </w:trPr>
        <w:tc>
          <w:tcPr>
            <w:tcW w:w="1555" w:type="dxa"/>
          </w:tcPr>
          <w:p w14:paraId="37A52AD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56695092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UMLS:HCPCS:J9022</w:t>
            </w:r>
          </w:p>
        </w:tc>
        <w:tc>
          <w:tcPr>
            <w:tcW w:w="5636" w:type="dxa"/>
          </w:tcPr>
          <w:p w14:paraId="2144E268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atezolizumab, 10 mg</w:t>
            </w:r>
          </w:p>
        </w:tc>
      </w:tr>
      <w:tr w:rsidR="00506742" w:rsidRPr="00171DCB" w14:paraId="026513EF" w14:textId="77777777" w:rsidTr="0063788F">
        <w:trPr>
          <w:trHeight w:val="57"/>
          <w:jc w:val="right"/>
        </w:trPr>
        <w:tc>
          <w:tcPr>
            <w:tcW w:w="1555" w:type="dxa"/>
          </w:tcPr>
          <w:p w14:paraId="43DCD634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0A1259AB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UMLS:HCPCS:J9173</w:t>
            </w:r>
          </w:p>
        </w:tc>
        <w:tc>
          <w:tcPr>
            <w:tcW w:w="5636" w:type="dxa"/>
          </w:tcPr>
          <w:p w14:paraId="7D06A140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durvalumab, 10 mg</w:t>
            </w:r>
          </w:p>
        </w:tc>
      </w:tr>
      <w:tr w:rsidR="00506742" w:rsidRPr="00171DCB" w14:paraId="3D9E623F" w14:textId="77777777" w:rsidTr="0063788F">
        <w:trPr>
          <w:trHeight w:val="57"/>
          <w:jc w:val="right"/>
        </w:trPr>
        <w:tc>
          <w:tcPr>
            <w:tcW w:w="1555" w:type="dxa"/>
          </w:tcPr>
          <w:p w14:paraId="7ABA58B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59EA5AB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UMLS:HCPCS:J9119</w:t>
            </w:r>
          </w:p>
        </w:tc>
        <w:tc>
          <w:tcPr>
            <w:tcW w:w="5636" w:type="dxa"/>
          </w:tcPr>
          <w:p w14:paraId="0EA72761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cemiplimab-rwlc, 1 mg</w:t>
            </w:r>
          </w:p>
        </w:tc>
      </w:tr>
      <w:tr w:rsidR="00506742" w:rsidRPr="00171DCB" w14:paraId="40E4408D" w14:textId="77777777" w:rsidTr="0063788F">
        <w:trPr>
          <w:trHeight w:val="57"/>
          <w:jc w:val="right"/>
        </w:trPr>
        <w:tc>
          <w:tcPr>
            <w:tcW w:w="1555" w:type="dxa"/>
          </w:tcPr>
          <w:p w14:paraId="002BD299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P</w:t>
            </w:r>
            <w:r w:rsidRPr="00171DCB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2C3AE48A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UMLS:HCPCS:J9023</w:t>
            </w:r>
          </w:p>
        </w:tc>
        <w:tc>
          <w:tcPr>
            <w:tcW w:w="5636" w:type="dxa"/>
          </w:tcPr>
          <w:p w14:paraId="6A5E5B5F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Injection, avelumab, 10 mg</w:t>
            </w:r>
          </w:p>
        </w:tc>
      </w:tr>
      <w:tr w:rsidR="00506742" w:rsidRPr="00171DCB" w14:paraId="13EF661F" w14:textId="77777777" w:rsidTr="0063788F">
        <w:trPr>
          <w:trHeight w:val="57"/>
          <w:jc w:val="right"/>
        </w:trPr>
        <w:tc>
          <w:tcPr>
            <w:tcW w:w="1555" w:type="dxa"/>
          </w:tcPr>
          <w:p w14:paraId="0F8D306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  <w:lang w:eastAsia="zh-TW"/>
              </w:rPr>
              <w:t>M</w:t>
            </w:r>
            <w:r w:rsidRPr="00171DCB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368778D9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sz w:val="21"/>
                <w:szCs w:val="21"/>
              </w:rPr>
              <w:t>NLM:ATC:A10BJ</w:t>
            </w:r>
          </w:p>
        </w:tc>
        <w:tc>
          <w:tcPr>
            <w:tcW w:w="5636" w:type="dxa"/>
          </w:tcPr>
          <w:p w14:paraId="0633FFF7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Glucagon-like peptide-1 (GLP-1) analogues</w:t>
            </w:r>
          </w:p>
        </w:tc>
      </w:tr>
    </w:tbl>
    <w:p w14:paraId="622D805C" w14:textId="77777777" w:rsidR="00506742" w:rsidRPr="003D005E" w:rsidRDefault="00506742" w:rsidP="00506742">
      <w:pPr>
        <w:snapToGrid w:val="0"/>
        <w:spacing w:afterLines="50" w:after="180"/>
        <w:rPr>
          <w:rFonts w:ascii="Arial" w:hAnsi="Arial" w:cs="Arial"/>
          <w:b/>
          <w:bCs/>
          <w:color w:val="A8D08D" w:themeColor="accent6" w:themeTint="99"/>
        </w:rPr>
      </w:pPr>
    </w:p>
    <w:tbl>
      <w:tblPr>
        <w:tblStyle w:val="af"/>
        <w:tblW w:w="9742" w:type="dxa"/>
        <w:jc w:val="righ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5636"/>
      </w:tblGrid>
      <w:tr w:rsidR="00506742" w:rsidRPr="003D005E" w14:paraId="54BAF232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06A2461B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Category</w:t>
            </w:r>
          </w:p>
        </w:tc>
        <w:tc>
          <w:tcPr>
            <w:tcW w:w="2551" w:type="dxa"/>
            <w:vAlign w:val="center"/>
          </w:tcPr>
          <w:p w14:paraId="1A6836E1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Code</w:t>
            </w:r>
          </w:p>
        </w:tc>
        <w:tc>
          <w:tcPr>
            <w:tcW w:w="5636" w:type="dxa"/>
            <w:vAlign w:val="center"/>
          </w:tcPr>
          <w:p w14:paraId="2B0E0AA4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Description</w:t>
            </w:r>
          </w:p>
        </w:tc>
      </w:tr>
      <w:tr w:rsidR="00506742" w:rsidRPr="003D005E" w14:paraId="0FA55588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22EA3FFB" w14:textId="77777777" w:rsidR="00506742" w:rsidRPr="00783464" w:rsidRDefault="00506742" w:rsidP="0063788F">
            <w:pPr>
              <w:pStyle w:val="p1"/>
              <w:rPr>
                <w:lang w:eastAsia="zh-TW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>ICI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3D005E"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>g</w:t>
            </w: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roup</w:t>
            </w:r>
          </w:p>
        </w:tc>
      </w:tr>
      <w:tr w:rsidR="00506742" w:rsidRPr="00171DCB" w14:paraId="2217D826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54CEF19C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#1: At least 18 years old (must have the following).</w:t>
            </w:r>
          </w:p>
        </w:tc>
      </w:tr>
      <w:tr w:rsidR="00506742" w:rsidRPr="00171DCB" w14:paraId="405EA990" w14:textId="77777777" w:rsidTr="0063788F">
        <w:trPr>
          <w:trHeight w:val="57"/>
          <w:jc w:val="right"/>
        </w:trPr>
        <w:tc>
          <w:tcPr>
            <w:tcW w:w="1555" w:type="dxa"/>
          </w:tcPr>
          <w:p w14:paraId="07CBE18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2551" w:type="dxa"/>
          </w:tcPr>
          <w:p w14:paraId="3398BD7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Age</w:t>
            </w:r>
          </w:p>
        </w:tc>
        <w:tc>
          <w:tcPr>
            <w:tcW w:w="5636" w:type="dxa"/>
          </w:tcPr>
          <w:p w14:paraId="05A9062D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Age (at least 18 years)</w:t>
            </w:r>
          </w:p>
        </w:tc>
      </w:tr>
      <w:tr w:rsidR="00506742" w:rsidRPr="00171DCB" w14:paraId="194D9655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0A9BE284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#1: Individuals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with neoplasms and obesity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treated with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ICI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(#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3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and #1.4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must be fulfilled after #1.1 and #1.2).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br/>
              <w:t>Date constraint: The terms in this group occurred between Jan 1, 201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7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and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Oct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3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, 2025.</w:t>
            </w:r>
          </w:p>
        </w:tc>
      </w:tr>
      <w:tr w:rsidR="00506742" w:rsidRPr="00171DCB" w14:paraId="49700CEE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508CED1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#1.1: Individuals with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neoplasms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(must have the following).</w:t>
            </w:r>
          </w:p>
        </w:tc>
      </w:tr>
      <w:tr w:rsidR="00506742" w:rsidRPr="00171DCB" w14:paraId="3CEF01D7" w14:textId="77777777" w:rsidTr="0063788F">
        <w:trPr>
          <w:trHeight w:val="96"/>
          <w:jc w:val="right"/>
        </w:trPr>
        <w:tc>
          <w:tcPr>
            <w:tcW w:w="1555" w:type="dxa"/>
          </w:tcPr>
          <w:p w14:paraId="6AACD92E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0414A7EF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UMLS:ICD10CM:C00-D49</w:t>
            </w:r>
          </w:p>
        </w:tc>
        <w:tc>
          <w:tcPr>
            <w:tcW w:w="5636" w:type="dxa"/>
          </w:tcPr>
          <w:p w14:paraId="277B36B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  <w:t>Neoplasms</w:t>
            </w:r>
          </w:p>
        </w:tc>
      </w:tr>
      <w:tr w:rsidR="00506742" w:rsidRPr="00171DCB" w14:paraId="3783542E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38267C82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2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Individuals with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obesity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(must have any of the following).</w:t>
            </w:r>
          </w:p>
        </w:tc>
      </w:tr>
      <w:tr w:rsidR="00506742" w:rsidRPr="00171DCB" w14:paraId="1D33B11D" w14:textId="77777777" w:rsidTr="0063788F">
        <w:trPr>
          <w:trHeight w:val="57"/>
          <w:jc w:val="right"/>
        </w:trPr>
        <w:tc>
          <w:tcPr>
            <w:tcW w:w="1555" w:type="dxa"/>
          </w:tcPr>
          <w:p w14:paraId="4441311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14052B08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UMLS:ICD10CM:E66</w:t>
            </w:r>
          </w:p>
        </w:tc>
        <w:tc>
          <w:tcPr>
            <w:tcW w:w="5636" w:type="dxa"/>
          </w:tcPr>
          <w:p w14:paraId="2550860F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Overweight and obesity</w:t>
            </w:r>
          </w:p>
        </w:tc>
      </w:tr>
      <w:tr w:rsidR="00506742" w:rsidRPr="00171DCB" w14:paraId="210FC2E4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631E59D5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  <w:lang w:eastAsia="zh-TW"/>
              </w:rPr>
              <w:t>La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boratory</w:t>
            </w:r>
          </w:p>
        </w:tc>
        <w:tc>
          <w:tcPr>
            <w:tcW w:w="2551" w:type="dxa"/>
          </w:tcPr>
          <w:p w14:paraId="1E69385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TNX:9083</w:t>
            </w:r>
          </w:p>
        </w:tc>
        <w:tc>
          <w:tcPr>
            <w:tcW w:w="5636" w:type="dxa"/>
          </w:tcPr>
          <w:p w14:paraId="45A33407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BMI (at least 27.00 kg/m</w:t>
            </w:r>
            <w:r w:rsidRPr="00171DCB">
              <w:rPr>
                <w:rFonts w:ascii="Arial" w:hAnsi="Arial" w:cs="Arial"/>
                <w:bCs/>
                <w:sz w:val="21"/>
                <w:szCs w:val="21"/>
                <w:vertAlign w:val="superscript"/>
              </w:rPr>
              <w:t>2</w:t>
            </w:r>
            <w:r w:rsidRPr="00171DCB">
              <w:rPr>
                <w:rFonts w:ascii="Arial" w:hAnsi="Arial" w:cs="Arial"/>
                <w:bCs/>
                <w:sz w:val="21"/>
                <w:szCs w:val="21"/>
              </w:rPr>
              <w:t>)</w:t>
            </w:r>
          </w:p>
        </w:tc>
      </w:tr>
      <w:tr w:rsidR="00506742" w:rsidRPr="003D005E" w14:paraId="494170C1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74B47034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Receiving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>ICI</w:t>
            </w: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(must have </w:t>
            </w:r>
            <w:r w:rsidRPr="00F11AB7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any of the following).</w:t>
            </w:r>
          </w:p>
        </w:tc>
      </w:tr>
      <w:tr w:rsidR="00506742" w:rsidRPr="003D005E" w14:paraId="66E8AC92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6E8F6B4F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0F14B5AE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UMLS:HCPCS:J9271</w:t>
            </w:r>
          </w:p>
        </w:tc>
        <w:tc>
          <w:tcPr>
            <w:tcW w:w="5636" w:type="dxa"/>
          </w:tcPr>
          <w:p w14:paraId="288A90FB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Injection, pembrolizumab, 1 mg</w:t>
            </w:r>
          </w:p>
        </w:tc>
      </w:tr>
      <w:tr w:rsidR="00506742" w:rsidRPr="003D005E" w14:paraId="1C693B58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07315082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09EA3B2F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UMLS:HCPCS:J9299</w:t>
            </w:r>
          </w:p>
        </w:tc>
        <w:tc>
          <w:tcPr>
            <w:tcW w:w="5636" w:type="dxa"/>
          </w:tcPr>
          <w:p w14:paraId="79ED3723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Injection, nivolumab, 1 mg</w:t>
            </w:r>
          </w:p>
        </w:tc>
      </w:tr>
      <w:tr w:rsidR="00506742" w:rsidRPr="003D005E" w14:paraId="615A2090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0C165B97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50C4614F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UMLS:HCPCS:J9022</w:t>
            </w:r>
          </w:p>
        </w:tc>
        <w:tc>
          <w:tcPr>
            <w:tcW w:w="5636" w:type="dxa"/>
          </w:tcPr>
          <w:p w14:paraId="18D5E90C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Injection, atezolizumab, 10 mg</w:t>
            </w:r>
          </w:p>
        </w:tc>
      </w:tr>
      <w:tr w:rsidR="00506742" w:rsidRPr="003D005E" w14:paraId="7BAE8773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59A01EC9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6EC9E320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UMLS:HCPCS:J9173</w:t>
            </w:r>
          </w:p>
        </w:tc>
        <w:tc>
          <w:tcPr>
            <w:tcW w:w="5636" w:type="dxa"/>
          </w:tcPr>
          <w:p w14:paraId="521B4839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Injection, durvalumab, 10 mg</w:t>
            </w:r>
          </w:p>
        </w:tc>
      </w:tr>
      <w:tr w:rsidR="00506742" w:rsidRPr="003D005E" w14:paraId="092B0BC7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718F3153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1D64223C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UMLS:HCPCS:J9119</w:t>
            </w:r>
          </w:p>
        </w:tc>
        <w:tc>
          <w:tcPr>
            <w:tcW w:w="5636" w:type="dxa"/>
          </w:tcPr>
          <w:p w14:paraId="25820CA0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Injection, cemiplimab-rwlc, 1 mg</w:t>
            </w:r>
          </w:p>
        </w:tc>
      </w:tr>
      <w:tr w:rsidR="00506742" w:rsidRPr="003D005E" w14:paraId="1DCC8134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536F86DE" w14:textId="77777777" w:rsidR="00506742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7895C79D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UMLS:HCPCS:J9023</w:t>
            </w:r>
          </w:p>
        </w:tc>
        <w:tc>
          <w:tcPr>
            <w:tcW w:w="5636" w:type="dxa"/>
          </w:tcPr>
          <w:p w14:paraId="2517D17D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Injection, avelumab, 10 mg</w:t>
            </w:r>
          </w:p>
        </w:tc>
      </w:tr>
      <w:tr w:rsidR="00506742" w:rsidRPr="003D005E" w14:paraId="47E69DC8" w14:textId="77777777" w:rsidTr="0063788F">
        <w:trPr>
          <w:trHeight w:val="57"/>
          <w:jc w:val="right"/>
        </w:trPr>
        <w:tc>
          <w:tcPr>
            <w:tcW w:w="1555" w:type="dxa"/>
          </w:tcPr>
          <w:p w14:paraId="498564BB" w14:textId="77777777" w:rsidR="00506742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1D7646A8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NLM:RXNORM:1547545</w:t>
            </w:r>
          </w:p>
        </w:tc>
        <w:tc>
          <w:tcPr>
            <w:tcW w:w="5636" w:type="dxa"/>
          </w:tcPr>
          <w:p w14:paraId="5D816403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Pembrolizumab</w:t>
            </w:r>
          </w:p>
        </w:tc>
      </w:tr>
      <w:tr w:rsidR="00506742" w:rsidRPr="003D005E" w14:paraId="6CBCFD5F" w14:textId="77777777" w:rsidTr="0063788F">
        <w:trPr>
          <w:trHeight w:val="57"/>
          <w:jc w:val="right"/>
        </w:trPr>
        <w:tc>
          <w:tcPr>
            <w:tcW w:w="1555" w:type="dxa"/>
          </w:tcPr>
          <w:p w14:paraId="753FE190" w14:textId="77777777" w:rsidR="00506742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2EBD3E56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NLM:RXNORM:1597876</w:t>
            </w:r>
          </w:p>
        </w:tc>
        <w:tc>
          <w:tcPr>
            <w:tcW w:w="5636" w:type="dxa"/>
          </w:tcPr>
          <w:p w14:paraId="2D0D27CF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Nivolumab</w:t>
            </w:r>
          </w:p>
        </w:tc>
      </w:tr>
      <w:tr w:rsidR="00506742" w:rsidRPr="003D005E" w14:paraId="3A0BC365" w14:textId="77777777" w:rsidTr="0063788F">
        <w:trPr>
          <w:trHeight w:val="57"/>
          <w:jc w:val="right"/>
        </w:trPr>
        <w:tc>
          <w:tcPr>
            <w:tcW w:w="1555" w:type="dxa"/>
          </w:tcPr>
          <w:p w14:paraId="2951292A" w14:textId="77777777" w:rsidR="00506742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29A4E948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NLM:RXNORM:1792776</w:t>
            </w:r>
          </w:p>
        </w:tc>
        <w:tc>
          <w:tcPr>
            <w:tcW w:w="5636" w:type="dxa"/>
          </w:tcPr>
          <w:p w14:paraId="36962B66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Atezolizumab</w:t>
            </w:r>
          </w:p>
        </w:tc>
      </w:tr>
      <w:tr w:rsidR="00506742" w:rsidRPr="003D005E" w14:paraId="6AA470E7" w14:textId="77777777" w:rsidTr="0063788F">
        <w:trPr>
          <w:trHeight w:val="57"/>
          <w:jc w:val="right"/>
        </w:trPr>
        <w:tc>
          <w:tcPr>
            <w:tcW w:w="1555" w:type="dxa"/>
          </w:tcPr>
          <w:p w14:paraId="7053BD46" w14:textId="77777777" w:rsidR="00506742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5791207D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NLM:RXNORM:1919503</w:t>
            </w:r>
          </w:p>
        </w:tc>
        <w:tc>
          <w:tcPr>
            <w:tcW w:w="5636" w:type="dxa"/>
          </w:tcPr>
          <w:p w14:paraId="75983133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Durvalumab</w:t>
            </w:r>
          </w:p>
        </w:tc>
      </w:tr>
      <w:tr w:rsidR="00506742" w:rsidRPr="003D005E" w14:paraId="2E4E244F" w14:textId="77777777" w:rsidTr="0063788F">
        <w:trPr>
          <w:trHeight w:val="57"/>
          <w:jc w:val="right"/>
        </w:trPr>
        <w:tc>
          <w:tcPr>
            <w:tcW w:w="1555" w:type="dxa"/>
          </w:tcPr>
          <w:p w14:paraId="418C4607" w14:textId="77777777" w:rsidR="00506742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3D675AE7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NLM:RXNORM:2058826</w:t>
            </w:r>
          </w:p>
        </w:tc>
        <w:tc>
          <w:tcPr>
            <w:tcW w:w="5636" w:type="dxa"/>
          </w:tcPr>
          <w:p w14:paraId="41171A06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Cemiplimab</w:t>
            </w:r>
          </w:p>
        </w:tc>
      </w:tr>
      <w:tr w:rsidR="00506742" w:rsidRPr="003D005E" w14:paraId="62713341" w14:textId="77777777" w:rsidTr="0063788F">
        <w:trPr>
          <w:trHeight w:val="57"/>
          <w:jc w:val="right"/>
        </w:trPr>
        <w:tc>
          <w:tcPr>
            <w:tcW w:w="1555" w:type="dxa"/>
          </w:tcPr>
          <w:p w14:paraId="06D3B329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028CD1D0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sz w:val="21"/>
                <w:szCs w:val="21"/>
              </w:rPr>
              <w:t>NLM:RXNORM:1875534</w:t>
            </w:r>
          </w:p>
        </w:tc>
        <w:tc>
          <w:tcPr>
            <w:tcW w:w="5636" w:type="dxa"/>
          </w:tcPr>
          <w:p w14:paraId="6F59C897" w14:textId="77777777" w:rsidR="00506742" w:rsidRPr="0093121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93121E">
              <w:rPr>
                <w:rFonts w:ascii="Arial" w:hAnsi="Arial" w:cs="Arial"/>
                <w:bCs/>
                <w:sz w:val="21"/>
                <w:szCs w:val="21"/>
              </w:rPr>
              <w:t>Avelumab</w:t>
            </w:r>
          </w:p>
        </w:tc>
      </w:tr>
      <w:tr w:rsidR="00506742" w:rsidRPr="003D005E" w14:paraId="3A4D36E5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2BC832AF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>4</w:t>
            </w: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>Not r</w:t>
            </w: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eceiving </w:t>
            </w:r>
            <w:r w:rsidRPr="00823355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GLP-1 RA</w:t>
            </w:r>
            <w:r w:rsidRPr="003D005E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(cannot have the following)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.</w:t>
            </w:r>
          </w:p>
        </w:tc>
      </w:tr>
      <w:tr w:rsidR="00506742" w:rsidRPr="003D005E" w14:paraId="5EAFE722" w14:textId="77777777" w:rsidTr="0063788F">
        <w:trPr>
          <w:trHeight w:val="57"/>
          <w:jc w:val="right"/>
        </w:trPr>
        <w:tc>
          <w:tcPr>
            <w:tcW w:w="1555" w:type="dxa"/>
            <w:vAlign w:val="center"/>
          </w:tcPr>
          <w:p w14:paraId="3F3FC86E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3D005E">
              <w:rPr>
                <w:rFonts w:ascii="Arial" w:hAnsi="Arial" w:cs="Arial"/>
                <w:bCs/>
                <w:sz w:val="21"/>
                <w:szCs w:val="21"/>
              </w:rPr>
              <w:t>Medication</w:t>
            </w:r>
          </w:p>
        </w:tc>
        <w:tc>
          <w:tcPr>
            <w:tcW w:w="2551" w:type="dxa"/>
            <w:vAlign w:val="center"/>
          </w:tcPr>
          <w:p w14:paraId="0CF90A9E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  <w:lang w:eastAsia="zh-TW"/>
              </w:rPr>
            </w:pPr>
            <w:r w:rsidRPr="00A8181E">
              <w:rPr>
                <w:rFonts w:ascii="Arial" w:hAnsi="Arial" w:cs="Arial"/>
                <w:bCs/>
                <w:sz w:val="21"/>
                <w:szCs w:val="21"/>
              </w:rPr>
              <w:t>NLM:ATC:A10B</w:t>
            </w: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J</w:t>
            </w:r>
          </w:p>
        </w:tc>
        <w:tc>
          <w:tcPr>
            <w:tcW w:w="5636" w:type="dxa"/>
            <w:vAlign w:val="center"/>
          </w:tcPr>
          <w:p w14:paraId="4918FD08" w14:textId="77777777" w:rsidR="00506742" w:rsidRPr="003D005E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EB529C">
              <w:rPr>
                <w:rFonts w:ascii="Arial" w:hAnsi="Arial" w:cs="Arial"/>
                <w:bCs/>
                <w:sz w:val="21"/>
                <w:szCs w:val="21"/>
              </w:rPr>
              <w:t>Glucagon-like peptide-1 (GLP-1) analogues</w:t>
            </w:r>
          </w:p>
        </w:tc>
      </w:tr>
      <w:tr w:rsidR="00506742" w:rsidRPr="00171DCB" w14:paraId="2B48DA29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1D42EB48" w14:textId="77777777" w:rsidR="00506742" w:rsidRPr="00171DCB" w:rsidRDefault="00506742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</w:pP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2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: Without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b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ariatric surgery,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t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ransplantation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 xml:space="preserve">, HIV, ESRD, type 2 diabetes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(cannot have any of the following). 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>2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must be fulfilled </w:t>
            </w:r>
            <w:r w:rsidRPr="00171DC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within 3 years on or before</w:t>
            </w:r>
            <w:r w:rsidRPr="00171DCB">
              <w:rPr>
                <w:rFonts w:ascii="Arial" w:hAnsi="Arial" w:cs="Arial"/>
                <w:b/>
                <w:sz w:val="21"/>
                <w:szCs w:val="21"/>
                <w:lang w:eastAsia="zh-TW"/>
              </w:rPr>
              <w:t xml:space="preserve"> 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#</w:t>
            </w:r>
            <w:r w:rsidRPr="00171DCB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  <w:t xml:space="preserve">1. </w:t>
            </w:r>
          </w:p>
        </w:tc>
      </w:tr>
      <w:tr w:rsidR="00506742" w:rsidRPr="00294130" w14:paraId="0219D9C8" w14:textId="77777777" w:rsidTr="0063788F">
        <w:trPr>
          <w:trHeight w:val="57"/>
          <w:jc w:val="right"/>
        </w:trPr>
        <w:tc>
          <w:tcPr>
            <w:tcW w:w="1555" w:type="dxa"/>
          </w:tcPr>
          <w:p w14:paraId="24E628CB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O</w:t>
            </w:r>
            <w:r w:rsidRPr="00294130">
              <w:rPr>
                <w:rFonts w:ascii="Arial" w:hAnsi="Arial" w:cs="Arial"/>
                <w:sz w:val="21"/>
                <w:szCs w:val="21"/>
              </w:rPr>
              <w:t>ncology</w:t>
            </w:r>
          </w:p>
        </w:tc>
        <w:tc>
          <w:tcPr>
            <w:tcW w:w="2551" w:type="dxa"/>
          </w:tcPr>
          <w:p w14:paraId="2CB7BBAE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sz w:val="21"/>
                <w:szCs w:val="21"/>
              </w:rPr>
              <w:t>NAACCR:BIOM:3859</w:t>
            </w:r>
          </w:p>
        </w:tc>
        <w:tc>
          <w:tcPr>
            <w:tcW w:w="5636" w:type="dxa"/>
          </w:tcPr>
          <w:p w14:paraId="1FA7C413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sz w:val="21"/>
                <w:szCs w:val="21"/>
              </w:rPr>
              <w:t>HIV Status</w:t>
            </w:r>
          </w:p>
        </w:tc>
      </w:tr>
      <w:tr w:rsidR="00506742" w:rsidRPr="00294130" w14:paraId="52D10F46" w14:textId="77777777" w:rsidTr="0063788F">
        <w:trPr>
          <w:trHeight w:val="57"/>
          <w:jc w:val="right"/>
        </w:trPr>
        <w:tc>
          <w:tcPr>
            <w:tcW w:w="1555" w:type="dxa"/>
          </w:tcPr>
          <w:p w14:paraId="34C48F12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73B16EF8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sz w:val="21"/>
                <w:szCs w:val="21"/>
              </w:rPr>
              <w:t>UMLS:ICD10CM:B20</w:t>
            </w:r>
          </w:p>
        </w:tc>
        <w:tc>
          <w:tcPr>
            <w:tcW w:w="5636" w:type="dxa"/>
          </w:tcPr>
          <w:p w14:paraId="78FB113B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Human immunodeficiency virus [HIV] disease</w:t>
            </w:r>
          </w:p>
        </w:tc>
      </w:tr>
      <w:tr w:rsidR="00506742" w:rsidRPr="00294130" w14:paraId="343A7373" w14:textId="77777777" w:rsidTr="0063788F">
        <w:trPr>
          <w:trHeight w:val="57"/>
          <w:jc w:val="right"/>
        </w:trPr>
        <w:tc>
          <w:tcPr>
            <w:tcW w:w="1555" w:type="dxa"/>
          </w:tcPr>
          <w:p w14:paraId="3943E099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7C0C2432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sz w:val="21"/>
                <w:szCs w:val="21"/>
              </w:rPr>
              <w:t>UMLS:ICD10PCS:0TY</w:t>
            </w:r>
          </w:p>
        </w:tc>
        <w:tc>
          <w:tcPr>
            <w:tcW w:w="5636" w:type="dxa"/>
          </w:tcPr>
          <w:p w14:paraId="78D59177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sz w:val="21"/>
                <w:szCs w:val="21"/>
              </w:rPr>
              <w:t>Transplantation</w:t>
            </w:r>
          </w:p>
        </w:tc>
      </w:tr>
      <w:tr w:rsidR="00506742" w:rsidRPr="00294130" w14:paraId="119782BA" w14:textId="77777777" w:rsidTr="0063788F">
        <w:trPr>
          <w:trHeight w:val="57"/>
          <w:jc w:val="right"/>
        </w:trPr>
        <w:tc>
          <w:tcPr>
            <w:tcW w:w="1555" w:type="dxa"/>
          </w:tcPr>
          <w:p w14:paraId="416BC7F0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5EE20EC3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UMLS:ICD10CM:Z94</w:t>
            </w:r>
          </w:p>
        </w:tc>
        <w:tc>
          <w:tcPr>
            <w:tcW w:w="5636" w:type="dxa"/>
          </w:tcPr>
          <w:p w14:paraId="215D411C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Transplanted organ and tissue status</w:t>
            </w:r>
          </w:p>
        </w:tc>
      </w:tr>
      <w:tr w:rsidR="00506742" w:rsidRPr="00294130" w14:paraId="30F79997" w14:textId="77777777" w:rsidTr="0063788F">
        <w:trPr>
          <w:trHeight w:val="57"/>
          <w:jc w:val="right"/>
        </w:trPr>
        <w:tc>
          <w:tcPr>
            <w:tcW w:w="1555" w:type="dxa"/>
          </w:tcPr>
          <w:p w14:paraId="7C7ECBD8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275F191A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UMLS:ICD10CM:Z98.84</w:t>
            </w:r>
          </w:p>
        </w:tc>
        <w:tc>
          <w:tcPr>
            <w:tcW w:w="5636" w:type="dxa"/>
          </w:tcPr>
          <w:p w14:paraId="0652C90D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Bariatric surgery status</w:t>
            </w:r>
          </w:p>
        </w:tc>
      </w:tr>
      <w:tr w:rsidR="00506742" w:rsidRPr="00294130" w14:paraId="72A2E49E" w14:textId="77777777" w:rsidTr="0063788F">
        <w:trPr>
          <w:trHeight w:val="57"/>
          <w:jc w:val="right"/>
        </w:trPr>
        <w:tc>
          <w:tcPr>
            <w:tcW w:w="1555" w:type="dxa"/>
          </w:tcPr>
          <w:p w14:paraId="25CC1398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Cs/>
                <w:sz w:val="21"/>
                <w:szCs w:val="21"/>
                <w:lang w:eastAsia="zh-TW"/>
              </w:rPr>
              <w:t>P</w:t>
            </w:r>
            <w:r w:rsidRPr="00D116C0">
              <w:rPr>
                <w:rFonts w:ascii="Arial" w:hAnsi="Arial" w:cs="Arial"/>
                <w:bCs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21186A9D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UMLS:CPT:1007385</w:t>
            </w:r>
          </w:p>
        </w:tc>
        <w:tc>
          <w:tcPr>
            <w:tcW w:w="5636" w:type="dxa"/>
          </w:tcPr>
          <w:p w14:paraId="40BECBF2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Bariatric Surgery Procedures</w:t>
            </w:r>
          </w:p>
        </w:tc>
      </w:tr>
      <w:tr w:rsidR="00506742" w:rsidRPr="00294130" w14:paraId="74FDCEC4" w14:textId="77777777" w:rsidTr="0063788F">
        <w:trPr>
          <w:trHeight w:val="57"/>
          <w:jc w:val="right"/>
        </w:trPr>
        <w:tc>
          <w:tcPr>
            <w:tcW w:w="1555" w:type="dxa"/>
          </w:tcPr>
          <w:p w14:paraId="6E297C34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488ECC01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UMLS:ICD10CM:N18.6</w:t>
            </w:r>
          </w:p>
        </w:tc>
        <w:tc>
          <w:tcPr>
            <w:tcW w:w="5636" w:type="dxa"/>
          </w:tcPr>
          <w:p w14:paraId="2935189C" w14:textId="77777777" w:rsidR="00506742" w:rsidRPr="00294130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294130">
              <w:rPr>
                <w:rFonts w:ascii="Arial" w:hAnsi="Arial" w:cs="Arial"/>
                <w:bCs/>
                <w:sz w:val="21"/>
                <w:szCs w:val="21"/>
              </w:rPr>
              <w:t>End stage renal disease</w:t>
            </w:r>
          </w:p>
        </w:tc>
      </w:tr>
      <w:tr w:rsidR="00506742" w:rsidRPr="00171DCB" w14:paraId="3EAF1F87" w14:textId="77777777" w:rsidTr="0063788F">
        <w:trPr>
          <w:trHeight w:val="57"/>
          <w:jc w:val="right"/>
        </w:trPr>
        <w:tc>
          <w:tcPr>
            <w:tcW w:w="1555" w:type="dxa"/>
          </w:tcPr>
          <w:p w14:paraId="47F23AF3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551" w:type="dxa"/>
          </w:tcPr>
          <w:p w14:paraId="32CC5EF6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UMLS:ICD10CM:E11</w:t>
            </w:r>
          </w:p>
        </w:tc>
        <w:tc>
          <w:tcPr>
            <w:tcW w:w="5636" w:type="dxa"/>
          </w:tcPr>
          <w:p w14:paraId="6563BF4F" w14:textId="77777777" w:rsidR="00506742" w:rsidRPr="00171DCB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171DCB">
              <w:rPr>
                <w:rFonts w:ascii="Arial" w:hAnsi="Arial" w:cs="Arial"/>
                <w:bCs/>
                <w:sz w:val="21"/>
                <w:szCs w:val="21"/>
              </w:rPr>
              <w:t>Type 2 diabetes mellitus</w:t>
            </w:r>
          </w:p>
        </w:tc>
      </w:tr>
      <w:tr w:rsidR="00506742" w:rsidRPr="003D005E" w14:paraId="00AFF4BC" w14:textId="77777777" w:rsidTr="0063788F">
        <w:trPr>
          <w:trHeight w:val="57"/>
          <w:jc w:val="right"/>
        </w:trPr>
        <w:tc>
          <w:tcPr>
            <w:tcW w:w="9742" w:type="dxa"/>
            <w:gridSpan w:val="3"/>
            <w:vAlign w:val="center"/>
          </w:tcPr>
          <w:p w14:paraId="5F59521C" w14:textId="77777777" w:rsidR="00506742" w:rsidRPr="003E2608" w:rsidRDefault="00506742" w:rsidP="0063788F">
            <w:pPr>
              <w:snapToGrid w:val="0"/>
              <w:jc w:val="both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eastAsia="zh-TW"/>
              </w:rPr>
            </w:pPr>
            <w:r w:rsidRPr="003E2608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lastRenderedPageBreak/>
              <w:t>#</w:t>
            </w:r>
            <w:r>
              <w:rPr>
                <w:rFonts w:ascii="Arial" w:hAnsi="Arial" w:cs="Arial" w:hint="eastAsia"/>
                <w:b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3D005E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: </w:t>
            </w:r>
            <w:r w:rsidRPr="003E2608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Without prior exposure to the following medications</w:t>
            </w:r>
            <w:r w:rsidRPr="003D005E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(cannot have any of the following)</w:t>
            </w: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</w:t>
            </w:r>
            <w:r w:rsidRPr="003D005E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#</w:t>
            </w:r>
            <w:r>
              <w:rPr>
                <w:rFonts w:ascii="Arial" w:hAnsi="Arial" w:cs="Arial" w:hint="eastAsia"/>
                <w:b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3D005E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must be fulfilled within </w:t>
            </w:r>
            <w:r>
              <w:rPr>
                <w:rFonts w:ascii="Arial" w:hAnsi="Arial" w:cs="Arial" w:hint="eastAsia"/>
                <w:b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3D005E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months on or before </w:t>
            </w:r>
            <w:r w:rsidRPr="00657EBF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#1.1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and #1.2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  <w:lang w:eastAsia="zh-TW"/>
              </w:rPr>
              <w:t xml:space="preserve">. </w:t>
            </w:r>
          </w:p>
        </w:tc>
      </w:tr>
      <w:tr w:rsidR="00506742" w:rsidRPr="00481009" w14:paraId="182DF5A7" w14:textId="77777777" w:rsidTr="0063788F">
        <w:trPr>
          <w:trHeight w:val="57"/>
          <w:jc w:val="right"/>
        </w:trPr>
        <w:tc>
          <w:tcPr>
            <w:tcW w:w="1555" w:type="dxa"/>
          </w:tcPr>
          <w:p w14:paraId="794C8DBC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08E66368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NLM:RXNORM:2058826</w:t>
            </w:r>
          </w:p>
        </w:tc>
        <w:tc>
          <w:tcPr>
            <w:tcW w:w="5636" w:type="dxa"/>
          </w:tcPr>
          <w:p w14:paraId="09804043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Cemiplimab</w:t>
            </w:r>
          </w:p>
        </w:tc>
      </w:tr>
      <w:tr w:rsidR="00506742" w:rsidRPr="00481009" w14:paraId="4723EA1B" w14:textId="77777777" w:rsidTr="0063788F">
        <w:trPr>
          <w:trHeight w:val="57"/>
          <w:jc w:val="right"/>
        </w:trPr>
        <w:tc>
          <w:tcPr>
            <w:tcW w:w="1555" w:type="dxa"/>
          </w:tcPr>
          <w:p w14:paraId="3635BAB2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46480CE4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NLM:RXNORM:1547545</w:t>
            </w:r>
          </w:p>
        </w:tc>
        <w:tc>
          <w:tcPr>
            <w:tcW w:w="5636" w:type="dxa"/>
          </w:tcPr>
          <w:p w14:paraId="55235294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Pembrolizumab</w:t>
            </w:r>
          </w:p>
        </w:tc>
      </w:tr>
      <w:tr w:rsidR="00506742" w:rsidRPr="00481009" w14:paraId="1E3AE4E8" w14:textId="77777777" w:rsidTr="0063788F">
        <w:trPr>
          <w:trHeight w:val="57"/>
          <w:jc w:val="right"/>
        </w:trPr>
        <w:tc>
          <w:tcPr>
            <w:tcW w:w="1555" w:type="dxa"/>
          </w:tcPr>
          <w:p w14:paraId="47D8EEB1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6849D0D1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NLM:RXNORM:1919503</w:t>
            </w:r>
          </w:p>
        </w:tc>
        <w:tc>
          <w:tcPr>
            <w:tcW w:w="5636" w:type="dxa"/>
          </w:tcPr>
          <w:p w14:paraId="72DCDDEE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Durvalumab</w:t>
            </w:r>
          </w:p>
        </w:tc>
      </w:tr>
      <w:tr w:rsidR="00506742" w:rsidRPr="00481009" w14:paraId="26F8E6CC" w14:textId="77777777" w:rsidTr="0063788F">
        <w:trPr>
          <w:trHeight w:val="57"/>
          <w:jc w:val="right"/>
        </w:trPr>
        <w:tc>
          <w:tcPr>
            <w:tcW w:w="1555" w:type="dxa"/>
          </w:tcPr>
          <w:p w14:paraId="546C4BE8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59A8E2E3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NLM:RXNORM:1792776</w:t>
            </w:r>
          </w:p>
        </w:tc>
        <w:tc>
          <w:tcPr>
            <w:tcW w:w="5636" w:type="dxa"/>
          </w:tcPr>
          <w:p w14:paraId="3F1515FA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Atezolizumab</w:t>
            </w:r>
          </w:p>
        </w:tc>
      </w:tr>
      <w:tr w:rsidR="00506742" w:rsidRPr="00481009" w14:paraId="3B529C2B" w14:textId="77777777" w:rsidTr="0063788F">
        <w:trPr>
          <w:trHeight w:val="57"/>
          <w:jc w:val="right"/>
        </w:trPr>
        <w:tc>
          <w:tcPr>
            <w:tcW w:w="1555" w:type="dxa"/>
          </w:tcPr>
          <w:p w14:paraId="35BAE4D2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5DE9156B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NLM:RXNORM:1597876</w:t>
            </w:r>
          </w:p>
        </w:tc>
        <w:tc>
          <w:tcPr>
            <w:tcW w:w="5636" w:type="dxa"/>
          </w:tcPr>
          <w:p w14:paraId="51E78E80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Nivolumab</w:t>
            </w:r>
          </w:p>
        </w:tc>
      </w:tr>
      <w:tr w:rsidR="00506742" w:rsidRPr="00481009" w14:paraId="2AA42F07" w14:textId="77777777" w:rsidTr="0063788F">
        <w:trPr>
          <w:trHeight w:val="57"/>
          <w:jc w:val="right"/>
        </w:trPr>
        <w:tc>
          <w:tcPr>
            <w:tcW w:w="1555" w:type="dxa"/>
          </w:tcPr>
          <w:p w14:paraId="6B3DE507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40881B5A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NLM:RXNORM:1875534</w:t>
            </w:r>
          </w:p>
        </w:tc>
        <w:tc>
          <w:tcPr>
            <w:tcW w:w="5636" w:type="dxa"/>
          </w:tcPr>
          <w:p w14:paraId="408E356B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Avelumab</w:t>
            </w:r>
          </w:p>
        </w:tc>
      </w:tr>
      <w:tr w:rsidR="00506742" w:rsidRPr="00481009" w14:paraId="4552B901" w14:textId="77777777" w:rsidTr="0063788F">
        <w:trPr>
          <w:trHeight w:val="57"/>
          <w:jc w:val="right"/>
        </w:trPr>
        <w:tc>
          <w:tcPr>
            <w:tcW w:w="1555" w:type="dxa"/>
          </w:tcPr>
          <w:p w14:paraId="77ACDB42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P</w:t>
            </w:r>
            <w:r w:rsidRPr="00481009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3D646A43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UMLS:HCPCS:J9271</w:t>
            </w:r>
          </w:p>
        </w:tc>
        <w:tc>
          <w:tcPr>
            <w:tcW w:w="5636" w:type="dxa"/>
          </w:tcPr>
          <w:p w14:paraId="504D6CC6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Injection, pembrolizumab, 1 mg</w:t>
            </w:r>
          </w:p>
        </w:tc>
      </w:tr>
      <w:tr w:rsidR="00506742" w:rsidRPr="00481009" w14:paraId="1078555C" w14:textId="77777777" w:rsidTr="0063788F">
        <w:trPr>
          <w:trHeight w:val="57"/>
          <w:jc w:val="right"/>
        </w:trPr>
        <w:tc>
          <w:tcPr>
            <w:tcW w:w="1555" w:type="dxa"/>
          </w:tcPr>
          <w:p w14:paraId="1190235F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P</w:t>
            </w:r>
            <w:r w:rsidRPr="00481009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61A9BC57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UMLS:HCPCS:J9299</w:t>
            </w:r>
          </w:p>
        </w:tc>
        <w:tc>
          <w:tcPr>
            <w:tcW w:w="5636" w:type="dxa"/>
          </w:tcPr>
          <w:p w14:paraId="47AB44B9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Injection, nivolumab, 1 mg</w:t>
            </w:r>
          </w:p>
        </w:tc>
      </w:tr>
      <w:tr w:rsidR="00506742" w:rsidRPr="00481009" w14:paraId="709CD2F8" w14:textId="77777777" w:rsidTr="0063788F">
        <w:trPr>
          <w:trHeight w:val="57"/>
          <w:jc w:val="right"/>
        </w:trPr>
        <w:tc>
          <w:tcPr>
            <w:tcW w:w="1555" w:type="dxa"/>
          </w:tcPr>
          <w:p w14:paraId="736F7054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P</w:t>
            </w:r>
            <w:r w:rsidRPr="00481009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1535326A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UMLS:HCPCS:J9022</w:t>
            </w:r>
          </w:p>
        </w:tc>
        <w:tc>
          <w:tcPr>
            <w:tcW w:w="5636" w:type="dxa"/>
          </w:tcPr>
          <w:p w14:paraId="34DBD590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Injection, atezolizumab, 10 mg</w:t>
            </w:r>
          </w:p>
        </w:tc>
      </w:tr>
      <w:tr w:rsidR="00506742" w:rsidRPr="00481009" w14:paraId="08637040" w14:textId="77777777" w:rsidTr="0063788F">
        <w:trPr>
          <w:trHeight w:val="57"/>
          <w:jc w:val="right"/>
        </w:trPr>
        <w:tc>
          <w:tcPr>
            <w:tcW w:w="1555" w:type="dxa"/>
          </w:tcPr>
          <w:p w14:paraId="4B56763E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P</w:t>
            </w:r>
            <w:r w:rsidRPr="00481009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4F0315FE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UMLS:HCPCS:J9173</w:t>
            </w:r>
          </w:p>
        </w:tc>
        <w:tc>
          <w:tcPr>
            <w:tcW w:w="5636" w:type="dxa"/>
          </w:tcPr>
          <w:p w14:paraId="446F9993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Injection, durvalumab, 10 mg</w:t>
            </w:r>
          </w:p>
        </w:tc>
      </w:tr>
      <w:tr w:rsidR="00506742" w:rsidRPr="00481009" w14:paraId="22977BCC" w14:textId="77777777" w:rsidTr="0063788F">
        <w:trPr>
          <w:trHeight w:val="57"/>
          <w:jc w:val="right"/>
        </w:trPr>
        <w:tc>
          <w:tcPr>
            <w:tcW w:w="1555" w:type="dxa"/>
          </w:tcPr>
          <w:p w14:paraId="69D6048A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P</w:t>
            </w:r>
            <w:r w:rsidRPr="00481009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5279124D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UMLS:HCPCS:J9119</w:t>
            </w:r>
          </w:p>
        </w:tc>
        <w:tc>
          <w:tcPr>
            <w:tcW w:w="5636" w:type="dxa"/>
          </w:tcPr>
          <w:p w14:paraId="09BFEA98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Injection, cemiplimab-rwlc, 1 mg</w:t>
            </w:r>
          </w:p>
        </w:tc>
      </w:tr>
      <w:tr w:rsidR="00506742" w:rsidRPr="00481009" w14:paraId="20E2A198" w14:textId="77777777" w:rsidTr="0063788F">
        <w:trPr>
          <w:trHeight w:val="57"/>
          <w:jc w:val="right"/>
        </w:trPr>
        <w:tc>
          <w:tcPr>
            <w:tcW w:w="1555" w:type="dxa"/>
          </w:tcPr>
          <w:p w14:paraId="28750BE4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P</w:t>
            </w:r>
            <w:r w:rsidRPr="00481009">
              <w:rPr>
                <w:rFonts w:ascii="Arial" w:hAnsi="Arial" w:cs="Arial"/>
                <w:sz w:val="21"/>
                <w:szCs w:val="21"/>
              </w:rPr>
              <w:t>rocedure</w:t>
            </w:r>
          </w:p>
        </w:tc>
        <w:tc>
          <w:tcPr>
            <w:tcW w:w="2551" w:type="dxa"/>
          </w:tcPr>
          <w:p w14:paraId="2D55E7F2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UMLS:HCPCS:J9023</w:t>
            </w:r>
          </w:p>
        </w:tc>
        <w:tc>
          <w:tcPr>
            <w:tcW w:w="5636" w:type="dxa"/>
          </w:tcPr>
          <w:p w14:paraId="53AFF8A5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Injection, avelumab, 10 mg</w:t>
            </w:r>
          </w:p>
        </w:tc>
      </w:tr>
      <w:tr w:rsidR="00506742" w:rsidRPr="00481009" w14:paraId="440D9ACC" w14:textId="77777777" w:rsidTr="0063788F">
        <w:trPr>
          <w:trHeight w:val="57"/>
          <w:jc w:val="right"/>
        </w:trPr>
        <w:tc>
          <w:tcPr>
            <w:tcW w:w="1555" w:type="dxa"/>
          </w:tcPr>
          <w:p w14:paraId="315DFAEB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  <w:lang w:eastAsia="zh-TW"/>
              </w:rPr>
              <w:t>M</w:t>
            </w:r>
            <w:r w:rsidRPr="00481009">
              <w:rPr>
                <w:rFonts w:ascii="Arial" w:hAnsi="Arial" w:cs="Arial"/>
                <w:sz w:val="21"/>
                <w:szCs w:val="21"/>
              </w:rPr>
              <w:t>edication</w:t>
            </w:r>
          </w:p>
        </w:tc>
        <w:tc>
          <w:tcPr>
            <w:tcW w:w="2551" w:type="dxa"/>
          </w:tcPr>
          <w:p w14:paraId="7D6FD3C5" w14:textId="77777777" w:rsidR="00506742" w:rsidRPr="00481009" w:rsidRDefault="00506742" w:rsidP="0063788F">
            <w:pPr>
              <w:snapToGri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sz w:val="21"/>
                <w:szCs w:val="21"/>
              </w:rPr>
              <w:t>NLM:ATC:A10BJ</w:t>
            </w:r>
          </w:p>
        </w:tc>
        <w:tc>
          <w:tcPr>
            <w:tcW w:w="5636" w:type="dxa"/>
          </w:tcPr>
          <w:p w14:paraId="461C3AEE" w14:textId="77777777" w:rsidR="00506742" w:rsidRPr="00481009" w:rsidRDefault="00506742" w:rsidP="0063788F">
            <w:pPr>
              <w:snapToGrid w:val="0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481009">
              <w:rPr>
                <w:rFonts w:ascii="Arial" w:hAnsi="Arial" w:cs="Arial"/>
                <w:bCs/>
                <w:sz w:val="21"/>
                <w:szCs w:val="21"/>
              </w:rPr>
              <w:t>Glucagon-like peptide-1 (GLP-1) analogues</w:t>
            </w:r>
          </w:p>
        </w:tc>
      </w:tr>
    </w:tbl>
    <w:p w14:paraId="5ED5024C" w14:textId="77777777" w:rsidR="00506742" w:rsidRDefault="00506742" w:rsidP="00506742">
      <w:pPr>
        <w:snapToGrid w:val="0"/>
        <w:spacing w:afterLines="50" w:after="180"/>
        <w:rPr>
          <w:rFonts w:ascii="Arial" w:hAnsi="Arial" w:cs="Arial"/>
        </w:rPr>
        <w:sectPr w:rsidR="00506742" w:rsidSect="00DF5957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14:paraId="2D5CAC7E" w14:textId="77777777" w:rsidR="006665F9" w:rsidRPr="003D005E" w:rsidRDefault="004A711C" w:rsidP="006665F9">
      <w:pPr>
        <w:rPr>
          <w:rFonts w:ascii="Arial" w:hAnsi="Arial" w:cs="Arial"/>
          <w:color w:val="000000" w:themeColor="text1"/>
        </w:rPr>
      </w:pPr>
      <w:r w:rsidRPr="00F138C7">
        <w:rPr>
          <w:rFonts w:ascii="Arial" w:hAnsi="Arial" w:cs="Arial"/>
        </w:rPr>
        <w:lastRenderedPageBreak/>
        <w:t>Supplementary Table</w:t>
      </w:r>
      <w:r>
        <w:rPr>
          <w:rFonts w:ascii="Arial" w:hAnsi="Arial" w:cs="Arial"/>
        </w:rPr>
        <w:t xml:space="preserve"> 3. </w:t>
      </w:r>
      <w:r w:rsidR="006665F9" w:rsidRPr="003D005E">
        <w:rPr>
          <w:rFonts w:ascii="Arial" w:hAnsi="Arial" w:cs="Arial"/>
          <w:color w:val="000000" w:themeColor="text1"/>
        </w:rPr>
        <w:t>Demographic, diagnostic, laboratory, and medication codes used in the definition of covariates.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740"/>
        <w:gridCol w:w="1321"/>
        <w:gridCol w:w="6573"/>
      </w:tblGrid>
      <w:tr w:rsidR="006665F9" w:rsidRPr="002B4B4D" w14:paraId="160704EA" w14:textId="77777777" w:rsidTr="0063788F">
        <w:trPr>
          <w:trHeight w:val="20"/>
          <w:tblHeader/>
        </w:trPr>
        <w:tc>
          <w:tcPr>
            <w:tcW w:w="1740" w:type="dxa"/>
          </w:tcPr>
          <w:p w14:paraId="5752184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Category</w:t>
            </w:r>
          </w:p>
        </w:tc>
        <w:tc>
          <w:tcPr>
            <w:tcW w:w="1321" w:type="dxa"/>
            <w:noWrap/>
            <w:hideMark/>
          </w:tcPr>
          <w:p w14:paraId="037AC9C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Code</w:t>
            </w:r>
          </w:p>
        </w:tc>
        <w:tc>
          <w:tcPr>
            <w:tcW w:w="6573" w:type="dxa"/>
            <w:noWrap/>
            <w:vAlign w:val="center"/>
            <w:hideMark/>
          </w:tcPr>
          <w:p w14:paraId="189B39D9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Description</w:t>
            </w:r>
          </w:p>
        </w:tc>
      </w:tr>
      <w:tr w:rsidR="006665F9" w:rsidRPr="002B4B4D" w14:paraId="46BFD66D" w14:textId="77777777" w:rsidTr="0063788F">
        <w:trPr>
          <w:trHeight w:val="20"/>
        </w:trPr>
        <w:tc>
          <w:tcPr>
            <w:tcW w:w="1740" w:type="dxa"/>
          </w:tcPr>
          <w:p w14:paraId="265438A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</w:tcPr>
          <w:p w14:paraId="080D7E7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AI</w:t>
            </w:r>
          </w:p>
        </w:tc>
        <w:tc>
          <w:tcPr>
            <w:tcW w:w="6573" w:type="dxa"/>
            <w:noWrap/>
            <w:vAlign w:val="center"/>
          </w:tcPr>
          <w:p w14:paraId="08B9460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Age at index</w:t>
            </w:r>
          </w:p>
        </w:tc>
      </w:tr>
      <w:tr w:rsidR="006665F9" w:rsidRPr="002B4B4D" w14:paraId="2C666D6D" w14:textId="77777777" w:rsidTr="0063788F">
        <w:trPr>
          <w:trHeight w:val="20"/>
        </w:trPr>
        <w:tc>
          <w:tcPr>
            <w:tcW w:w="1740" w:type="dxa"/>
          </w:tcPr>
          <w:p w14:paraId="4891FEA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23E3D59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6573" w:type="dxa"/>
            <w:noWrap/>
            <w:vAlign w:val="center"/>
          </w:tcPr>
          <w:p w14:paraId="7686CCA9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Male</w:t>
            </w:r>
          </w:p>
        </w:tc>
      </w:tr>
      <w:tr w:rsidR="006665F9" w:rsidRPr="002B4B4D" w14:paraId="6E4393E8" w14:textId="77777777" w:rsidTr="0063788F">
        <w:trPr>
          <w:trHeight w:val="20"/>
        </w:trPr>
        <w:tc>
          <w:tcPr>
            <w:tcW w:w="1740" w:type="dxa"/>
          </w:tcPr>
          <w:p w14:paraId="7080B60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14D3222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F</w:t>
            </w:r>
          </w:p>
        </w:tc>
        <w:tc>
          <w:tcPr>
            <w:tcW w:w="6573" w:type="dxa"/>
            <w:noWrap/>
            <w:vAlign w:val="center"/>
          </w:tcPr>
          <w:p w14:paraId="02D2DBB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Female</w:t>
            </w:r>
          </w:p>
        </w:tc>
      </w:tr>
      <w:tr w:rsidR="006665F9" w:rsidRPr="002B4B4D" w14:paraId="17BBFFF2" w14:textId="77777777" w:rsidTr="0063788F">
        <w:trPr>
          <w:trHeight w:val="20"/>
        </w:trPr>
        <w:tc>
          <w:tcPr>
            <w:tcW w:w="1740" w:type="dxa"/>
          </w:tcPr>
          <w:p w14:paraId="318E0D5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31A390B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2106-3</w:t>
            </w:r>
          </w:p>
        </w:tc>
        <w:tc>
          <w:tcPr>
            <w:tcW w:w="6573" w:type="dxa"/>
            <w:noWrap/>
            <w:vAlign w:val="center"/>
          </w:tcPr>
          <w:p w14:paraId="6AF36D7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White</w:t>
            </w:r>
          </w:p>
        </w:tc>
      </w:tr>
      <w:tr w:rsidR="006665F9" w:rsidRPr="002B4B4D" w14:paraId="22963730" w14:textId="77777777" w:rsidTr="0063788F">
        <w:trPr>
          <w:trHeight w:val="20"/>
        </w:trPr>
        <w:tc>
          <w:tcPr>
            <w:tcW w:w="1740" w:type="dxa"/>
          </w:tcPr>
          <w:p w14:paraId="2256AEE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72815C9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2054-5</w:t>
            </w:r>
          </w:p>
        </w:tc>
        <w:tc>
          <w:tcPr>
            <w:tcW w:w="6573" w:type="dxa"/>
            <w:noWrap/>
            <w:vAlign w:val="center"/>
          </w:tcPr>
          <w:p w14:paraId="67C8EF6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Black or African American</w:t>
            </w:r>
          </w:p>
        </w:tc>
      </w:tr>
      <w:tr w:rsidR="006665F9" w:rsidRPr="002B4B4D" w14:paraId="781A7FC7" w14:textId="77777777" w:rsidTr="0063788F">
        <w:trPr>
          <w:trHeight w:val="20"/>
        </w:trPr>
        <w:tc>
          <w:tcPr>
            <w:tcW w:w="1740" w:type="dxa"/>
          </w:tcPr>
          <w:p w14:paraId="77CFF95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009C59D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2131-1</w:t>
            </w:r>
          </w:p>
        </w:tc>
        <w:tc>
          <w:tcPr>
            <w:tcW w:w="6573" w:type="dxa"/>
            <w:noWrap/>
            <w:vAlign w:val="center"/>
          </w:tcPr>
          <w:p w14:paraId="092F569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Other Race</w:t>
            </w:r>
          </w:p>
        </w:tc>
      </w:tr>
      <w:tr w:rsidR="006665F9" w:rsidRPr="002B4B4D" w14:paraId="745DE39E" w14:textId="77777777" w:rsidTr="0063788F">
        <w:trPr>
          <w:trHeight w:val="20"/>
        </w:trPr>
        <w:tc>
          <w:tcPr>
            <w:tcW w:w="1740" w:type="dxa"/>
          </w:tcPr>
          <w:p w14:paraId="2BA4EA3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70BA3E3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2135-2</w:t>
            </w:r>
          </w:p>
        </w:tc>
        <w:tc>
          <w:tcPr>
            <w:tcW w:w="6573" w:type="dxa"/>
            <w:noWrap/>
            <w:vAlign w:val="center"/>
          </w:tcPr>
          <w:p w14:paraId="33F2601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Hispanic or Latino</w:t>
            </w:r>
          </w:p>
        </w:tc>
      </w:tr>
      <w:tr w:rsidR="006665F9" w:rsidRPr="002B4B4D" w14:paraId="4E78F8D2" w14:textId="77777777" w:rsidTr="0063788F">
        <w:trPr>
          <w:trHeight w:val="20"/>
        </w:trPr>
        <w:tc>
          <w:tcPr>
            <w:tcW w:w="1740" w:type="dxa"/>
          </w:tcPr>
          <w:p w14:paraId="50F20F3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1321" w:type="dxa"/>
            <w:noWrap/>
            <w:vAlign w:val="center"/>
          </w:tcPr>
          <w:p w14:paraId="713FBE79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2186-5</w:t>
            </w:r>
          </w:p>
        </w:tc>
        <w:tc>
          <w:tcPr>
            <w:tcW w:w="6573" w:type="dxa"/>
            <w:noWrap/>
            <w:vAlign w:val="center"/>
          </w:tcPr>
          <w:p w14:paraId="357B18F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Not Hispanic or Latino</w:t>
            </w:r>
          </w:p>
        </w:tc>
      </w:tr>
      <w:tr w:rsidR="006665F9" w:rsidRPr="002B4B4D" w14:paraId="1DA530F5" w14:textId="77777777" w:rsidTr="0063788F">
        <w:trPr>
          <w:trHeight w:val="20"/>
        </w:trPr>
        <w:tc>
          <w:tcPr>
            <w:tcW w:w="1740" w:type="dxa"/>
            <w:vAlign w:val="center"/>
          </w:tcPr>
          <w:p w14:paraId="11EE624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13C733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Z55-Z65</w:t>
            </w:r>
          </w:p>
        </w:tc>
        <w:tc>
          <w:tcPr>
            <w:tcW w:w="6573" w:type="dxa"/>
            <w:noWrap/>
            <w:vAlign w:val="center"/>
          </w:tcPr>
          <w:p w14:paraId="071DCF4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Persons with potential health hazards related to socioeconomic and psychosocial circumstances</w:t>
            </w:r>
          </w:p>
        </w:tc>
      </w:tr>
      <w:tr w:rsidR="006665F9" w:rsidRPr="002B4B4D" w14:paraId="2F94AB40" w14:textId="77777777" w:rsidTr="0063788F">
        <w:trPr>
          <w:trHeight w:val="20"/>
        </w:trPr>
        <w:tc>
          <w:tcPr>
            <w:tcW w:w="1740" w:type="dxa"/>
          </w:tcPr>
          <w:p w14:paraId="6553F06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603A3C8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C34</w:t>
            </w:r>
          </w:p>
        </w:tc>
        <w:tc>
          <w:tcPr>
            <w:tcW w:w="6573" w:type="dxa"/>
            <w:noWrap/>
            <w:vAlign w:val="center"/>
          </w:tcPr>
          <w:p w14:paraId="3530E38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Malignant neoplasm of bronchus and lung</w:t>
            </w:r>
          </w:p>
        </w:tc>
      </w:tr>
      <w:tr w:rsidR="006665F9" w:rsidRPr="002B4B4D" w14:paraId="225C23E8" w14:textId="77777777" w:rsidTr="0063788F">
        <w:trPr>
          <w:trHeight w:val="20"/>
        </w:trPr>
        <w:tc>
          <w:tcPr>
            <w:tcW w:w="1740" w:type="dxa"/>
            <w:vAlign w:val="center"/>
          </w:tcPr>
          <w:p w14:paraId="757A727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7587271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C43</w:t>
            </w:r>
          </w:p>
        </w:tc>
        <w:tc>
          <w:tcPr>
            <w:tcW w:w="6573" w:type="dxa"/>
            <w:noWrap/>
            <w:vAlign w:val="center"/>
          </w:tcPr>
          <w:p w14:paraId="5CF4473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Malignant melanoma of skin</w:t>
            </w:r>
          </w:p>
        </w:tc>
      </w:tr>
      <w:tr w:rsidR="006665F9" w:rsidRPr="002B4B4D" w14:paraId="07CC61F2" w14:textId="77777777" w:rsidTr="0063788F">
        <w:trPr>
          <w:trHeight w:val="20"/>
        </w:trPr>
        <w:tc>
          <w:tcPr>
            <w:tcW w:w="1740" w:type="dxa"/>
            <w:vAlign w:val="center"/>
          </w:tcPr>
          <w:p w14:paraId="43DA2D7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240FBC59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C50</w:t>
            </w:r>
          </w:p>
        </w:tc>
        <w:tc>
          <w:tcPr>
            <w:tcW w:w="6573" w:type="dxa"/>
            <w:noWrap/>
            <w:vAlign w:val="center"/>
          </w:tcPr>
          <w:p w14:paraId="0AB9750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Malignant neoplasm of breast</w:t>
            </w:r>
          </w:p>
        </w:tc>
      </w:tr>
      <w:tr w:rsidR="006665F9" w:rsidRPr="002B4B4D" w14:paraId="363965A1" w14:textId="77777777" w:rsidTr="0063788F">
        <w:trPr>
          <w:trHeight w:val="20"/>
        </w:trPr>
        <w:tc>
          <w:tcPr>
            <w:tcW w:w="1740" w:type="dxa"/>
          </w:tcPr>
          <w:p w14:paraId="46D63BC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23C1453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C64</w:t>
            </w:r>
          </w:p>
        </w:tc>
        <w:tc>
          <w:tcPr>
            <w:tcW w:w="6573" w:type="dxa"/>
            <w:noWrap/>
            <w:vAlign w:val="center"/>
          </w:tcPr>
          <w:p w14:paraId="4888769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Malignant neoplasm of kidney, except renal pelvis</w:t>
            </w:r>
          </w:p>
        </w:tc>
      </w:tr>
      <w:tr w:rsidR="006665F9" w:rsidRPr="002B4B4D" w14:paraId="00BD3500" w14:textId="77777777" w:rsidTr="0063788F">
        <w:trPr>
          <w:trHeight w:val="20"/>
        </w:trPr>
        <w:tc>
          <w:tcPr>
            <w:tcW w:w="1740" w:type="dxa"/>
          </w:tcPr>
          <w:p w14:paraId="52FC99D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3FA7C55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C67</w:t>
            </w:r>
          </w:p>
        </w:tc>
        <w:tc>
          <w:tcPr>
            <w:tcW w:w="6573" w:type="dxa"/>
            <w:noWrap/>
            <w:vAlign w:val="center"/>
          </w:tcPr>
          <w:p w14:paraId="2249B54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Malignant neoplasm of bladder</w:t>
            </w:r>
          </w:p>
        </w:tc>
      </w:tr>
      <w:tr w:rsidR="006665F9" w:rsidRPr="002B4B4D" w14:paraId="6FFC906D" w14:textId="77777777" w:rsidTr="0063788F">
        <w:trPr>
          <w:trHeight w:val="20"/>
        </w:trPr>
        <w:tc>
          <w:tcPr>
            <w:tcW w:w="1740" w:type="dxa"/>
          </w:tcPr>
          <w:p w14:paraId="75A6F54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211D5C9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C77</w:t>
            </w:r>
          </w:p>
        </w:tc>
        <w:tc>
          <w:tcPr>
            <w:tcW w:w="6573" w:type="dxa"/>
            <w:noWrap/>
            <w:vAlign w:val="center"/>
          </w:tcPr>
          <w:p w14:paraId="7E752AE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Secondary and unspecified malignant neoplasm of lymph nodes</w:t>
            </w:r>
          </w:p>
        </w:tc>
      </w:tr>
      <w:tr w:rsidR="006665F9" w:rsidRPr="002B4B4D" w14:paraId="3A24B625" w14:textId="77777777" w:rsidTr="0063788F">
        <w:trPr>
          <w:trHeight w:val="20"/>
        </w:trPr>
        <w:tc>
          <w:tcPr>
            <w:tcW w:w="1740" w:type="dxa"/>
          </w:tcPr>
          <w:p w14:paraId="473D86A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1E62B10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C78</w:t>
            </w:r>
          </w:p>
        </w:tc>
        <w:tc>
          <w:tcPr>
            <w:tcW w:w="6573" w:type="dxa"/>
            <w:noWrap/>
            <w:vAlign w:val="center"/>
          </w:tcPr>
          <w:p w14:paraId="4B2DE12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Secondary malignant neoplasm of respiratory and digestive organs</w:t>
            </w:r>
          </w:p>
        </w:tc>
      </w:tr>
      <w:tr w:rsidR="006665F9" w:rsidRPr="002B4B4D" w14:paraId="7544CA5D" w14:textId="77777777" w:rsidTr="0063788F">
        <w:trPr>
          <w:trHeight w:val="20"/>
        </w:trPr>
        <w:tc>
          <w:tcPr>
            <w:tcW w:w="1740" w:type="dxa"/>
          </w:tcPr>
          <w:p w14:paraId="2D6C7CC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35FB1E1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C79</w:t>
            </w:r>
          </w:p>
        </w:tc>
        <w:tc>
          <w:tcPr>
            <w:tcW w:w="6573" w:type="dxa"/>
            <w:noWrap/>
            <w:vAlign w:val="center"/>
          </w:tcPr>
          <w:p w14:paraId="7DBDCBE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Secondary malignant neoplasm of other and unspecified sites</w:t>
            </w:r>
          </w:p>
        </w:tc>
      </w:tr>
      <w:tr w:rsidR="006665F9" w:rsidRPr="002B4B4D" w14:paraId="2B9BFFF8" w14:textId="77777777" w:rsidTr="0063788F">
        <w:trPr>
          <w:trHeight w:val="20"/>
        </w:trPr>
        <w:tc>
          <w:tcPr>
            <w:tcW w:w="1740" w:type="dxa"/>
          </w:tcPr>
          <w:p w14:paraId="6B14437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36C81C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Z72.0</w:t>
            </w:r>
          </w:p>
        </w:tc>
        <w:tc>
          <w:tcPr>
            <w:tcW w:w="6573" w:type="dxa"/>
            <w:noWrap/>
            <w:vAlign w:val="center"/>
          </w:tcPr>
          <w:p w14:paraId="74BA56A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Tobacco use</w:t>
            </w:r>
          </w:p>
        </w:tc>
      </w:tr>
      <w:tr w:rsidR="006665F9" w:rsidRPr="002B4B4D" w14:paraId="4D01F223" w14:textId="77777777" w:rsidTr="0063788F">
        <w:trPr>
          <w:trHeight w:val="20"/>
        </w:trPr>
        <w:tc>
          <w:tcPr>
            <w:tcW w:w="1740" w:type="dxa"/>
          </w:tcPr>
          <w:p w14:paraId="1AB78DC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EC61BF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F17</w:t>
            </w:r>
          </w:p>
        </w:tc>
        <w:tc>
          <w:tcPr>
            <w:tcW w:w="6573" w:type="dxa"/>
            <w:noWrap/>
            <w:vAlign w:val="center"/>
          </w:tcPr>
          <w:p w14:paraId="612B164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Nicotine dependence</w:t>
            </w:r>
          </w:p>
        </w:tc>
      </w:tr>
      <w:tr w:rsidR="006665F9" w:rsidRPr="002B4B4D" w14:paraId="7171A9D9" w14:textId="77777777" w:rsidTr="0063788F">
        <w:trPr>
          <w:trHeight w:val="20"/>
        </w:trPr>
        <w:tc>
          <w:tcPr>
            <w:tcW w:w="1740" w:type="dxa"/>
          </w:tcPr>
          <w:p w14:paraId="5EB314D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173333B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F10</w:t>
            </w:r>
          </w:p>
        </w:tc>
        <w:tc>
          <w:tcPr>
            <w:tcW w:w="6573" w:type="dxa"/>
            <w:noWrap/>
            <w:vAlign w:val="center"/>
          </w:tcPr>
          <w:p w14:paraId="225351B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Alcohol related disorders</w:t>
            </w:r>
          </w:p>
        </w:tc>
      </w:tr>
      <w:tr w:rsidR="006665F9" w:rsidRPr="002B4B4D" w14:paraId="5AA0702E" w14:textId="77777777" w:rsidTr="0063788F">
        <w:trPr>
          <w:trHeight w:val="20"/>
        </w:trPr>
        <w:tc>
          <w:tcPr>
            <w:tcW w:w="1740" w:type="dxa"/>
          </w:tcPr>
          <w:p w14:paraId="308DCCA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4AF15FB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I20-I25</w:t>
            </w:r>
          </w:p>
        </w:tc>
        <w:tc>
          <w:tcPr>
            <w:tcW w:w="6573" w:type="dxa"/>
            <w:noWrap/>
            <w:vAlign w:val="center"/>
          </w:tcPr>
          <w:p w14:paraId="28F1ADA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Ischemic heart diseases</w:t>
            </w:r>
          </w:p>
        </w:tc>
      </w:tr>
      <w:tr w:rsidR="006665F9" w:rsidRPr="002B4B4D" w14:paraId="21611D72" w14:textId="77777777" w:rsidTr="0063788F">
        <w:trPr>
          <w:trHeight w:val="20"/>
        </w:trPr>
        <w:tc>
          <w:tcPr>
            <w:tcW w:w="1740" w:type="dxa"/>
          </w:tcPr>
          <w:p w14:paraId="57FC869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DC49F6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N18</w:t>
            </w:r>
          </w:p>
        </w:tc>
        <w:tc>
          <w:tcPr>
            <w:tcW w:w="6573" w:type="dxa"/>
            <w:noWrap/>
            <w:vAlign w:val="center"/>
          </w:tcPr>
          <w:p w14:paraId="4B23397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Chronic kidney disease (CKD)</w:t>
            </w:r>
          </w:p>
        </w:tc>
      </w:tr>
      <w:tr w:rsidR="006665F9" w:rsidRPr="002B4B4D" w14:paraId="71EA9649" w14:textId="77777777" w:rsidTr="0063788F">
        <w:trPr>
          <w:trHeight w:val="20"/>
        </w:trPr>
        <w:tc>
          <w:tcPr>
            <w:tcW w:w="1740" w:type="dxa"/>
          </w:tcPr>
          <w:p w14:paraId="25B3584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6C4DBE8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J44</w:t>
            </w:r>
          </w:p>
        </w:tc>
        <w:tc>
          <w:tcPr>
            <w:tcW w:w="6573" w:type="dxa"/>
            <w:noWrap/>
            <w:vAlign w:val="center"/>
          </w:tcPr>
          <w:p w14:paraId="7D92559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Other chronic obstructive pulmonary disease</w:t>
            </w:r>
          </w:p>
        </w:tc>
      </w:tr>
      <w:tr w:rsidR="006665F9" w:rsidRPr="002B4B4D" w14:paraId="1BB265AB" w14:textId="77777777" w:rsidTr="0063788F">
        <w:trPr>
          <w:trHeight w:val="20"/>
        </w:trPr>
        <w:tc>
          <w:tcPr>
            <w:tcW w:w="1740" w:type="dxa"/>
          </w:tcPr>
          <w:p w14:paraId="4F94684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B714C1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J45</w:t>
            </w:r>
          </w:p>
        </w:tc>
        <w:tc>
          <w:tcPr>
            <w:tcW w:w="6573" w:type="dxa"/>
            <w:noWrap/>
            <w:vAlign w:val="center"/>
          </w:tcPr>
          <w:p w14:paraId="14805E6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Asthma</w:t>
            </w:r>
          </w:p>
        </w:tc>
      </w:tr>
      <w:tr w:rsidR="006665F9" w:rsidRPr="002B4B4D" w14:paraId="70990259" w14:textId="77777777" w:rsidTr="0063788F">
        <w:trPr>
          <w:trHeight w:val="20"/>
        </w:trPr>
        <w:tc>
          <w:tcPr>
            <w:tcW w:w="1740" w:type="dxa"/>
          </w:tcPr>
          <w:p w14:paraId="25F3193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7A1AAFB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J84</w:t>
            </w:r>
          </w:p>
        </w:tc>
        <w:tc>
          <w:tcPr>
            <w:tcW w:w="6573" w:type="dxa"/>
            <w:noWrap/>
            <w:vAlign w:val="center"/>
          </w:tcPr>
          <w:p w14:paraId="6CD2DDE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Other interstitial pulmonary diseases</w:t>
            </w:r>
          </w:p>
        </w:tc>
      </w:tr>
      <w:tr w:rsidR="006665F9" w:rsidRPr="002B4B4D" w14:paraId="563440E7" w14:textId="77777777" w:rsidTr="0063788F">
        <w:trPr>
          <w:trHeight w:val="20"/>
        </w:trPr>
        <w:tc>
          <w:tcPr>
            <w:tcW w:w="1740" w:type="dxa"/>
          </w:tcPr>
          <w:p w14:paraId="38FBF92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359251D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I60-I69</w:t>
            </w:r>
          </w:p>
        </w:tc>
        <w:tc>
          <w:tcPr>
            <w:tcW w:w="6573" w:type="dxa"/>
            <w:noWrap/>
            <w:vAlign w:val="center"/>
          </w:tcPr>
          <w:p w14:paraId="495B7F6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Cerebrovascular diseases</w:t>
            </w:r>
          </w:p>
        </w:tc>
      </w:tr>
      <w:tr w:rsidR="006665F9" w:rsidRPr="002B4B4D" w14:paraId="0531CFCB" w14:textId="77777777" w:rsidTr="0063788F">
        <w:trPr>
          <w:trHeight w:val="20"/>
        </w:trPr>
        <w:tc>
          <w:tcPr>
            <w:tcW w:w="1740" w:type="dxa"/>
          </w:tcPr>
          <w:p w14:paraId="2DAAC29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AF92C6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I70-I79</w:t>
            </w:r>
          </w:p>
        </w:tc>
        <w:tc>
          <w:tcPr>
            <w:tcW w:w="6573" w:type="dxa"/>
            <w:noWrap/>
            <w:vAlign w:val="center"/>
          </w:tcPr>
          <w:p w14:paraId="1429085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Diseases of arteries, arterioles and capillaries</w:t>
            </w:r>
          </w:p>
        </w:tc>
      </w:tr>
      <w:tr w:rsidR="006665F9" w:rsidRPr="002B4B4D" w14:paraId="3E87102C" w14:textId="77777777" w:rsidTr="0063788F">
        <w:trPr>
          <w:trHeight w:val="20"/>
        </w:trPr>
        <w:tc>
          <w:tcPr>
            <w:tcW w:w="1740" w:type="dxa"/>
          </w:tcPr>
          <w:p w14:paraId="62FD5E9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2D22710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U07.1</w:t>
            </w:r>
          </w:p>
        </w:tc>
        <w:tc>
          <w:tcPr>
            <w:tcW w:w="6573" w:type="dxa"/>
            <w:noWrap/>
            <w:vAlign w:val="center"/>
          </w:tcPr>
          <w:p w14:paraId="1D57709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COVID-19</w:t>
            </w:r>
          </w:p>
        </w:tc>
      </w:tr>
      <w:tr w:rsidR="006665F9" w:rsidRPr="002B4B4D" w14:paraId="43B1F765" w14:textId="77777777" w:rsidTr="0063788F">
        <w:trPr>
          <w:trHeight w:val="20"/>
        </w:trPr>
        <w:tc>
          <w:tcPr>
            <w:tcW w:w="1740" w:type="dxa"/>
          </w:tcPr>
          <w:p w14:paraId="5E842E1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0FEA0F5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K70-K77</w:t>
            </w:r>
          </w:p>
        </w:tc>
        <w:tc>
          <w:tcPr>
            <w:tcW w:w="6573" w:type="dxa"/>
            <w:noWrap/>
            <w:vAlign w:val="center"/>
          </w:tcPr>
          <w:p w14:paraId="215B394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Diseases of liver</w:t>
            </w:r>
          </w:p>
        </w:tc>
      </w:tr>
      <w:tr w:rsidR="006665F9" w:rsidRPr="002B4B4D" w14:paraId="027F09F1" w14:textId="77777777" w:rsidTr="0063788F">
        <w:trPr>
          <w:trHeight w:val="20"/>
        </w:trPr>
        <w:tc>
          <w:tcPr>
            <w:tcW w:w="1740" w:type="dxa"/>
          </w:tcPr>
          <w:p w14:paraId="1D6CAEE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6D7F1CF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I50</w:t>
            </w:r>
          </w:p>
        </w:tc>
        <w:tc>
          <w:tcPr>
            <w:tcW w:w="6573" w:type="dxa"/>
            <w:noWrap/>
            <w:vAlign w:val="center"/>
          </w:tcPr>
          <w:p w14:paraId="40867D3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Heart failure</w:t>
            </w:r>
          </w:p>
        </w:tc>
      </w:tr>
      <w:tr w:rsidR="006665F9" w:rsidRPr="002B4B4D" w14:paraId="27E5FDB4" w14:textId="77777777" w:rsidTr="0063788F">
        <w:trPr>
          <w:trHeight w:val="20"/>
        </w:trPr>
        <w:tc>
          <w:tcPr>
            <w:tcW w:w="1740" w:type="dxa"/>
          </w:tcPr>
          <w:p w14:paraId="5EAD1D4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3249AFA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E00-E07</w:t>
            </w:r>
          </w:p>
        </w:tc>
        <w:tc>
          <w:tcPr>
            <w:tcW w:w="6573" w:type="dxa"/>
            <w:noWrap/>
            <w:vAlign w:val="center"/>
          </w:tcPr>
          <w:p w14:paraId="4FE539C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Disorders of thyroid gland</w:t>
            </w:r>
          </w:p>
        </w:tc>
      </w:tr>
      <w:tr w:rsidR="006665F9" w:rsidRPr="002B4B4D" w14:paraId="6E01E6CC" w14:textId="77777777" w:rsidTr="0063788F">
        <w:trPr>
          <w:trHeight w:val="20"/>
        </w:trPr>
        <w:tc>
          <w:tcPr>
            <w:tcW w:w="1740" w:type="dxa"/>
          </w:tcPr>
          <w:p w14:paraId="3D42B2A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1321" w:type="dxa"/>
            <w:noWrap/>
            <w:vAlign w:val="center"/>
          </w:tcPr>
          <w:p w14:paraId="42CC05A9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D80-D89</w:t>
            </w:r>
          </w:p>
        </w:tc>
        <w:tc>
          <w:tcPr>
            <w:tcW w:w="6573" w:type="dxa"/>
            <w:noWrap/>
            <w:vAlign w:val="center"/>
          </w:tcPr>
          <w:p w14:paraId="2801F43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Certain disorders involving the immune mechanism</w:t>
            </w:r>
          </w:p>
        </w:tc>
      </w:tr>
      <w:tr w:rsidR="006665F9" w:rsidRPr="002B4B4D" w14:paraId="6F6FC6FA" w14:textId="77777777" w:rsidTr="0063788F">
        <w:trPr>
          <w:trHeight w:val="20"/>
        </w:trPr>
        <w:tc>
          <w:tcPr>
            <w:tcW w:w="1740" w:type="dxa"/>
          </w:tcPr>
          <w:p w14:paraId="5A0008A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4E5817A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6809</w:t>
            </w:r>
          </w:p>
        </w:tc>
        <w:tc>
          <w:tcPr>
            <w:tcW w:w="6573" w:type="dxa"/>
            <w:noWrap/>
            <w:vAlign w:val="center"/>
          </w:tcPr>
          <w:p w14:paraId="2491261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metformin</w:t>
            </w:r>
          </w:p>
        </w:tc>
      </w:tr>
      <w:tr w:rsidR="006665F9" w:rsidRPr="002B4B4D" w14:paraId="11A6D06D" w14:textId="77777777" w:rsidTr="0063788F">
        <w:trPr>
          <w:trHeight w:val="20"/>
        </w:trPr>
        <w:tc>
          <w:tcPr>
            <w:tcW w:w="1740" w:type="dxa"/>
          </w:tcPr>
          <w:p w14:paraId="2E31579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35FAE00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A10BH</w:t>
            </w:r>
          </w:p>
        </w:tc>
        <w:tc>
          <w:tcPr>
            <w:tcW w:w="6573" w:type="dxa"/>
            <w:noWrap/>
            <w:vAlign w:val="center"/>
          </w:tcPr>
          <w:p w14:paraId="7470422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Dipeptidyl peptidase 4 (DPP-4) inhibitors</w:t>
            </w:r>
          </w:p>
        </w:tc>
      </w:tr>
      <w:tr w:rsidR="006665F9" w:rsidRPr="002B4B4D" w14:paraId="6280B7F0" w14:textId="77777777" w:rsidTr="0063788F">
        <w:trPr>
          <w:trHeight w:val="20"/>
        </w:trPr>
        <w:tc>
          <w:tcPr>
            <w:tcW w:w="1740" w:type="dxa"/>
          </w:tcPr>
          <w:p w14:paraId="47969B9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77DCFB2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BL110</w:t>
            </w:r>
          </w:p>
        </w:tc>
        <w:tc>
          <w:tcPr>
            <w:tcW w:w="6573" w:type="dxa"/>
            <w:noWrap/>
            <w:vAlign w:val="center"/>
          </w:tcPr>
          <w:p w14:paraId="739CD41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ANTICOAGULANTS</w:t>
            </w:r>
          </w:p>
        </w:tc>
      </w:tr>
      <w:tr w:rsidR="006665F9" w:rsidRPr="002B4B4D" w14:paraId="4909B7EC" w14:textId="77777777" w:rsidTr="0063788F">
        <w:trPr>
          <w:trHeight w:val="20"/>
        </w:trPr>
        <w:tc>
          <w:tcPr>
            <w:tcW w:w="1740" w:type="dxa"/>
          </w:tcPr>
          <w:p w14:paraId="7F1D66B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25F9CC2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C09AA</w:t>
            </w:r>
          </w:p>
        </w:tc>
        <w:tc>
          <w:tcPr>
            <w:tcW w:w="6573" w:type="dxa"/>
            <w:noWrap/>
            <w:vAlign w:val="center"/>
          </w:tcPr>
          <w:p w14:paraId="7B1AAA7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ACE inhibitors, plain</w:t>
            </w:r>
          </w:p>
        </w:tc>
      </w:tr>
      <w:tr w:rsidR="006665F9" w:rsidRPr="002B4B4D" w14:paraId="561A0B9B" w14:textId="77777777" w:rsidTr="0063788F">
        <w:trPr>
          <w:trHeight w:val="20"/>
        </w:trPr>
        <w:tc>
          <w:tcPr>
            <w:tcW w:w="1740" w:type="dxa"/>
          </w:tcPr>
          <w:p w14:paraId="14E1B0C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3147862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C10AA</w:t>
            </w:r>
          </w:p>
        </w:tc>
        <w:tc>
          <w:tcPr>
            <w:tcW w:w="6573" w:type="dxa"/>
            <w:noWrap/>
            <w:vAlign w:val="center"/>
          </w:tcPr>
          <w:p w14:paraId="1FF35BE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HMG CoA reductase inhibitors</w:t>
            </w:r>
          </w:p>
        </w:tc>
      </w:tr>
      <w:tr w:rsidR="006665F9" w:rsidRPr="002B4B4D" w14:paraId="0196FA50" w14:textId="77777777" w:rsidTr="0063788F">
        <w:trPr>
          <w:trHeight w:val="20"/>
        </w:trPr>
        <w:tc>
          <w:tcPr>
            <w:tcW w:w="1740" w:type="dxa"/>
          </w:tcPr>
          <w:p w14:paraId="403C0CD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5AC5F55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A10BK</w:t>
            </w:r>
          </w:p>
        </w:tc>
        <w:tc>
          <w:tcPr>
            <w:tcW w:w="6573" w:type="dxa"/>
            <w:noWrap/>
            <w:vAlign w:val="center"/>
          </w:tcPr>
          <w:p w14:paraId="7761E4E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Sodium-glucose co-transporter 2 (SGLT2) inhibitors</w:t>
            </w:r>
          </w:p>
        </w:tc>
      </w:tr>
      <w:tr w:rsidR="006665F9" w:rsidRPr="002B4B4D" w14:paraId="325AF82B" w14:textId="77777777" w:rsidTr="0063788F">
        <w:trPr>
          <w:trHeight w:val="20"/>
        </w:trPr>
        <w:tc>
          <w:tcPr>
            <w:tcW w:w="1740" w:type="dxa"/>
          </w:tcPr>
          <w:p w14:paraId="180D8FB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5B4FA30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L04</w:t>
            </w:r>
          </w:p>
        </w:tc>
        <w:tc>
          <w:tcPr>
            <w:tcW w:w="6573" w:type="dxa"/>
            <w:noWrap/>
            <w:vAlign w:val="center"/>
          </w:tcPr>
          <w:p w14:paraId="192EC57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IMMUNOSUPPRESSANTS</w:t>
            </w:r>
          </w:p>
        </w:tc>
      </w:tr>
      <w:tr w:rsidR="006665F9" w:rsidRPr="002B4B4D" w14:paraId="64BCE503" w14:textId="77777777" w:rsidTr="0063788F">
        <w:trPr>
          <w:trHeight w:val="20"/>
        </w:trPr>
        <w:tc>
          <w:tcPr>
            <w:tcW w:w="1740" w:type="dxa"/>
          </w:tcPr>
          <w:p w14:paraId="66EF667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093A725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H02AB</w:t>
            </w:r>
          </w:p>
        </w:tc>
        <w:tc>
          <w:tcPr>
            <w:tcW w:w="6573" w:type="dxa"/>
            <w:noWrap/>
            <w:vAlign w:val="center"/>
          </w:tcPr>
          <w:p w14:paraId="22424E2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Glucocorticoids</w:t>
            </w:r>
          </w:p>
        </w:tc>
      </w:tr>
      <w:tr w:rsidR="006665F9" w:rsidRPr="002B4B4D" w14:paraId="06B7C503" w14:textId="77777777" w:rsidTr="0063788F">
        <w:trPr>
          <w:trHeight w:val="20"/>
        </w:trPr>
        <w:tc>
          <w:tcPr>
            <w:tcW w:w="1740" w:type="dxa"/>
          </w:tcPr>
          <w:p w14:paraId="3DAAA2C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5634258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L01</w:t>
            </w:r>
          </w:p>
        </w:tc>
        <w:tc>
          <w:tcPr>
            <w:tcW w:w="6573" w:type="dxa"/>
            <w:noWrap/>
            <w:vAlign w:val="center"/>
          </w:tcPr>
          <w:p w14:paraId="298FA4F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ANTINEOPLASTIC AGENTS</w:t>
            </w:r>
          </w:p>
        </w:tc>
      </w:tr>
      <w:tr w:rsidR="006665F9" w:rsidRPr="002B4B4D" w14:paraId="5CE94A18" w14:textId="77777777" w:rsidTr="0063788F">
        <w:trPr>
          <w:trHeight w:val="20"/>
        </w:trPr>
        <w:tc>
          <w:tcPr>
            <w:tcW w:w="1740" w:type="dxa"/>
          </w:tcPr>
          <w:p w14:paraId="530DC98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52F9E84F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HS501</w:t>
            </w:r>
          </w:p>
        </w:tc>
        <w:tc>
          <w:tcPr>
            <w:tcW w:w="6573" w:type="dxa"/>
            <w:noWrap/>
            <w:vAlign w:val="center"/>
          </w:tcPr>
          <w:p w14:paraId="5852007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INSULIN</w:t>
            </w:r>
          </w:p>
        </w:tc>
      </w:tr>
      <w:tr w:rsidR="006665F9" w:rsidRPr="002B4B4D" w14:paraId="45E818D8" w14:textId="77777777" w:rsidTr="0063788F">
        <w:trPr>
          <w:trHeight w:val="20"/>
        </w:trPr>
        <w:tc>
          <w:tcPr>
            <w:tcW w:w="1740" w:type="dxa"/>
          </w:tcPr>
          <w:p w14:paraId="7CCC6BA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Medication</w:t>
            </w:r>
          </w:p>
        </w:tc>
        <w:tc>
          <w:tcPr>
            <w:tcW w:w="1321" w:type="dxa"/>
            <w:noWrap/>
            <w:vAlign w:val="center"/>
          </w:tcPr>
          <w:p w14:paraId="494A1BC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J01</w:t>
            </w:r>
          </w:p>
        </w:tc>
        <w:tc>
          <w:tcPr>
            <w:tcW w:w="6573" w:type="dxa"/>
            <w:noWrap/>
            <w:vAlign w:val="center"/>
          </w:tcPr>
          <w:p w14:paraId="3B18EA7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ANTIBACTERIALS FOR SYSTEMIC USE</w:t>
            </w:r>
          </w:p>
        </w:tc>
      </w:tr>
      <w:tr w:rsidR="006665F9" w:rsidRPr="002B4B4D" w14:paraId="22274A74" w14:textId="77777777" w:rsidTr="0063788F">
        <w:trPr>
          <w:trHeight w:val="20"/>
        </w:trPr>
        <w:tc>
          <w:tcPr>
            <w:tcW w:w="1740" w:type="dxa"/>
          </w:tcPr>
          <w:p w14:paraId="740DFE1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lastRenderedPageBreak/>
              <w:t>Medication</w:t>
            </w:r>
          </w:p>
        </w:tc>
        <w:tc>
          <w:tcPr>
            <w:tcW w:w="1321" w:type="dxa"/>
            <w:noWrap/>
            <w:vAlign w:val="center"/>
          </w:tcPr>
          <w:p w14:paraId="57D9C09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C09C</w:t>
            </w:r>
          </w:p>
        </w:tc>
        <w:tc>
          <w:tcPr>
            <w:tcW w:w="6573" w:type="dxa"/>
            <w:noWrap/>
            <w:vAlign w:val="center"/>
          </w:tcPr>
          <w:p w14:paraId="57BDA9C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ANGIOTENSIN II RECEPTOR BLOCKERS (ARBs), PLAIN</w:t>
            </w:r>
          </w:p>
        </w:tc>
      </w:tr>
      <w:tr w:rsidR="006665F9" w:rsidRPr="002B4B4D" w14:paraId="6E018ECF" w14:textId="77777777" w:rsidTr="0063788F">
        <w:trPr>
          <w:trHeight w:val="20"/>
        </w:trPr>
        <w:tc>
          <w:tcPr>
            <w:tcW w:w="1740" w:type="dxa"/>
          </w:tcPr>
          <w:p w14:paraId="5860141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78EF88E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9083</w:t>
            </w:r>
          </w:p>
        </w:tc>
        <w:tc>
          <w:tcPr>
            <w:tcW w:w="6573" w:type="dxa"/>
            <w:noWrap/>
            <w:vAlign w:val="center"/>
          </w:tcPr>
          <w:p w14:paraId="1864CC6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BMI</w:t>
            </w:r>
          </w:p>
        </w:tc>
      </w:tr>
      <w:tr w:rsidR="006665F9" w:rsidRPr="002B4B4D" w14:paraId="461EC584" w14:textId="77777777" w:rsidTr="0063788F">
        <w:trPr>
          <w:trHeight w:val="20"/>
        </w:trPr>
        <w:tc>
          <w:tcPr>
            <w:tcW w:w="1740" w:type="dxa"/>
          </w:tcPr>
          <w:p w14:paraId="4CD098C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7981F49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9037</w:t>
            </w:r>
          </w:p>
        </w:tc>
        <w:tc>
          <w:tcPr>
            <w:tcW w:w="6573" w:type="dxa"/>
            <w:noWrap/>
            <w:vAlign w:val="center"/>
          </w:tcPr>
          <w:p w14:paraId="0992219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Hemoglobin A1c/Hemoglobin.total in Blood</w:t>
            </w:r>
          </w:p>
        </w:tc>
      </w:tr>
      <w:tr w:rsidR="006665F9" w:rsidRPr="002B4B4D" w14:paraId="765D118B" w14:textId="77777777" w:rsidTr="0063788F">
        <w:trPr>
          <w:trHeight w:val="20"/>
        </w:trPr>
        <w:tc>
          <w:tcPr>
            <w:tcW w:w="1740" w:type="dxa"/>
          </w:tcPr>
          <w:p w14:paraId="258C2CE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0DA251A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9020</w:t>
            </w:r>
          </w:p>
        </w:tc>
        <w:tc>
          <w:tcPr>
            <w:tcW w:w="6573" w:type="dxa"/>
            <w:noWrap/>
            <w:vAlign w:val="center"/>
          </w:tcPr>
          <w:p w14:paraId="27229FE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Platelets [#/volume] in Blood</w:t>
            </w:r>
          </w:p>
        </w:tc>
      </w:tr>
      <w:tr w:rsidR="006665F9" w:rsidRPr="002B4B4D" w14:paraId="70C98000" w14:textId="77777777" w:rsidTr="0063788F">
        <w:trPr>
          <w:trHeight w:val="20"/>
        </w:trPr>
        <w:tc>
          <w:tcPr>
            <w:tcW w:w="1740" w:type="dxa"/>
          </w:tcPr>
          <w:p w14:paraId="6B76FD4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4EDF695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9018</w:t>
            </w:r>
          </w:p>
        </w:tc>
        <w:tc>
          <w:tcPr>
            <w:tcW w:w="6573" w:type="dxa"/>
            <w:noWrap/>
            <w:vAlign w:val="center"/>
          </w:tcPr>
          <w:p w14:paraId="6BD8A1F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Neutrophils [#/volume] in Blood</w:t>
            </w:r>
          </w:p>
        </w:tc>
      </w:tr>
      <w:tr w:rsidR="006665F9" w:rsidRPr="002B4B4D" w14:paraId="52CC404B" w14:textId="77777777" w:rsidTr="0063788F">
        <w:trPr>
          <w:trHeight w:val="20"/>
        </w:trPr>
        <w:tc>
          <w:tcPr>
            <w:tcW w:w="1740" w:type="dxa"/>
          </w:tcPr>
          <w:p w14:paraId="7D407DF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2E2CE08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9024</w:t>
            </w:r>
          </w:p>
        </w:tc>
        <w:tc>
          <w:tcPr>
            <w:tcW w:w="6573" w:type="dxa"/>
            <w:noWrap/>
            <w:vAlign w:val="center"/>
          </w:tcPr>
          <w:p w14:paraId="0AAE10E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Creatinine [Mass/volume] in Serum, Plasma or Blood</w:t>
            </w:r>
          </w:p>
        </w:tc>
      </w:tr>
      <w:tr w:rsidR="006665F9" w:rsidRPr="002B4B4D" w14:paraId="6D6F888A" w14:textId="77777777" w:rsidTr="0063788F">
        <w:trPr>
          <w:trHeight w:val="20"/>
        </w:trPr>
        <w:tc>
          <w:tcPr>
            <w:tcW w:w="1740" w:type="dxa"/>
          </w:tcPr>
          <w:p w14:paraId="00CB622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15822587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9050</w:t>
            </w:r>
          </w:p>
        </w:tc>
        <w:tc>
          <w:tcPr>
            <w:tcW w:w="6573" w:type="dxa"/>
            <w:noWrap/>
            <w:vAlign w:val="center"/>
          </w:tcPr>
          <w:p w14:paraId="3CE662F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Bilirubin.total [Mass/volume] in Serum, Plasma or Blood</w:t>
            </w:r>
          </w:p>
        </w:tc>
      </w:tr>
      <w:tr w:rsidR="006665F9" w:rsidRPr="002B4B4D" w14:paraId="49EEA9D5" w14:textId="77777777" w:rsidTr="0063788F">
        <w:trPr>
          <w:trHeight w:val="20"/>
        </w:trPr>
        <w:tc>
          <w:tcPr>
            <w:tcW w:w="1740" w:type="dxa"/>
          </w:tcPr>
          <w:p w14:paraId="6AD60074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2EDC58C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8001</w:t>
            </w:r>
          </w:p>
        </w:tc>
        <w:tc>
          <w:tcPr>
            <w:tcW w:w="6573" w:type="dxa"/>
            <w:noWrap/>
            <w:vAlign w:val="center"/>
          </w:tcPr>
          <w:p w14:paraId="5645AC45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Glomerular filtration rate/1.73 sq M.predicted [Volume Rate/Area] in Serum, Plasma or Blood by Creatinine-based formula (MDRD)</w:t>
            </w:r>
          </w:p>
        </w:tc>
      </w:tr>
      <w:tr w:rsidR="006665F9" w:rsidRPr="002B4B4D" w14:paraId="44FE520D" w14:textId="77777777" w:rsidTr="0063788F">
        <w:trPr>
          <w:trHeight w:val="20"/>
        </w:trPr>
        <w:tc>
          <w:tcPr>
            <w:tcW w:w="1740" w:type="dxa"/>
            <w:vAlign w:val="center"/>
          </w:tcPr>
          <w:p w14:paraId="63F6374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77B2A18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9002</w:t>
            </w:r>
          </w:p>
        </w:tc>
        <w:tc>
          <w:tcPr>
            <w:tcW w:w="6573" w:type="dxa"/>
            <w:noWrap/>
            <w:vAlign w:val="center"/>
          </w:tcPr>
          <w:p w14:paraId="1AEB03D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Cholesterol in LDL [Mass/volume] in Serum or Plasma</w:t>
            </w:r>
          </w:p>
        </w:tc>
      </w:tr>
      <w:tr w:rsidR="006665F9" w:rsidRPr="002B4B4D" w14:paraId="23742BDC" w14:textId="77777777" w:rsidTr="0063788F">
        <w:trPr>
          <w:trHeight w:val="20"/>
        </w:trPr>
        <w:tc>
          <w:tcPr>
            <w:tcW w:w="1740" w:type="dxa"/>
          </w:tcPr>
          <w:p w14:paraId="6B9E907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3D1A0E7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9001</w:t>
            </w:r>
          </w:p>
        </w:tc>
        <w:tc>
          <w:tcPr>
            <w:tcW w:w="6573" w:type="dxa"/>
            <w:noWrap/>
            <w:vAlign w:val="center"/>
          </w:tcPr>
          <w:p w14:paraId="2BA992DE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Cholesterol in HDL [Mass/volume] in Serum or Plasma</w:t>
            </w:r>
          </w:p>
        </w:tc>
      </w:tr>
      <w:tr w:rsidR="006665F9" w:rsidRPr="002B4B4D" w14:paraId="7ED9836D" w14:textId="77777777" w:rsidTr="0063788F">
        <w:trPr>
          <w:trHeight w:val="20"/>
        </w:trPr>
        <w:tc>
          <w:tcPr>
            <w:tcW w:w="1740" w:type="dxa"/>
          </w:tcPr>
          <w:p w14:paraId="3AC36F4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76903D1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9063</w:t>
            </w:r>
          </w:p>
        </w:tc>
        <w:tc>
          <w:tcPr>
            <w:tcW w:w="6573" w:type="dxa"/>
            <w:noWrap/>
            <w:vAlign w:val="center"/>
          </w:tcPr>
          <w:p w14:paraId="1684C72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C reactive protein [Mass/volume] in Serum, Plasma or Blood</w:t>
            </w:r>
          </w:p>
        </w:tc>
      </w:tr>
      <w:tr w:rsidR="006665F9" w:rsidRPr="002B4B4D" w14:paraId="41AECF2E" w14:textId="77777777" w:rsidTr="0063788F">
        <w:trPr>
          <w:trHeight w:val="20"/>
        </w:trPr>
        <w:tc>
          <w:tcPr>
            <w:tcW w:w="1740" w:type="dxa"/>
          </w:tcPr>
          <w:p w14:paraId="7993DF62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38EDBD4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9004</w:t>
            </w:r>
          </w:p>
        </w:tc>
        <w:tc>
          <w:tcPr>
            <w:tcW w:w="6573" w:type="dxa"/>
            <w:noWrap/>
            <w:vAlign w:val="center"/>
          </w:tcPr>
          <w:p w14:paraId="1383C87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Triglyceride [Mass/volume] in Serum, Plasma or Blood</w:t>
            </w:r>
          </w:p>
        </w:tc>
      </w:tr>
      <w:tr w:rsidR="006665F9" w:rsidRPr="002B4B4D" w14:paraId="011636F9" w14:textId="77777777" w:rsidTr="0063788F">
        <w:trPr>
          <w:trHeight w:val="20"/>
        </w:trPr>
        <w:tc>
          <w:tcPr>
            <w:tcW w:w="1740" w:type="dxa"/>
          </w:tcPr>
          <w:p w14:paraId="6A4EEFE6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Laboratory</w:t>
            </w:r>
          </w:p>
        </w:tc>
        <w:tc>
          <w:tcPr>
            <w:tcW w:w="1321" w:type="dxa"/>
            <w:noWrap/>
            <w:vAlign w:val="center"/>
          </w:tcPr>
          <w:p w14:paraId="715642B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9047</w:t>
            </w:r>
          </w:p>
        </w:tc>
        <w:tc>
          <w:tcPr>
            <w:tcW w:w="6573" w:type="dxa"/>
            <w:noWrap/>
            <w:vAlign w:val="center"/>
          </w:tcPr>
          <w:p w14:paraId="154B33F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Aspartate aminotransferase [Enzymatic activity/volume] in Serum or Plasma</w:t>
            </w:r>
          </w:p>
        </w:tc>
      </w:tr>
      <w:tr w:rsidR="006665F9" w:rsidRPr="002B4B4D" w14:paraId="5F744852" w14:textId="77777777" w:rsidTr="0063788F">
        <w:trPr>
          <w:trHeight w:val="20"/>
        </w:trPr>
        <w:tc>
          <w:tcPr>
            <w:tcW w:w="1740" w:type="dxa"/>
          </w:tcPr>
          <w:p w14:paraId="4C479B9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Procedures</w:t>
            </w:r>
          </w:p>
        </w:tc>
        <w:tc>
          <w:tcPr>
            <w:tcW w:w="1321" w:type="dxa"/>
            <w:noWrap/>
            <w:vAlign w:val="center"/>
          </w:tcPr>
          <w:p w14:paraId="7227CA7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1010843</w:t>
            </w:r>
          </w:p>
        </w:tc>
        <w:tc>
          <w:tcPr>
            <w:tcW w:w="6573" w:type="dxa"/>
            <w:noWrap/>
            <w:vAlign w:val="center"/>
          </w:tcPr>
          <w:p w14:paraId="7B900748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Radiation Oncology Treatment</w:t>
            </w:r>
          </w:p>
        </w:tc>
      </w:tr>
      <w:tr w:rsidR="006665F9" w:rsidRPr="002B4B4D" w14:paraId="581FF0CE" w14:textId="77777777" w:rsidTr="0063788F">
        <w:trPr>
          <w:trHeight w:val="20"/>
        </w:trPr>
        <w:tc>
          <w:tcPr>
            <w:tcW w:w="1740" w:type="dxa"/>
            <w:vAlign w:val="center"/>
          </w:tcPr>
          <w:p w14:paraId="0B0752A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Procedures</w:t>
            </w:r>
          </w:p>
        </w:tc>
        <w:tc>
          <w:tcPr>
            <w:tcW w:w="1321" w:type="dxa"/>
            <w:noWrap/>
            <w:vAlign w:val="center"/>
          </w:tcPr>
          <w:p w14:paraId="32FB650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1003143</w:t>
            </w:r>
          </w:p>
        </w:tc>
        <w:tc>
          <w:tcPr>
            <w:tcW w:w="6573" w:type="dxa"/>
            <w:noWrap/>
            <w:vAlign w:val="center"/>
          </w:tcPr>
          <w:p w14:paraId="715EAD01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Surgery</w:t>
            </w:r>
          </w:p>
        </w:tc>
      </w:tr>
      <w:tr w:rsidR="006665F9" w:rsidRPr="002B4B4D" w14:paraId="2B218F63" w14:textId="77777777" w:rsidTr="0063788F">
        <w:trPr>
          <w:trHeight w:val="20"/>
        </w:trPr>
        <w:tc>
          <w:tcPr>
            <w:tcW w:w="1740" w:type="dxa"/>
            <w:vAlign w:val="center"/>
          </w:tcPr>
          <w:p w14:paraId="5C65E8D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Visits</w:t>
            </w:r>
          </w:p>
        </w:tc>
        <w:tc>
          <w:tcPr>
            <w:tcW w:w="1321" w:type="dxa"/>
            <w:noWrap/>
            <w:vAlign w:val="center"/>
          </w:tcPr>
          <w:p w14:paraId="4CA1C64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EMER</w:t>
            </w:r>
          </w:p>
        </w:tc>
        <w:tc>
          <w:tcPr>
            <w:tcW w:w="6573" w:type="dxa"/>
            <w:noWrap/>
            <w:vAlign w:val="center"/>
          </w:tcPr>
          <w:p w14:paraId="753FC97C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Visit: Emergency</w:t>
            </w:r>
          </w:p>
        </w:tc>
      </w:tr>
      <w:tr w:rsidR="006665F9" w:rsidRPr="002B4B4D" w14:paraId="02B90073" w14:textId="77777777" w:rsidTr="0063788F">
        <w:trPr>
          <w:trHeight w:val="20"/>
        </w:trPr>
        <w:tc>
          <w:tcPr>
            <w:tcW w:w="1740" w:type="dxa"/>
          </w:tcPr>
          <w:p w14:paraId="41868DAD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Visits</w:t>
            </w:r>
            <w:r w:rsidRPr="002B4B4D">
              <w:rPr>
                <w:rFonts w:ascii="Arial" w:hAnsi="Arial" w:cs="Arial"/>
                <w:color w:val="258AE2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321" w:type="dxa"/>
            <w:noWrap/>
            <w:vAlign w:val="center"/>
          </w:tcPr>
          <w:p w14:paraId="61F5EEFA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IMP</w:t>
            </w:r>
          </w:p>
        </w:tc>
        <w:tc>
          <w:tcPr>
            <w:tcW w:w="6573" w:type="dxa"/>
            <w:noWrap/>
            <w:vAlign w:val="center"/>
          </w:tcPr>
          <w:p w14:paraId="32DDD17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Visit: Inpatient Encounter</w:t>
            </w:r>
          </w:p>
        </w:tc>
      </w:tr>
      <w:tr w:rsidR="006665F9" w:rsidRPr="002B4B4D" w14:paraId="7F671648" w14:textId="77777777" w:rsidTr="0063788F">
        <w:trPr>
          <w:trHeight w:val="20"/>
        </w:trPr>
        <w:tc>
          <w:tcPr>
            <w:tcW w:w="1740" w:type="dxa"/>
          </w:tcPr>
          <w:p w14:paraId="0E52DCD3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Visits</w:t>
            </w:r>
          </w:p>
        </w:tc>
        <w:tc>
          <w:tcPr>
            <w:tcW w:w="1321" w:type="dxa"/>
            <w:noWrap/>
            <w:vAlign w:val="center"/>
          </w:tcPr>
          <w:p w14:paraId="1BEE421B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OBSENC</w:t>
            </w:r>
          </w:p>
        </w:tc>
        <w:tc>
          <w:tcPr>
            <w:tcW w:w="6573" w:type="dxa"/>
            <w:noWrap/>
            <w:vAlign w:val="center"/>
          </w:tcPr>
          <w:p w14:paraId="1E6AB9D0" w14:textId="77777777" w:rsidR="006665F9" w:rsidRPr="002B4B4D" w:rsidRDefault="006665F9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Visit: Observation Encounter</w:t>
            </w:r>
          </w:p>
        </w:tc>
      </w:tr>
    </w:tbl>
    <w:p w14:paraId="30CED16D" w14:textId="77777777" w:rsidR="006665F9" w:rsidRDefault="006665F9" w:rsidP="006665F9">
      <w:pPr>
        <w:snapToGrid w:val="0"/>
        <w:spacing w:afterLines="20" w:after="72"/>
        <w:rPr>
          <w:rFonts w:ascii="Arial" w:hAnsi="Arial" w:cs="Arial"/>
          <w:b/>
          <w:bCs/>
          <w:color w:val="000000" w:themeColor="text1"/>
        </w:rPr>
      </w:pPr>
    </w:p>
    <w:p w14:paraId="34ADB3BB" w14:textId="09451373" w:rsidR="004A711C" w:rsidRDefault="004A711C" w:rsidP="006665F9">
      <w:pPr>
        <w:snapToGrid w:val="0"/>
        <w:spacing w:afterLines="50" w:after="180"/>
        <w:rPr>
          <w:rFonts w:ascii="Arial" w:hAnsi="Arial" w:cs="Arial"/>
          <w:b/>
          <w:bCs/>
          <w:color w:val="000000" w:themeColor="text1"/>
        </w:rPr>
      </w:pPr>
    </w:p>
    <w:p w14:paraId="7EC39E3A" w14:textId="77777777" w:rsidR="001200F6" w:rsidRDefault="001200F6" w:rsidP="00FC6202">
      <w:pPr>
        <w:snapToGrid w:val="0"/>
        <w:spacing w:afterLines="50" w:after="180"/>
        <w:rPr>
          <w:rFonts w:ascii="Arial" w:hAnsi="Arial" w:cs="Arial"/>
          <w:color w:val="000000" w:themeColor="text1"/>
        </w:rPr>
        <w:sectPr w:rsidR="001200F6" w:rsidSect="00DF5957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14:paraId="455B692D" w14:textId="77777777" w:rsidR="00D810C4" w:rsidRPr="003D005E" w:rsidRDefault="00973ECC" w:rsidP="00D810C4">
      <w:pPr>
        <w:snapToGrid w:val="0"/>
        <w:spacing w:afterLines="20" w:after="72"/>
        <w:rPr>
          <w:rFonts w:ascii="Arial" w:hAnsi="Arial" w:cs="Arial"/>
          <w:color w:val="000000" w:themeColor="text1"/>
        </w:rPr>
      </w:pPr>
      <w:r w:rsidRPr="00F138C7">
        <w:rPr>
          <w:rFonts w:ascii="Arial" w:hAnsi="Arial" w:cs="Arial"/>
        </w:rPr>
        <w:lastRenderedPageBreak/>
        <w:t>Supplementary Table</w:t>
      </w:r>
      <w:r>
        <w:rPr>
          <w:rFonts w:ascii="Arial" w:hAnsi="Arial" w:cs="Arial"/>
        </w:rPr>
        <w:t xml:space="preserve"> 4. </w:t>
      </w:r>
      <w:r w:rsidR="00D810C4" w:rsidRPr="003D005E">
        <w:rPr>
          <w:rFonts w:ascii="Arial" w:hAnsi="Arial" w:cs="Arial"/>
          <w:color w:val="000000" w:themeColor="text1"/>
        </w:rPr>
        <w:t>Diagnostic codes used in the definition of outcomes.</w:t>
      </w:r>
    </w:p>
    <w:tbl>
      <w:tblPr>
        <w:tblStyle w:val="af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2976"/>
        <w:gridCol w:w="5103"/>
      </w:tblGrid>
      <w:tr w:rsidR="00D810C4" w:rsidRPr="002B4B4D" w14:paraId="5B0B5D51" w14:textId="77777777" w:rsidTr="0063788F">
        <w:trPr>
          <w:trHeight w:val="20"/>
        </w:trPr>
        <w:tc>
          <w:tcPr>
            <w:tcW w:w="1555" w:type="dxa"/>
            <w:vAlign w:val="center"/>
          </w:tcPr>
          <w:p w14:paraId="5EDEB731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Category</w:t>
            </w:r>
          </w:p>
        </w:tc>
        <w:tc>
          <w:tcPr>
            <w:tcW w:w="2976" w:type="dxa"/>
            <w:vAlign w:val="center"/>
          </w:tcPr>
          <w:p w14:paraId="2126B67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Code</w:t>
            </w:r>
          </w:p>
        </w:tc>
        <w:tc>
          <w:tcPr>
            <w:tcW w:w="5103" w:type="dxa"/>
            <w:vAlign w:val="center"/>
          </w:tcPr>
          <w:p w14:paraId="6532704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Description</w:t>
            </w:r>
          </w:p>
        </w:tc>
      </w:tr>
      <w:tr w:rsidR="00D810C4" w:rsidRPr="002B4B4D" w14:paraId="6B2B71ED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5E07C55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#1: </w:t>
            </w:r>
            <w:r w:rsidRPr="002B4B4D">
              <w:rPr>
                <w:rFonts w:ascii="Arial" w:hAnsi="Arial" w:cs="Arial"/>
                <w:b/>
                <w:bCs/>
                <w:sz w:val="21"/>
                <w:szCs w:val="21"/>
              </w:rPr>
              <w:t>All-cause mortality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(have any of the following)</w:t>
            </w:r>
          </w:p>
        </w:tc>
      </w:tr>
      <w:tr w:rsidR="00D810C4" w:rsidRPr="002B4B4D" w14:paraId="2FDE98D8" w14:textId="77777777" w:rsidTr="0063788F">
        <w:trPr>
          <w:trHeight w:val="20"/>
        </w:trPr>
        <w:tc>
          <w:tcPr>
            <w:tcW w:w="1555" w:type="dxa"/>
          </w:tcPr>
          <w:p w14:paraId="7CBE759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1B1789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UMLS:ICD10CM:R99-R99</w:t>
            </w:r>
          </w:p>
        </w:tc>
        <w:tc>
          <w:tcPr>
            <w:tcW w:w="5103" w:type="dxa"/>
          </w:tcPr>
          <w:p w14:paraId="006B4FB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Ill-defined and unknown cause of mortality (R99)</w:t>
            </w:r>
          </w:p>
        </w:tc>
      </w:tr>
      <w:tr w:rsidR="00D810C4" w:rsidRPr="002B4B4D" w14:paraId="45F46F74" w14:textId="77777777" w:rsidTr="0063788F">
        <w:trPr>
          <w:trHeight w:val="20"/>
        </w:trPr>
        <w:tc>
          <w:tcPr>
            <w:tcW w:w="1555" w:type="dxa"/>
          </w:tcPr>
          <w:p w14:paraId="099A5D2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Demographics</w:t>
            </w:r>
          </w:p>
        </w:tc>
        <w:tc>
          <w:tcPr>
            <w:tcW w:w="2976" w:type="dxa"/>
          </w:tcPr>
          <w:p w14:paraId="01F384F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UMLS:ICD10CM:R69</w:t>
            </w:r>
          </w:p>
        </w:tc>
        <w:tc>
          <w:tcPr>
            <w:tcW w:w="5103" w:type="dxa"/>
          </w:tcPr>
          <w:p w14:paraId="7641660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Illness, unspecified</w:t>
            </w:r>
          </w:p>
        </w:tc>
      </w:tr>
      <w:tr w:rsidR="00D810C4" w:rsidRPr="002B4B4D" w14:paraId="27213599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4D6497D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#2: Immune-related adverse event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25317E56" w14:textId="77777777" w:rsidTr="0063788F">
        <w:trPr>
          <w:trHeight w:val="20"/>
        </w:trPr>
        <w:tc>
          <w:tcPr>
            <w:tcW w:w="1555" w:type="dxa"/>
          </w:tcPr>
          <w:p w14:paraId="4011EE0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AE6166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UMLS:ICD10CM:E03.9</w:t>
            </w:r>
          </w:p>
        </w:tc>
        <w:tc>
          <w:tcPr>
            <w:tcW w:w="5103" w:type="dxa"/>
          </w:tcPr>
          <w:p w14:paraId="37F74C28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Hypothyroidism, unspecified</w:t>
            </w:r>
          </w:p>
        </w:tc>
      </w:tr>
      <w:tr w:rsidR="00D810C4" w:rsidRPr="002B4B4D" w14:paraId="78766D54" w14:textId="77777777" w:rsidTr="0063788F">
        <w:trPr>
          <w:trHeight w:val="20"/>
        </w:trPr>
        <w:tc>
          <w:tcPr>
            <w:tcW w:w="1555" w:type="dxa"/>
          </w:tcPr>
          <w:p w14:paraId="76C880F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50911E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UMLS:ICD10CM:E06.3</w:t>
            </w:r>
          </w:p>
        </w:tc>
        <w:tc>
          <w:tcPr>
            <w:tcW w:w="5103" w:type="dxa"/>
          </w:tcPr>
          <w:p w14:paraId="4801646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Autoimmune thyroiditis</w:t>
            </w:r>
          </w:p>
        </w:tc>
      </w:tr>
      <w:tr w:rsidR="00D810C4" w:rsidRPr="002B4B4D" w14:paraId="18E8C90C" w14:textId="77777777" w:rsidTr="0063788F">
        <w:trPr>
          <w:trHeight w:val="20"/>
        </w:trPr>
        <w:tc>
          <w:tcPr>
            <w:tcW w:w="1555" w:type="dxa"/>
          </w:tcPr>
          <w:p w14:paraId="724D378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7576A2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UMLS:ICD10CM:E23.2</w:t>
            </w:r>
          </w:p>
        </w:tc>
        <w:tc>
          <w:tcPr>
            <w:tcW w:w="5103" w:type="dxa"/>
          </w:tcPr>
          <w:p w14:paraId="0F8FC0E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Diabetes insipidus</w:t>
            </w:r>
          </w:p>
        </w:tc>
      </w:tr>
      <w:tr w:rsidR="00D810C4" w:rsidRPr="002B4B4D" w14:paraId="21D822A4" w14:textId="77777777" w:rsidTr="0063788F">
        <w:trPr>
          <w:trHeight w:val="20"/>
        </w:trPr>
        <w:tc>
          <w:tcPr>
            <w:tcW w:w="1555" w:type="dxa"/>
          </w:tcPr>
          <w:p w14:paraId="3575846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864983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UMLS:ICD10CM:E27.40</w:t>
            </w:r>
          </w:p>
        </w:tc>
        <w:tc>
          <w:tcPr>
            <w:tcW w:w="5103" w:type="dxa"/>
          </w:tcPr>
          <w:p w14:paraId="462F5B8E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Unspecified adrenocortical insufficiency</w:t>
            </w:r>
          </w:p>
        </w:tc>
      </w:tr>
      <w:tr w:rsidR="00D810C4" w:rsidRPr="002B4B4D" w14:paraId="75D7C6A9" w14:textId="77777777" w:rsidTr="0063788F">
        <w:trPr>
          <w:trHeight w:val="20"/>
        </w:trPr>
        <w:tc>
          <w:tcPr>
            <w:tcW w:w="1555" w:type="dxa"/>
          </w:tcPr>
          <w:p w14:paraId="7BB5AF1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409EF9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UMLS:ICD10CM:R73.9</w:t>
            </w:r>
          </w:p>
        </w:tc>
        <w:tc>
          <w:tcPr>
            <w:tcW w:w="5103" w:type="dxa"/>
          </w:tcPr>
          <w:p w14:paraId="0C38B080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Hyperglycemia, unspecified</w:t>
            </w:r>
          </w:p>
        </w:tc>
      </w:tr>
      <w:tr w:rsidR="00D810C4" w:rsidRPr="002B4B4D" w14:paraId="5CAC92D7" w14:textId="77777777" w:rsidTr="0063788F">
        <w:trPr>
          <w:trHeight w:val="20"/>
        </w:trPr>
        <w:tc>
          <w:tcPr>
            <w:tcW w:w="1555" w:type="dxa"/>
          </w:tcPr>
          <w:p w14:paraId="71ED290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24B86C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UMLS:ICD10CM:E11.65</w:t>
            </w:r>
          </w:p>
        </w:tc>
        <w:tc>
          <w:tcPr>
            <w:tcW w:w="5103" w:type="dxa"/>
          </w:tcPr>
          <w:p w14:paraId="167D36D0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Type 2 diabetes mellitus with hyperglycemia</w:t>
            </w:r>
          </w:p>
        </w:tc>
      </w:tr>
      <w:tr w:rsidR="00D810C4" w:rsidRPr="002B4B4D" w14:paraId="4E8A3A3D" w14:textId="77777777" w:rsidTr="0063788F">
        <w:trPr>
          <w:trHeight w:val="20"/>
        </w:trPr>
        <w:tc>
          <w:tcPr>
            <w:tcW w:w="1555" w:type="dxa"/>
          </w:tcPr>
          <w:p w14:paraId="638A34A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481379E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UMLS:ICD10CM:E13.65</w:t>
            </w:r>
          </w:p>
        </w:tc>
        <w:tc>
          <w:tcPr>
            <w:tcW w:w="5103" w:type="dxa"/>
          </w:tcPr>
          <w:p w14:paraId="2E38A7CD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Other specified diabetes mellitus with hyperglycemia</w:t>
            </w:r>
          </w:p>
        </w:tc>
      </w:tr>
      <w:tr w:rsidR="00D810C4" w:rsidRPr="002B4B4D" w14:paraId="20190EE2" w14:textId="77777777" w:rsidTr="0063788F">
        <w:trPr>
          <w:trHeight w:val="20"/>
        </w:trPr>
        <w:tc>
          <w:tcPr>
            <w:tcW w:w="1555" w:type="dxa"/>
          </w:tcPr>
          <w:p w14:paraId="27E91D0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50BCB2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UMLS:ICD10CM:E10.65</w:t>
            </w:r>
          </w:p>
        </w:tc>
        <w:tc>
          <w:tcPr>
            <w:tcW w:w="5103" w:type="dxa"/>
          </w:tcPr>
          <w:p w14:paraId="207E15DA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Type 1 diabetes mellitus with hyperglycemia</w:t>
            </w:r>
          </w:p>
        </w:tc>
      </w:tr>
      <w:tr w:rsidR="00D810C4" w:rsidRPr="002B4B4D" w14:paraId="10A60607" w14:textId="77777777" w:rsidTr="0063788F">
        <w:trPr>
          <w:trHeight w:val="20"/>
        </w:trPr>
        <w:tc>
          <w:tcPr>
            <w:tcW w:w="1555" w:type="dxa"/>
          </w:tcPr>
          <w:p w14:paraId="7C5CC0E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D613EB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UMLS:ICD10CM:E09.65</w:t>
            </w:r>
          </w:p>
        </w:tc>
        <w:tc>
          <w:tcPr>
            <w:tcW w:w="5103" w:type="dxa"/>
          </w:tcPr>
          <w:p w14:paraId="66B0331E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Drug or chemical induced diabetes mellitus with hyperglycemia</w:t>
            </w:r>
          </w:p>
        </w:tc>
      </w:tr>
      <w:tr w:rsidR="00D810C4" w:rsidRPr="002B4B4D" w14:paraId="2847A4FB" w14:textId="77777777" w:rsidTr="0063788F">
        <w:trPr>
          <w:trHeight w:val="20"/>
        </w:trPr>
        <w:tc>
          <w:tcPr>
            <w:tcW w:w="1555" w:type="dxa"/>
          </w:tcPr>
          <w:p w14:paraId="2AD0702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96C00A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UMLS:ICD10CM:J84.89</w:t>
            </w:r>
          </w:p>
        </w:tc>
        <w:tc>
          <w:tcPr>
            <w:tcW w:w="5103" w:type="dxa"/>
          </w:tcPr>
          <w:p w14:paraId="5F61069D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Other specified interstitial pulmonary diseases</w:t>
            </w:r>
          </w:p>
        </w:tc>
      </w:tr>
      <w:tr w:rsidR="00D810C4" w:rsidRPr="002B4B4D" w14:paraId="3C94416D" w14:textId="77777777" w:rsidTr="0063788F">
        <w:trPr>
          <w:trHeight w:val="20"/>
        </w:trPr>
        <w:tc>
          <w:tcPr>
            <w:tcW w:w="1555" w:type="dxa"/>
          </w:tcPr>
          <w:p w14:paraId="5F90F2E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56C3207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UMLS:ICD10CM:K52.89</w:t>
            </w:r>
          </w:p>
        </w:tc>
        <w:tc>
          <w:tcPr>
            <w:tcW w:w="5103" w:type="dxa"/>
          </w:tcPr>
          <w:p w14:paraId="16C271CB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Other specified noninfective gastroenteritis and colitis</w:t>
            </w:r>
          </w:p>
        </w:tc>
      </w:tr>
      <w:tr w:rsidR="00D810C4" w:rsidRPr="002B4B4D" w14:paraId="02856DAA" w14:textId="77777777" w:rsidTr="0063788F">
        <w:trPr>
          <w:trHeight w:val="20"/>
        </w:trPr>
        <w:tc>
          <w:tcPr>
            <w:tcW w:w="1555" w:type="dxa"/>
          </w:tcPr>
          <w:p w14:paraId="1E9ED3C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4E2F69A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UMLS:ICD10CM:E23.0</w:t>
            </w:r>
          </w:p>
        </w:tc>
        <w:tc>
          <w:tcPr>
            <w:tcW w:w="5103" w:type="dxa"/>
          </w:tcPr>
          <w:p w14:paraId="0BF64A1A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Hypopituitarism</w:t>
            </w:r>
          </w:p>
        </w:tc>
      </w:tr>
      <w:tr w:rsidR="00D810C4" w:rsidRPr="002B4B4D" w14:paraId="45802D5B" w14:textId="77777777" w:rsidTr="0063788F">
        <w:trPr>
          <w:trHeight w:val="20"/>
        </w:trPr>
        <w:tc>
          <w:tcPr>
            <w:tcW w:w="1555" w:type="dxa"/>
          </w:tcPr>
          <w:p w14:paraId="53CCB84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6FC7158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UMLS:ICD10CM:E27.40</w:t>
            </w:r>
          </w:p>
        </w:tc>
        <w:tc>
          <w:tcPr>
            <w:tcW w:w="5103" w:type="dxa"/>
          </w:tcPr>
          <w:p w14:paraId="4391A553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Unspecified adrenocortical insufficiency</w:t>
            </w:r>
          </w:p>
        </w:tc>
      </w:tr>
      <w:tr w:rsidR="00D810C4" w:rsidRPr="002B4B4D" w14:paraId="6E278CE8" w14:textId="77777777" w:rsidTr="0063788F">
        <w:trPr>
          <w:trHeight w:val="20"/>
        </w:trPr>
        <w:tc>
          <w:tcPr>
            <w:tcW w:w="1555" w:type="dxa"/>
          </w:tcPr>
          <w:p w14:paraId="6158CB7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26831C3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UMLS:ICD10CM:E10.9</w:t>
            </w:r>
          </w:p>
        </w:tc>
        <w:tc>
          <w:tcPr>
            <w:tcW w:w="5103" w:type="dxa"/>
          </w:tcPr>
          <w:p w14:paraId="0EDDCDA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Type 1 diabetes mellitus without complications</w:t>
            </w:r>
          </w:p>
        </w:tc>
      </w:tr>
      <w:tr w:rsidR="00D810C4" w:rsidRPr="002B4B4D" w14:paraId="327C8EF1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7E55892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3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: ir-ILD/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P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neumonitis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53D5A01A" w14:textId="77777777" w:rsidTr="0063788F">
        <w:trPr>
          <w:trHeight w:val="20"/>
        </w:trPr>
        <w:tc>
          <w:tcPr>
            <w:tcW w:w="1555" w:type="dxa"/>
          </w:tcPr>
          <w:p w14:paraId="6F84764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47BBAED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UMLS:ICD10CM:J70.2</w:t>
            </w:r>
          </w:p>
        </w:tc>
        <w:tc>
          <w:tcPr>
            <w:tcW w:w="5103" w:type="dxa"/>
          </w:tcPr>
          <w:p w14:paraId="062EFE12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Acute drug-induced interstitial lung disorders</w:t>
            </w:r>
          </w:p>
        </w:tc>
      </w:tr>
      <w:tr w:rsidR="00D810C4" w:rsidRPr="002B4B4D" w14:paraId="4E95964B" w14:textId="77777777" w:rsidTr="0063788F">
        <w:trPr>
          <w:trHeight w:val="20"/>
        </w:trPr>
        <w:tc>
          <w:tcPr>
            <w:tcW w:w="1555" w:type="dxa"/>
          </w:tcPr>
          <w:p w14:paraId="456BDBB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55D7CB6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UMLS:ICD10CM:J70.3</w:t>
            </w:r>
          </w:p>
        </w:tc>
        <w:tc>
          <w:tcPr>
            <w:tcW w:w="5103" w:type="dxa"/>
          </w:tcPr>
          <w:p w14:paraId="52A2E770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Chronic drug-induced interstitial lung disorders</w:t>
            </w:r>
          </w:p>
        </w:tc>
      </w:tr>
      <w:tr w:rsidR="00D810C4" w:rsidRPr="002B4B4D" w14:paraId="18409917" w14:textId="77777777" w:rsidTr="0063788F">
        <w:trPr>
          <w:trHeight w:val="20"/>
        </w:trPr>
        <w:tc>
          <w:tcPr>
            <w:tcW w:w="1555" w:type="dxa"/>
          </w:tcPr>
          <w:p w14:paraId="5BB3969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3A4BC1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UMLS:ICD10CM:J70.4</w:t>
            </w:r>
          </w:p>
        </w:tc>
        <w:tc>
          <w:tcPr>
            <w:tcW w:w="5103" w:type="dxa"/>
          </w:tcPr>
          <w:p w14:paraId="31D01EF6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Drug-induced interstitial lung disorders, unspecified</w:t>
            </w:r>
          </w:p>
        </w:tc>
      </w:tr>
      <w:tr w:rsidR="00D810C4" w:rsidRPr="002B4B4D" w14:paraId="38E6C023" w14:textId="77777777" w:rsidTr="0063788F">
        <w:trPr>
          <w:trHeight w:val="20"/>
        </w:trPr>
        <w:tc>
          <w:tcPr>
            <w:tcW w:w="1555" w:type="dxa"/>
          </w:tcPr>
          <w:p w14:paraId="013DB30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70A5C8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UMLS:ICD10CM:J84.10</w:t>
            </w:r>
          </w:p>
        </w:tc>
        <w:tc>
          <w:tcPr>
            <w:tcW w:w="5103" w:type="dxa"/>
          </w:tcPr>
          <w:p w14:paraId="238B7A7D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Pulmonary fibrosis, unspecified</w:t>
            </w:r>
          </w:p>
        </w:tc>
      </w:tr>
      <w:tr w:rsidR="00D810C4" w:rsidRPr="002B4B4D" w14:paraId="7FEAB354" w14:textId="77777777" w:rsidTr="0063788F">
        <w:trPr>
          <w:trHeight w:val="20"/>
        </w:trPr>
        <w:tc>
          <w:tcPr>
            <w:tcW w:w="1555" w:type="dxa"/>
          </w:tcPr>
          <w:p w14:paraId="0765D76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6906733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UMLS:ICD10CM:J84.89</w:t>
            </w:r>
          </w:p>
        </w:tc>
        <w:tc>
          <w:tcPr>
            <w:tcW w:w="5103" w:type="dxa"/>
          </w:tcPr>
          <w:p w14:paraId="377E3602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Other specified interstitial pulmonary diseases</w:t>
            </w:r>
          </w:p>
        </w:tc>
      </w:tr>
      <w:tr w:rsidR="00D810C4" w:rsidRPr="002B4B4D" w14:paraId="0233A137" w14:textId="77777777" w:rsidTr="0063788F">
        <w:trPr>
          <w:trHeight w:val="20"/>
        </w:trPr>
        <w:tc>
          <w:tcPr>
            <w:tcW w:w="1555" w:type="dxa"/>
          </w:tcPr>
          <w:p w14:paraId="69EE9E17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233CCE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UMLS:ICD10CM:J84.9</w:t>
            </w:r>
          </w:p>
        </w:tc>
        <w:tc>
          <w:tcPr>
            <w:tcW w:w="5103" w:type="dxa"/>
          </w:tcPr>
          <w:p w14:paraId="18474BC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Interstitial pulmonary disease, unspecified</w:t>
            </w:r>
          </w:p>
        </w:tc>
      </w:tr>
      <w:tr w:rsidR="00D810C4" w:rsidRPr="002B4B4D" w14:paraId="0398DF2F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11BC65C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4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Colitis/Enteritis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18A0006D" w14:textId="77777777" w:rsidTr="0063788F">
        <w:trPr>
          <w:trHeight w:val="20"/>
        </w:trPr>
        <w:tc>
          <w:tcPr>
            <w:tcW w:w="1555" w:type="dxa"/>
          </w:tcPr>
          <w:p w14:paraId="1AB6C36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073ECA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UMLS:ICD10CM:K52.89</w:t>
            </w:r>
          </w:p>
        </w:tc>
        <w:tc>
          <w:tcPr>
            <w:tcW w:w="5103" w:type="dxa"/>
          </w:tcPr>
          <w:p w14:paraId="2A4AF4D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Other specified noninfective gastroenteritis and colitis</w:t>
            </w:r>
          </w:p>
        </w:tc>
      </w:tr>
      <w:tr w:rsidR="00D810C4" w:rsidRPr="002B4B4D" w14:paraId="20B0740D" w14:textId="77777777" w:rsidTr="0063788F">
        <w:trPr>
          <w:trHeight w:val="20"/>
        </w:trPr>
        <w:tc>
          <w:tcPr>
            <w:tcW w:w="1555" w:type="dxa"/>
          </w:tcPr>
          <w:p w14:paraId="4D3D160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B83393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UMLS:ICD10CM:T45.AX5</w:t>
            </w:r>
          </w:p>
        </w:tc>
        <w:tc>
          <w:tcPr>
            <w:tcW w:w="5103" w:type="dxa"/>
          </w:tcPr>
          <w:p w14:paraId="343642E1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Adverse effect of immune checkpoint inhibitors and immunostimulant drugs</w:t>
            </w:r>
          </w:p>
        </w:tc>
      </w:tr>
      <w:tr w:rsidR="00D810C4" w:rsidRPr="002B4B4D" w14:paraId="1C8C8669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2C60E70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5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Hepatitis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4AE93933" w14:textId="77777777" w:rsidTr="0063788F">
        <w:trPr>
          <w:trHeight w:val="20"/>
        </w:trPr>
        <w:tc>
          <w:tcPr>
            <w:tcW w:w="1555" w:type="dxa"/>
          </w:tcPr>
          <w:p w14:paraId="560D35D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53D6A4A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UMLS:ICD10CM:K75.4</w:t>
            </w:r>
          </w:p>
        </w:tc>
        <w:tc>
          <w:tcPr>
            <w:tcW w:w="5103" w:type="dxa"/>
          </w:tcPr>
          <w:p w14:paraId="6C77CC65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Autoimmune hepatitis</w:t>
            </w:r>
          </w:p>
        </w:tc>
      </w:tr>
      <w:tr w:rsidR="00D810C4" w:rsidRPr="002B4B4D" w14:paraId="73BB2AD0" w14:textId="77777777" w:rsidTr="0063788F">
        <w:trPr>
          <w:trHeight w:val="20"/>
        </w:trPr>
        <w:tc>
          <w:tcPr>
            <w:tcW w:w="1555" w:type="dxa"/>
          </w:tcPr>
          <w:p w14:paraId="704432C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35C6FD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UMLS:ICD10CM:K71.6</w:t>
            </w:r>
          </w:p>
        </w:tc>
        <w:tc>
          <w:tcPr>
            <w:tcW w:w="5103" w:type="dxa"/>
          </w:tcPr>
          <w:p w14:paraId="0C3BF88F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Toxic liver disease with hepatitis, not elsewhere classified</w:t>
            </w:r>
          </w:p>
        </w:tc>
      </w:tr>
      <w:tr w:rsidR="00D810C4" w:rsidRPr="002B4B4D" w14:paraId="6E2E487E" w14:textId="77777777" w:rsidTr="0063788F">
        <w:trPr>
          <w:trHeight w:val="20"/>
        </w:trPr>
        <w:tc>
          <w:tcPr>
            <w:tcW w:w="1555" w:type="dxa"/>
          </w:tcPr>
          <w:p w14:paraId="6E66557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66EA73D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UMLS:ICD10CM:T45.AX5</w:t>
            </w:r>
          </w:p>
        </w:tc>
        <w:tc>
          <w:tcPr>
            <w:tcW w:w="5103" w:type="dxa"/>
          </w:tcPr>
          <w:p w14:paraId="4B6B4B23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Adverse effect of immune checkpoint inhibitors and immunostimulant drugs</w:t>
            </w:r>
          </w:p>
        </w:tc>
      </w:tr>
      <w:tr w:rsidR="00D810C4" w:rsidRPr="002B4B4D" w14:paraId="1283FD6C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009FEE4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6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Endocrinopathies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3CCFFBCB" w14:textId="77777777" w:rsidTr="0063788F">
        <w:trPr>
          <w:trHeight w:val="20"/>
        </w:trPr>
        <w:tc>
          <w:tcPr>
            <w:tcW w:w="1555" w:type="dxa"/>
          </w:tcPr>
          <w:p w14:paraId="6C9DC87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C2147D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UMLS:ICD10CM:E03.9</w:t>
            </w:r>
          </w:p>
        </w:tc>
        <w:tc>
          <w:tcPr>
            <w:tcW w:w="5103" w:type="dxa"/>
          </w:tcPr>
          <w:p w14:paraId="23CE4F96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Hypothyroidism, unspecified</w:t>
            </w:r>
          </w:p>
        </w:tc>
      </w:tr>
      <w:tr w:rsidR="00D810C4" w:rsidRPr="002B4B4D" w14:paraId="097BEF45" w14:textId="77777777" w:rsidTr="0063788F">
        <w:trPr>
          <w:trHeight w:val="20"/>
        </w:trPr>
        <w:tc>
          <w:tcPr>
            <w:tcW w:w="1555" w:type="dxa"/>
          </w:tcPr>
          <w:p w14:paraId="11FB6D7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5A35C7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UMLS:ICD10CM:E05.90</w:t>
            </w:r>
          </w:p>
        </w:tc>
        <w:tc>
          <w:tcPr>
            <w:tcW w:w="5103" w:type="dxa"/>
          </w:tcPr>
          <w:p w14:paraId="171E890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Thyrotoxicosis, unspecified without thyrotoxic crisis or storm</w:t>
            </w:r>
          </w:p>
        </w:tc>
      </w:tr>
      <w:tr w:rsidR="00D810C4" w:rsidRPr="002B4B4D" w14:paraId="62BCBBE2" w14:textId="77777777" w:rsidTr="0063788F">
        <w:trPr>
          <w:trHeight w:val="20"/>
        </w:trPr>
        <w:tc>
          <w:tcPr>
            <w:tcW w:w="1555" w:type="dxa"/>
          </w:tcPr>
          <w:p w14:paraId="7296EB1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22C637C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UMLS:ICD10CM:E23.0</w:t>
            </w:r>
          </w:p>
        </w:tc>
        <w:tc>
          <w:tcPr>
            <w:tcW w:w="5103" w:type="dxa"/>
          </w:tcPr>
          <w:p w14:paraId="2955FC4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Hypopituitarism</w:t>
            </w:r>
          </w:p>
        </w:tc>
      </w:tr>
      <w:tr w:rsidR="00D810C4" w:rsidRPr="002B4B4D" w14:paraId="31A9C4CC" w14:textId="77777777" w:rsidTr="0063788F">
        <w:trPr>
          <w:trHeight w:val="20"/>
        </w:trPr>
        <w:tc>
          <w:tcPr>
            <w:tcW w:w="1555" w:type="dxa"/>
          </w:tcPr>
          <w:p w14:paraId="7D80C9D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50CCC0F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UMLS:ICD10CM:E27.40</w:t>
            </w:r>
          </w:p>
        </w:tc>
        <w:tc>
          <w:tcPr>
            <w:tcW w:w="5103" w:type="dxa"/>
          </w:tcPr>
          <w:p w14:paraId="5A134E25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Unspecified adrenocortical insufficiency</w:t>
            </w:r>
          </w:p>
        </w:tc>
      </w:tr>
      <w:tr w:rsidR="00D810C4" w:rsidRPr="002B4B4D" w14:paraId="0D0B046B" w14:textId="77777777" w:rsidTr="0063788F">
        <w:trPr>
          <w:trHeight w:val="20"/>
        </w:trPr>
        <w:tc>
          <w:tcPr>
            <w:tcW w:w="1555" w:type="dxa"/>
          </w:tcPr>
          <w:p w14:paraId="58EF9A67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B03488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UMLS:ICD10CM:E10.9</w:t>
            </w:r>
          </w:p>
        </w:tc>
        <w:tc>
          <w:tcPr>
            <w:tcW w:w="5103" w:type="dxa"/>
          </w:tcPr>
          <w:p w14:paraId="4801EDC2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Type 1 diabetes mellitus without complications</w:t>
            </w:r>
          </w:p>
        </w:tc>
      </w:tr>
      <w:tr w:rsidR="00D810C4" w:rsidRPr="002B4B4D" w14:paraId="50900445" w14:textId="77777777" w:rsidTr="0063788F">
        <w:trPr>
          <w:trHeight w:val="20"/>
        </w:trPr>
        <w:tc>
          <w:tcPr>
            <w:tcW w:w="1555" w:type="dxa"/>
          </w:tcPr>
          <w:p w14:paraId="7AB547A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78A8FC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UMLS:ICD10CM:E13.9</w:t>
            </w:r>
          </w:p>
        </w:tc>
        <w:tc>
          <w:tcPr>
            <w:tcW w:w="5103" w:type="dxa"/>
          </w:tcPr>
          <w:p w14:paraId="39BADBD3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Other specified diabetes mellitus without complications</w:t>
            </w:r>
          </w:p>
        </w:tc>
      </w:tr>
      <w:tr w:rsidR="00D810C4" w:rsidRPr="002B4B4D" w14:paraId="3AA9F1C6" w14:textId="77777777" w:rsidTr="0063788F">
        <w:trPr>
          <w:trHeight w:val="20"/>
        </w:trPr>
        <w:tc>
          <w:tcPr>
            <w:tcW w:w="1555" w:type="dxa"/>
          </w:tcPr>
          <w:p w14:paraId="4000A40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3A0AB81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UMLS:ICD10CM:T45.AX5</w:t>
            </w:r>
          </w:p>
        </w:tc>
        <w:tc>
          <w:tcPr>
            <w:tcW w:w="5103" w:type="dxa"/>
          </w:tcPr>
          <w:p w14:paraId="75E05857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Adverse effect of immune checkpoint inhibitors and immunostimulant drugs</w:t>
            </w:r>
          </w:p>
        </w:tc>
      </w:tr>
      <w:tr w:rsidR="00D810C4" w:rsidRPr="002B4B4D" w14:paraId="1E3D26AC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24AD0FA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7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: Neutropenia/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A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granulocytosis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the following)</w:t>
            </w:r>
          </w:p>
        </w:tc>
      </w:tr>
      <w:tr w:rsidR="00D810C4" w:rsidRPr="002B4B4D" w14:paraId="517E0763" w14:textId="77777777" w:rsidTr="0063788F">
        <w:trPr>
          <w:trHeight w:val="20"/>
        </w:trPr>
        <w:tc>
          <w:tcPr>
            <w:tcW w:w="1555" w:type="dxa"/>
          </w:tcPr>
          <w:p w14:paraId="2B015B2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6E1258E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UMLS:ICD10CM:D70.1</w:t>
            </w:r>
          </w:p>
        </w:tc>
        <w:tc>
          <w:tcPr>
            <w:tcW w:w="5103" w:type="dxa"/>
          </w:tcPr>
          <w:p w14:paraId="50EA8F08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Agranulocytosis secondary to cancer chemotherapy</w:t>
            </w:r>
          </w:p>
        </w:tc>
      </w:tr>
      <w:tr w:rsidR="00D810C4" w:rsidRPr="002B4B4D" w14:paraId="52218DAF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6AEE46D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lastRenderedPageBreak/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8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Peripheral neuropathy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the following)</w:t>
            </w:r>
          </w:p>
        </w:tc>
      </w:tr>
      <w:tr w:rsidR="00D810C4" w:rsidRPr="002B4B4D" w14:paraId="20B811DC" w14:textId="77777777" w:rsidTr="0063788F">
        <w:trPr>
          <w:trHeight w:val="20"/>
        </w:trPr>
        <w:tc>
          <w:tcPr>
            <w:tcW w:w="1555" w:type="dxa"/>
          </w:tcPr>
          <w:p w14:paraId="6C45671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D90A22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UMLS:ICD10CM:G62.0</w:t>
            </w:r>
          </w:p>
        </w:tc>
        <w:tc>
          <w:tcPr>
            <w:tcW w:w="5103" w:type="dxa"/>
          </w:tcPr>
          <w:p w14:paraId="70A90F2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Drug-induced polyneuropathy</w:t>
            </w:r>
          </w:p>
        </w:tc>
      </w:tr>
      <w:tr w:rsidR="00D810C4" w:rsidRPr="002B4B4D" w14:paraId="05E295D6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5091D69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9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All-cause hospitalization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4109EDAE" w14:textId="77777777" w:rsidTr="0063788F">
        <w:trPr>
          <w:trHeight w:val="20"/>
        </w:trPr>
        <w:tc>
          <w:tcPr>
            <w:tcW w:w="1555" w:type="dxa"/>
          </w:tcPr>
          <w:p w14:paraId="609AD59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Visit</w:t>
            </w:r>
          </w:p>
        </w:tc>
        <w:tc>
          <w:tcPr>
            <w:tcW w:w="2976" w:type="dxa"/>
          </w:tcPr>
          <w:p w14:paraId="2F00A0B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UMLS:HL7V3.0:VisitType:IMP</w:t>
            </w:r>
          </w:p>
        </w:tc>
        <w:tc>
          <w:tcPr>
            <w:tcW w:w="5103" w:type="dxa"/>
          </w:tcPr>
          <w:p w14:paraId="4622D31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Visit: Inpatient Encounter</w:t>
            </w:r>
          </w:p>
        </w:tc>
      </w:tr>
      <w:tr w:rsidR="00D810C4" w:rsidRPr="002B4B4D" w14:paraId="10186326" w14:textId="77777777" w:rsidTr="0063788F">
        <w:trPr>
          <w:trHeight w:val="20"/>
        </w:trPr>
        <w:tc>
          <w:tcPr>
            <w:tcW w:w="1555" w:type="dxa"/>
          </w:tcPr>
          <w:p w14:paraId="34F0068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7736319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UMLS:CPT:99221</w:t>
            </w:r>
          </w:p>
        </w:tc>
        <w:tc>
          <w:tcPr>
            <w:tcW w:w="5103" w:type="dxa"/>
          </w:tcPr>
          <w:p w14:paraId="751A616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Initial hospital inpatient or observation care, per day, for the evaluation and management of a patient, which requires a medically appropriate history and/or examination and straightforward or low level medical decision making. When using total time on the date of the encounter for code selection, 40 minutes must be met or exceeded.</w:t>
            </w:r>
          </w:p>
        </w:tc>
      </w:tr>
      <w:tr w:rsidR="00D810C4" w:rsidRPr="002B4B4D" w14:paraId="2B49E496" w14:textId="77777777" w:rsidTr="0063788F">
        <w:trPr>
          <w:trHeight w:val="20"/>
        </w:trPr>
        <w:tc>
          <w:tcPr>
            <w:tcW w:w="1555" w:type="dxa"/>
          </w:tcPr>
          <w:p w14:paraId="12A0667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2E87F63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UMLS:CPT:99222</w:t>
            </w:r>
          </w:p>
        </w:tc>
        <w:tc>
          <w:tcPr>
            <w:tcW w:w="5103" w:type="dxa"/>
          </w:tcPr>
          <w:p w14:paraId="30FE6A8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Initial hospital inpatient or observation care, per day, for the evaluation and management of a patient, which requires a medically appropriate history and/or examination and moderate level of medical decision making. When using total time on the date of the encounter for code selection, 55 minutes must be met or exceeded.</w:t>
            </w:r>
          </w:p>
        </w:tc>
      </w:tr>
      <w:tr w:rsidR="00D810C4" w:rsidRPr="002B4B4D" w14:paraId="69E5D4DA" w14:textId="77777777" w:rsidTr="0063788F">
        <w:trPr>
          <w:trHeight w:val="20"/>
        </w:trPr>
        <w:tc>
          <w:tcPr>
            <w:tcW w:w="1555" w:type="dxa"/>
          </w:tcPr>
          <w:p w14:paraId="4CD307A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56D9CEF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UMLS:CPT:99223</w:t>
            </w:r>
          </w:p>
        </w:tc>
        <w:tc>
          <w:tcPr>
            <w:tcW w:w="5103" w:type="dxa"/>
          </w:tcPr>
          <w:p w14:paraId="7CE4A048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Initial hospital inpatient or observation care, per day, for the evaluation and management of a patient, which requires a medically appropriate history and/or examination and high level of medical decision making. When using total time on the date of the encounter for code selection, 75 minutes must be met or exceeded.</w:t>
            </w:r>
          </w:p>
        </w:tc>
      </w:tr>
      <w:tr w:rsidR="00D810C4" w:rsidRPr="002B4B4D" w14:paraId="418234E8" w14:textId="77777777" w:rsidTr="0063788F">
        <w:trPr>
          <w:trHeight w:val="20"/>
        </w:trPr>
        <w:tc>
          <w:tcPr>
            <w:tcW w:w="1555" w:type="dxa"/>
          </w:tcPr>
          <w:p w14:paraId="3123A23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3F12C47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UMLS:CPT:99231</w:t>
            </w:r>
          </w:p>
        </w:tc>
        <w:tc>
          <w:tcPr>
            <w:tcW w:w="5103" w:type="dxa"/>
          </w:tcPr>
          <w:p w14:paraId="4E08C534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Subsequent hospital inpatient or observation care, per day, for the evaluation and management of a patient, which requires a medically appropriate history and/or examination and straightforward or low level of medical decision making. When using total time on the date of the encounter for code selection, 25 minutes must be met or exceeded.</w:t>
            </w:r>
          </w:p>
        </w:tc>
      </w:tr>
      <w:tr w:rsidR="00D810C4" w:rsidRPr="002B4B4D" w14:paraId="5337284E" w14:textId="77777777" w:rsidTr="0063788F">
        <w:trPr>
          <w:trHeight w:val="20"/>
        </w:trPr>
        <w:tc>
          <w:tcPr>
            <w:tcW w:w="1555" w:type="dxa"/>
          </w:tcPr>
          <w:p w14:paraId="3B347A07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673A3EE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UMLS:CPT:99232</w:t>
            </w:r>
          </w:p>
        </w:tc>
        <w:tc>
          <w:tcPr>
            <w:tcW w:w="5103" w:type="dxa"/>
          </w:tcPr>
          <w:p w14:paraId="408BEE06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Subsequent hospital inpatient or observation care, per day, for the evaluation and management of a patient, which requires a medically appropriate history and/or examination and moderate level of medical decision making. When using total time on the date of the encounter for code selection, 35 minutes must be met or exceeded.</w:t>
            </w:r>
          </w:p>
        </w:tc>
      </w:tr>
      <w:tr w:rsidR="00D810C4" w:rsidRPr="002B4B4D" w14:paraId="45497741" w14:textId="77777777" w:rsidTr="0063788F">
        <w:trPr>
          <w:trHeight w:val="20"/>
        </w:trPr>
        <w:tc>
          <w:tcPr>
            <w:tcW w:w="1555" w:type="dxa"/>
          </w:tcPr>
          <w:p w14:paraId="0612272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0174F5D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UMLS:CPT:99233</w:t>
            </w:r>
          </w:p>
        </w:tc>
        <w:tc>
          <w:tcPr>
            <w:tcW w:w="5103" w:type="dxa"/>
          </w:tcPr>
          <w:p w14:paraId="7F06DC97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Subsequent hospital inpatient or observation care, per day, for the evaluation and management of a patient, which requires a medically appropriate history and/or examination and high level of medical decision making. When using total time on the date of the encounter for code selection, 50 minutes must be met or exceeded.</w:t>
            </w:r>
          </w:p>
        </w:tc>
      </w:tr>
      <w:tr w:rsidR="00D810C4" w:rsidRPr="002B4B4D" w14:paraId="3A99AE8D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2E70DB4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10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: ICU/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C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ritical care use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1456D15C" w14:textId="77777777" w:rsidTr="0063788F">
        <w:trPr>
          <w:trHeight w:val="20"/>
        </w:trPr>
        <w:tc>
          <w:tcPr>
            <w:tcW w:w="1555" w:type="dxa"/>
          </w:tcPr>
          <w:p w14:paraId="34CA3D0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4D94EFC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UMLS:CPT:99291</w:t>
            </w:r>
          </w:p>
        </w:tc>
        <w:tc>
          <w:tcPr>
            <w:tcW w:w="5103" w:type="dxa"/>
          </w:tcPr>
          <w:p w14:paraId="65C010F1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Critical care, evaluation and management of the critically ill or critically injured patient; first 30-74 minutes</w:t>
            </w:r>
          </w:p>
        </w:tc>
      </w:tr>
      <w:tr w:rsidR="00D810C4" w:rsidRPr="002B4B4D" w14:paraId="1576376B" w14:textId="77777777" w:rsidTr="0063788F">
        <w:trPr>
          <w:trHeight w:val="20"/>
        </w:trPr>
        <w:tc>
          <w:tcPr>
            <w:tcW w:w="1555" w:type="dxa"/>
          </w:tcPr>
          <w:p w14:paraId="61AA67C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615CF1D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UMLS:CPT:99292</w:t>
            </w:r>
          </w:p>
        </w:tc>
        <w:tc>
          <w:tcPr>
            <w:tcW w:w="5103" w:type="dxa"/>
          </w:tcPr>
          <w:p w14:paraId="45B6EB85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Critical care, evaluation and management of the critically ill or critically injured patient; each additional 30 minutes (List separately in addition to code for primary service)</w:t>
            </w:r>
          </w:p>
        </w:tc>
      </w:tr>
      <w:tr w:rsidR="00D810C4" w:rsidRPr="002B4B4D" w14:paraId="6309958D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7338BF2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11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Emergency department visits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508C53A9" w14:textId="77777777" w:rsidTr="0063788F">
        <w:trPr>
          <w:trHeight w:val="20"/>
        </w:trPr>
        <w:tc>
          <w:tcPr>
            <w:tcW w:w="1555" w:type="dxa"/>
          </w:tcPr>
          <w:p w14:paraId="01BB3B6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06E1ED6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UMLS:CPT:99281</w:t>
            </w:r>
          </w:p>
        </w:tc>
        <w:tc>
          <w:tcPr>
            <w:tcW w:w="5103" w:type="dxa"/>
          </w:tcPr>
          <w:p w14:paraId="245E4BBD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Emergency department visit for the evaluation and management of a patient that may not require the presence of a physician or other qualified health care professional</w:t>
            </w:r>
          </w:p>
        </w:tc>
      </w:tr>
      <w:tr w:rsidR="00D810C4" w:rsidRPr="002B4B4D" w14:paraId="7D25AEE7" w14:textId="77777777" w:rsidTr="0063788F">
        <w:trPr>
          <w:trHeight w:val="20"/>
        </w:trPr>
        <w:tc>
          <w:tcPr>
            <w:tcW w:w="1555" w:type="dxa"/>
          </w:tcPr>
          <w:p w14:paraId="32726C5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lastRenderedPageBreak/>
              <w:t>Procedure</w:t>
            </w:r>
          </w:p>
        </w:tc>
        <w:tc>
          <w:tcPr>
            <w:tcW w:w="2976" w:type="dxa"/>
          </w:tcPr>
          <w:p w14:paraId="6AB279E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UMLS:CPT:99282</w:t>
            </w:r>
          </w:p>
        </w:tc>
        <w:tc>
          <w:tcPr>
            <w:tcW w:w="5103" w:type="dxa"/>
          </w:tcPr>
          <w:p w14:paraId="5BFC67C4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Emergency department visit for the evaluation and management of a patient, which requires a medically appropriate history and/or examination and straightforward medical decision making</w:t>
            </w:r>
          </w:p>
        </w:tc>
      </w:tr>
      <w:tr w:rsidR="00D810C4" w:rsidRPr="002B4B4D" w14:paraId="2F500F13" w14:textId="77777777" w:rsidTr="0063788F">
        <w:trPr>
          <w:trHeight w:val="20"/>
        </w:trPr>
        <w:tc>
          <w:tcPr>
            <w:tcW w:w="1555" w:type="dxa"/>
          </w:tcPr>
          <w:p w14:paraId="29B3D8E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739572B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UMLS:CPT:99283</w:t>
            </w:r>
          </w:p>
        </w:tc>
        <w:tc>
          <w:tcPr>
            <w:tcW w:w="5103" w:type="dxa"/>
          </w:tcPr>
          <w:p w14:paraId="475F5516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Emergency department visit for the evaluation and management of a patient, which requires a medically appropriate history and/or examination and low level of medical decision making</w:t>
            </w:r>
          </w:p>
        </w:tc>
      </w:tr>
      <w:tr w:rsidR="00D810C4" w:rsidRPr="002B4B4D" w14:paraId="09A6202F" w14:textId="77777777" w:rsidTr="0063788F">
        <w:trPr>
          <w:trHeight w:val="20"/>
        </w:trPr>
        <w:tc>
          <w:tcPr>
            <w:tcW w:w="1555" w:type="dxa"/>
          </w:tcPr>
          <w:p w14:paraId="2D5F1CD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34E1AB1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UMLS:CPT:99284</w:t>
            </w:r>
          </w:p>
        </w:tc>
        <w:tc>
          <w:tcPr>
            <w:tcW w:w="5103" w:type="dxa"/>
          </w:tcPr>
          <w:p w14:paraId="506D3C10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Emergency department visit for the evaluation and management of a patient, which requires a medically appropriate history and/or examination and moderate level of medical decision making</w:t>
            </w:r>
          </w:p>
        </w:tc>
      </w:tr>
      <w:tr w:rsidR="00D810C4" w:rsidRPr="002B4B4D" w14:paraId="581A8624" w14:textId="77777777" w:rsidTr="0063788F">
        <w:trPr>
          <w:trHeight w:val="20"/>
        </w:trPr>
        <w:tc>
          <w:tcPr>
            <w:tcW w:w="1555" w:type="dxa"/>
          </w:tcPr>
          <w:p w14:paraId="452D73E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7BC4540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UMLS:CPT:99285</w:t>
            </w:r>
          </w:p>
        </w:tc>
        <w:tc>
          <w:tcPr>
            <w:tcW w:w="5103" w:type="dxa"/>
          </w:tcPr>
          <w:p w14:paraId="35D8C56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Emergency department visit for the evaluation and management of a patient, which requires a medically appropriate history and/or examination and high level of medical decision making</w:t>
            </w:r>
          </w:p>
        </w:tc>
      </w:tr>
      <w:tr w:rsidR="00D810C4" w:rsidRPr="002B4B4D" w14:paraId="72C9F50E" w14:textId="77777777" w:rsidTr="0063788F">
        <w:trPr>
          <w:trHeight w:val="20"/>
        </w:trPr>
        <w:tc>
          <w:tcPr>
            <w:tcW w:w="1555" w:type="dxa"/>
          </w:tcPr>
          <w:p w14:paraId="0C98FEF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647A85E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UMLS:CPT:99291</w:t>
            </w:r>
          </w:p>
        </w:tc>
        <w:tc>
          <w:tcPr>
            <w:tcW w:w="5103" w:type="dxa"/>
          </w:tcPr>
          <w:p w14:paraId="4B6EC00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Critical care, evaluation and management of the critically ill or critically injured patient; first 30-74 minutes</w:t>
            </w:r>
          </w:p>
        </w:tc>
      </w:tr>
      <w:tr w:rsidR="00D810C4" w:rsidRPr="002B4B4D" w14:paraId="55D9EC26" w14:textId="77777777" w:rsidTr="0063788F">
        <w:trPr>
          <w:trHeight w:val="20"/>
        </w:trPr>
        <w:tc>
          <w:tcPr>
            <w:tcW w:w="1555" w:type="dxa"/>
          </w:tcPr>
          <w:p w14:paraId="48CB077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2FEADB0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UMLS:CPT:99292</w:t>
            </w:r>
          </w:p>
        </w:tc>
        <w:tc>
          <w:tcPr>
            <w:tcW w:w="5103" w:type="dxa"/>
          </w:tcPr>
          <w:p w14:paraId="5FE1006B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Critical care, evaluation and management of the critically ill or critically injured patient; each additional 30 minutes (List separately in addition to code for primary service)</w:t>
            </w:r>
          </w:p>
        </w:tc>
      </w:tr>
      <w:tr w:rsidR="00D810C4" w:rsidRPr="002B4B4D" w14:paraId="14BA0A00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2445617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12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Sarcopenia/Cachexia/Malnutrition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7B129F7A" w14:textId="77777777" w:rsidTr="0063788F">
        <w:trPr>
          <w:trHeight w:val="20"/>
        </w:trPr>
        <w:tc>
          <w:tcPr>
            <w:tcW w:w="1555" w:type="dxa"/>
          </w:tcPr>
          <w:p w14:paraId="401E52B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66579FC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UMLS:ICD10CM:M62.84</w:t>
            </w:r>
          </w:p>
        </w:tc>
        <w:tc>
          <w:tcPr>
            <w:tcW w:w="5103" w:type="dxa"/>
          </w:tcPr>
          <w:p w14:paraId="4A996DB5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Sarcopenia</w:t>
            </w:r>
          </w:p>
        </w:tc>
      </w:tr>
      <w:tr w:rsidR="00D810C4" w:rsidRPr="002B4B4D" w14:paraId="6689D842" w14:textId="77777777" w:rsidTr="0063788F">
        <w:trPr>
          <w:trHeight w:val="20"/>
        </w:trPr>
        <w:tc>
          <w:tcPr>
            <w:tcW w:w="1555" w:type="dxa"/>
          </w:tcPr>
          <w:p w14:paraId="147D0CA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C5B036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UMLS:ICD10CM:R64</w:t>
            </w:r>
          </w:p>
        </w:tc>
        <w:tc>
          <w:tcPr>
            <w:tcW w:w="5103" w:type="dxa"/>
          </w:tcPr>
          <w:p w14:paraId="6A9EBB71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Cachexia</w:t>
            </w:r>
          </w:p>
        </w:tc>
      </w:tr>
      <w:tr w:rsidR="00D810C4" w:rsidRPr="002B4B4D" w14:paraId="3DAB9B3F" w14:textId="77777777" w:rsidTr="0063788F">
        <w:trPr>
          <w:trHeight w:val="20"/>
        </w:trPr>
        <w:tc>
          <w:tcPr>
            <w:tcW w:w="1555" w:type="dxa"/>
          </w:tcPr>
          <w:p w14:paraId="513A3FA1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42A7F3A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UMLS:ICD10CM:E43</w:t>
            </w:r>
          </w:p>
        </w:tc>
        <w:tc>
          <w:tcPr>
            <w:tcW w:w="5103" w:type="dxa"/>
          </w:tcPr>
          <w:p w14:paraId="403B4AA6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Unspecified severe protein-calorie malnutrition</w:t>
            </w:r>
          </w:p>
        </w:tc>
      </w:tr>
      <w:tr w:rsidR="00D810C4" w:rsidRPr="002B4B4D" w14:paraId="44DA7359" w14:textId="77777777" w:rsidTr="0063788F">
        <w:trPr>
          <w:trHeight w:val="20"/>
        </w:trPr>
        <w:tc>
          <w:tcPr>
            <w:tcW w:w="1555" w:type="dxa"/>
          </w:tcPr>
          <w:p w14:paraId="7B6F8AA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127803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UMLS:ICD10CM:E44</w:t>
            </w:r>
          </w:p>
        </w:tc>
        <w:tc>
          <w:tcPr>
            <w:tcW w:w="5103" w:type="dxa"/>
          </w:tcPr>
          <w:p w14:paraId="636F6DF6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Protein-calorie malnutrition of moderate and mild degree</w:t>
            </w:r>
          </w:p>
        </w:tc>
      </w:tr>
      <w:tr w:rsidR="00D810C4" w:rsidRPr="002B4B4D" w14:paraId="633B9C0C" w14:textId="77777777" w:rsidTr="0063788F">
        <w:trPr>
          <w:trHeight w:val="20"/>
        </w:trPr>
        <w:tc>
          <w:tcPr>
            <w:tcW w:w="1555" w:type="dxa"/>
          </w:tcPr>
          <w:p w14:paraId="0B8801B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BB7726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UMLS:ICD10CM:E46</w:t>
            </w:r>
          </w:p>
        </w:tc>
        <w:tc>
          <w:tcPr>
            <w:tcW w:w="5103" w:type="dxa"/>
          </w:tcPr>
          <w:p w14:paraId="47AD6D01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Unspecified protein-calorie malnutrition</w:t>
            </w:r>
          </w:p>
        </w:tc>
      </w:tr>
      <w:tr w:rsidR="00D810C4" w:rsidRPr="002B4B4D" w14:paraId="6FFAF28B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00DE6CA7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13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Acute pancreatitis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6C93775A" w14:textId="77777777" w:rsidTr="0063788F">
        <w:trPr>
          <w:trHeight w:val="20"/>
        </w:trPr>
        <w:tc>
          <w:tcPr>
            <w:tcW w:w="1555" w:type="dxa"/>
          </w:tcPr>
          <w:p w14:paraId="0937C15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B0051B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UMLS:ICD10CM:K85</w:t>
            </w:r>
          </w:p>
        </w:tc>
        <w:tc>
          <w:tcPr>
            <w:tcW w:w="5103" w:type="dxa"/>
          </w:tcPr>
          <w:p w14:paraId="164B94AD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Acute pancreatitis</w:t>
            </w:r>
          </w:p>
        </w:tc>
      </w:tr>
      <w:tr w:rsidR="00D810C4" w:rsidRPr="002B4B4D" w14:paraId="217F2B0F" w14:textId="77777777" w:rsidTr="0063788F">
        <w:trPr>
          <w:trHeight w:val="20"/>
        </w:trPr>
        <w:tc>
          <w:tcPr>
            <w:tcW w:w="1555" w:type="dxa"/>
          </w:tcPr>
          <w:p w14:paraId="7056B4F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4969A94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UMLS:CPT:74160</w:t>
            </w:r>
          </w:p>
        </w:tc>
        <w:tc>
          <w:tcPr>
            <w:tcW w:w="5103" w:type="dxa"/>
          </w:tcPr>
          <w:p w14:paraId="758F9CC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Computed tomography, abdomen; with contrast material(s)</w:t>
            </w:r>
          </w:p>
        </w:tc>
      </w:tr>
      <w:tr w:rsidR="00D810C4" w:rsidRPr="002B4B4D" w14:paraId="75D02840" w14:textId="77777777" w:rsidTr="0063788F">
        <w:trPr>
          <w:trHeight w:val="20"/>
        </w:trPr>
        <w:tc>
          <w:tcPr>
            <w:tcW w:w="1555" w:type="dxa"/>
          </w:tcPr>
          <w:p w14:paraId="26A395F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6CBD3BC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UMLS:CPT:43264</w:t>
            </w:r>
          </w:p>
        </w:tc>
        <w:tc>
          <w:tcPr>
            <w:tcW w:w="5103" w:type="dxa"/>
          </w:tcPr>
          <w:p w14:paraId="32AB6F0E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Endoscopic retrograde cholangiopancreatography (ERCP); with removal of calculi/debris from biliary/pancreatic duct(s)</w:t>
            </w:r>
          </w:p>
        </w:tc>
      </w:tr>
      <w:tr w:rsidR="00D810C4" w:rsidRPr="002B4B4D" w14:paraId="51E2A041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4DA519F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14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Cholelithiasis/Cholecystitis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32050F19" w14:textId="77777777" w:rsidTr="0063788F">
        <w:trPr>
          <w:trHeight w:val="20"/>
        </w:trPr>
        <w:tc>
          <w:tcPr>
            <w:tcW w:w="1555" w:type="dxa"/>
          </w:tcPr>
          <w:p w14:paraId="7E2AB0E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46D29A1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UMLS:ICD10CM:K80</w:t>
            </w:r>
          </w:p>
        </w:tc>
        <w:tc>
          <w:tcPr>
            <w:tcW w:w="5103" w:type="dxa"/>
          </w:tcPr>
          <w:p w14:paraId="186D3E8B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Cholelithiasis</w:t>
            </w:r>
          </w:p>
        </w:tc>
      </w:tr>
      <w:tr w:rsidR="00D810C4" w:rsidRPr="002B4B4D" w14:paraId="76208484" w14:textId="77777777" w:rsidTr="0063788F">
        <w:trPr>
          <w:trHeight w:val="20"/>
        </w:trPr>
        <w:tc>
          <w:tcPr>
            <w:tcW w:w="1555" w:type="dxa"/>
          </w:tcPr>
          <w:p w14:paraId="0720F931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7048EB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UMLS:ICD10CM:K81</w:t>
            </w:r>
          </w:p>
        </w:tc>
        <w:tc>
          <w:tcPr>
            <w:tcW w:w="5103" w:type="dxa"/>
          </w:tcPr>
          <w:p w14:paraId="24E4BC82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Cholecystitis</w:t>
            </w:r>
          </w:p>
        </w:tc>
      </w:tr>
      <w:tr w:rsidR="00D810C4" w:rsidRPr="002B4B4D" w14:paraId="054B86E2" w14:textId="77777777" w:rsidTr="0063788F">
        <w:trPr>
          <w:trHeight w:val="20"/>
        </w:trPr>
        <w:tc>
          <w:tcPr>
            <w:tcW w:w="1555" w:type="dxa"/>
          </w:tcPr>
          <w:p w14:paraId="5888AC1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0E3FF7F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UMLS:CPT:47562</w:t>
            </w:r>
          </w:p>
        </w:tc>
        <w:tc>
          <w:tcPr>
            <w:tcW w:w="5103" w:type="dxa"/>
          </w:tcPr>
          <w:p w14:paraId="47182B8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Laparoscopy, surgical; cholecystectomy</w:t>
            </w:r>
          </w:p>
        </w:tc>
      </w:tr>
      <w:tr w:rsidR="00D810C4" w:rsidRPr="002B4B4D" w14:paraId="0732274D" w14:textId="77777777" w:rsidTr="0063788F">
        <w:trPr>
          <w:trHeight w:val="20"/>
        </w:trPr>
        <w:tc>
          <w:tcPr>
            <w:tcW w:w="1555" w:type="dxa"/>
          </w:tcPr>
          <w:p w14:paraId="3D824A9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4A746F6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UMLS:CPT:47563</w:t>
            </w:r>
          </w:p>
        </w:tc>
        <w:tc>
          <w:tcPr>
            <w:tcW w:w="5103" w:type="dxa"/>
          </w:tcPr>
          <w:p w14:paraId="6FE38A00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Laparoscopy, surgical; cholecystectomy with cholangiography</w:t>
            </w:r>
          </w:p>
        </w:tc>
      </w:tr>
      <w:tr w:rsidR="00D810C4" w:rsidRPr="002B4B4D" w14:paraId="328AAC72" w14:textId="77777777" w:rsidTr="0063788F">
        <w:trPr>
          <w:trHeight w:val="20"/>
        </w:trPr>
        <w:tc>
          <w:tcPr>
            <w:tcW w:w="1555" w:type="dxa"/>
          </w:tcPr>
          <w:p w14:paraId="2A1A6DD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52F4CC2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UMLS:CPT:47564</w:t>
            </w:r>
          </w:p>
        </w:tc>
        <w:tc>
          <w:tcPr>
            <w:tcW w:w="5103" w:type="dxa"/>
          </w:tcPr>
          <w:p w14:paraId="14483E4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Laparoscopy, surgical; cholecystectomy with exploration of common duct</w:t>
            </w:r>
          </w:p>
        </w:tc>
      </w:tr>
      <w:tr w:rsidR="00D810C4" w:rsidRPr="002B4B4D" w14:paraId="353EDE4E" w14:textId="77777777" w:rsidTr="0063788F">
        <w:trPr>
          <w:trHeight w:val="20"/>
        </w:trPr>
        <w:tc>
          <w:tcPr>
            <w:tcW w:w="1555" w:type="dxa"/>
          </w:tcPr>
          <w:p w14:paraId="0D066C2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4A6FECB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UMLS:CPT:47480</w:t>
            </w:r>
          </w:p>
        </w:tc>
        <w:tc>
          <w:tcPr>
            <w:tcW w:w="5103" w:type="dxa"/>
          </w:tcPr>
          <w:p w14:paraId="42D9B69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Cholecystotomy or cholecystostomy, open, with exploration, drainage, or removal of calculus (separate procedure)</w:t>
            </w:r>
          </w:p>
        </w:tc>
      </w:tr>
      <w:tr w:rsidR="00D810C4" w:rsidRPr="002B4B4D" w14:paraId="6F0A1F0E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47E31E31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15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NAION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7C112AF4" w14:textId="77777777" w:rsidTr="0063788F">
        <w:trPr>
          <w:trHeight w:val="20"/>
        </w:trPr>
        <w:tc>
          <w:tcPr>
            <w:tcW w:w="1555" w:type="dxa"/>
          </w:tcPr>
          <w:p w14:paraId="7256537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4CC23E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UMLS:ICD10CM:H47.01</w:t>
            </w:r>
          </w:p>
        </w:tc>
        <w:tc>
          <w:tcPr>
            <w:tcW w:w="5103" w:type="dxa"/>
          </w:tcPr>
          <w:p w14:paraId="5689B5D2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Ischemic optic neuropathy</w:t>
            </w:r>
          </w:p>
        </w:tc>
      </w:tr>
      <w:tr w:rsidR="00D810C4" w:rsidRPr="002B4B4D" w14:paraId="1162BAFC" w14:textId="77777777" w:rsidTr="0063788F">
        <w:trPr>
          <w:trHeight w:val="20"/>
        </w:trPr>
        <w:tc>
          <w:tcPr>
            <w:tcW w:w="1555" w:type="dxa"/>
          </w:tcPr>
          <w:p w14:paraId="39A9C18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4072780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UMLS:CPT:92134</w:t>
            </w:r>
          </w:p>
        </w:tc>
        <w:tc>
          <w:tcPr>
            <w:tcW w:w="5103" w:type="dxa"/>
          </w:tcPr>
          <w:p w14:paraId="027303BA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Scanning computerized ophthalmic diagnostic imaging, posterior segment, with interpretation and report, unilateral or bilateral; retina</w:t>
            </w:r>
          </w:p>
        </w:tc>
      </w:tr>
      <w:tr w:rsidR="00D810C4" w:rsidRPr="002B4B4D" w14:paraId="48F47E97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13AC02C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16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: Drug</w:t>
            </w:r>
            <w:r w:rsidRPr="002B4B4D">
              <w:rPr>
                <w:rFonts w:ascii="Cambria Math" w:hAnsi="Cambria Math" w:cs="Cambria Math"/>
                <w:b/>
                <w:bCs/>
                <w:color w:val="000000" w:themeColor="text1"/>
                <w:sz w:val="21"/>
                <w:szCs w:val="21"/>
              </w:rPr>
              <w:t>‑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induced hypoglycaemia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0C0F4C9C" w14:textId="77777777" w:rsidTr="0063788F">
        <w:trPr>
          <w:trHeight w:val="20"/>
        </w:trPr>
        <w:tc>
          <w:tcPr>
            <w:tcW w:w="1555" w:type="dxa"/>
          </w:tcPr>
          <w:p w14:paraId="66A933F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43B145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UMLS:ICD10CM:E16.0</w:t>
            </w:r>
          </w:p>
        </w:tc>
        <w:tc>
          <w:tcPr>
            <w:tcW w:w="5103" w:type="dxa"/>
          </w:tcPr>
          <w:p w14:paraId="69877137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Drug-induced hypoglycemia without coma</w:t>
            </w:r>
          </w:p>
        </w:tc>
      </w:tr>
      <w:tr w:rsidR="00D810C4" w:rsidRPr="002B4B4D" w14:paraId="03609515" w14:textId="77777777" w:rsidTr="0063788F">
        <w:trPr>
          <w:trHeight w:val="20"/>
        </w:trPr>
        <w:tc>
          <w:tcPr>
            <w:tcW w:w="1555" w:type="dxa"/>
          </w:tcPr>
          <w:p w14:paraId="41FAB94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lastRenderedPageBreak/>
              <w:t>Diagnosis</w:t>
            </w:r>
          </w:p>
        </w:tc>
        <w:tc>
          <w:tcPr>
            <w:tcW w:w="2976" w:type="dxa"/>
          </w:tcPr>
          <w:p w14:paraId="4AA323B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UMLS:ICD10CM:E11.64</w:t>
            </w:r>
          </w:p>
        </w:tc>
        <w:tc>
          <w:tcPr>
            <w:tcW w:w="5103" w:type="dxa"/>
          </w:tcPr>
          <w:p w14:paraId="6F9D5F5E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Type 2 diabetes mellitus with hypoglycemia</w:t>
            </w:r>
          </w:p>
        </w:tc>
      </w:tr>
      <w:tr w:rsidR="00D810C4" w:rsidRPr="002B4B4D" w14:paraId="0E54C338" w14:textId="77777777" w:rsidTr="0063788F">
        <w:trPr>
          <w:trHeight w:val="20"/>
        </w:trPr>
        <w:tc>
          <w:tcPr>
            <w:tcW w:w="1555" w:type="dxa"/>
          </w:tcPr>
          <w:p w14:paraId="2B440AB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6C5CD2C5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UMLS:CPT:96374</w:t>
            </w:r>
          </w:p>
        </w:tc>
        <w:tc>
          <w:tcPr>
            <w:tcW w:w="5103" w:type="dxa"/>
          </w:tcPr>
          <w:p w14:paraId="400EAECD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Therapeutic, prophylactic, or diagnostic injection (specify substance or drug); intravenous push, single or initial substance/drug</w:t>
            </w:r>
          </w:p>
        </w:tc>
      </w:tr>
      <w:tr w:rsidR="00D810C4" w:rsidRPr="002B4B4D" w14:paraId="5F6AD2EB" w14:textId="77777777" w:rsidTr="0063788F">
        <w:trPr>
          <w:trHeight w:val="20"/>
        </w:trPr>
        <w:tc>
          <w:tcPr>
            <w:tcW w:w="1555" w:type="dxa"/>
          </w:tcPr>
          <w:p w14:paraId="64D1FF87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6744C31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UMLS:CPT:96365</w:t>
            </w:r>
          </w:p>
        </w:tc>
        <w:tc>
          <w:tcPr>
            <w:tcW w:w="5103" w:type="dxa"/>
          </w:tcPr>
          <w:p w14:paraId="53FE5760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Intravenous infusion, for therapy, prophylaxis, or diagnosis (specify substance or drug); initial, up to 1 hour</w:t>
            </w:r>
          </w:p>
        </w:tc>
      </w:tr>
      <w:tr w:rsidR="00D810C4" w:rsidRPr="002B4B4D" w14:paraId="14E88D8F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202A616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17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Acute kidney injury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6D69BF3B" w14:textId="77777777" w:rsidTr="0063788F">
        <w:trPr>
          <w:trHeight w:val="20"/>
        </w:trPr>
        <w:tc>
          <w:tcPr>
            <w:tcW w:w="1555" w:type="dxa"/>
          </w:tcPr>
          <w:p w14:paraId="388B5D3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5583347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UMLS:ICD10CM:N17</w:t>
            </w:r>
          </w:p>
        </w:tc>
        <w:tc>
          <w:tcPr>
            <w:tcW w:w="5103" w:type="dxa"/>
          </w:tcPr>
          <w:p w14:paraId="2581536A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Acute kidney failure</w:t>
            </w:r>
          </w:p>
        </w:tc>
      </w:tr>
      <w:tr w:rsidR="00D810C4" w:rsidRPr="002B4B4D" w14:paraId="030A3982" w14:textId="77777777" w:rsidTr="0063788F">
        <w:trPr>
          <w:trHeight w:val="20"/>
        </w:trPr>
        <w:tc>
          <w:tcPr>
            <w:tcW w:w="1555" w:type="dxa"/>
          </w:tcPr>
          <w:p w14:paraId="0CDA1D5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26A4637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UMLS:CPT:90935</w:t>
            </w:r>
          </w:p>
        </w:tc>
        <w:tc>
          <w:tcPr>
            <w:tcW w:w="5103" w:type="dxa"/>
          </w:tcPr>
          <w:p w14:paraId="0B88329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Hemodialysis procedure with single evaluation by a physician or other qualified health care professional</w:t>
            </w:r>
          </w:p>
        </w:tc>
      </w:tr>
      <w:tr w:rsidR="00D810C4" w:rsidRPr="002B4B4D" w14:paraId="0AF0A525" w14:textId="77777777" w:rsidTr="0063788F">
        <w:trPr>
          <w:trHeight w:val="20"/>
        </w:trPr>
        <w:tc>
          <w:tcPr>
            <w:tcW w:w="1555" w:type="dxa"/>
          </w:tcPr>
          <w:p w14:paraId="3A4CD17F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300DC17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UMLS:CPT:90945</w:t>
            </w:r>
          </w:p>
        </w:tc>
        <w:tc>
          <w:tcPr>
            <w:tcW w:w="5103" w:type="dxa"/>
          </w:tcPr>
          <w:p w14:paraId="1AC4CCC7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Dialysis procedure other than hemodialysis (eg, peritoneal dialysis, hemofiltration, or other continuous renal replacement therapies), with single evaluation by a physician or other qualified health care professional</w:t>
            </w:r>
          </w:p>
        </w:tc>
      </w:tr>
      <w:tr w:rsidR="00D810C4" w:rsidRPr="002B4B4D" w14:paraId="018D9EA2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4CFC2E6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18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Dehydration/Orthostatic hypotension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6C7AE795" w14:textId="77777777" w:rsidTr="0063788F">
        <w:trPr>
          <w:trHeight w:val="20"/>
        </w:trPr>
        <w:tc>
          <w:tcPr>
            <w:tcW w:w="1555" w:type="dxa"/>
          </w:tcPr>
          <w:p w14:paraId="310B659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D447F2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UMLS:ICD10CM:E86.0</w:t>
            </w:r>
          </w:p>
        </w:tc>
        <w:tc>
          <w:tcPr>
            <w:tcW w:w="5103" w:type="dxa"/>
          </w:tcPr>
          <w:p w14:paraId="67CE32A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Dehydration</w:t>
            </w:r>
          </w:p>
        </w:tc>
      </w:tr>
      <w:tr w:rsidR="00D810C4" w:rsidRPr="002B4B4D" w14:paraId="201FF90C" w14:textId="77777777" w:rsidTr="0063788F">
        <w:trPr>
          <w:trHeight w:val="20"/>
        </w:trPr>
        <w:tc>
          <w:tcPr>
            <w:tcW w:w="1555" w:type="dxa"/>
          </w:tcPr>
          <w:p w14:paraId="4213215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2F3A55A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UMLS:ICD10CM:I95.1</w:t>
            </w:r>
          </w:p>
        </w:tc>
        <w:tc>
          <w:tcPr>
            <w:tcW w:w="5103" w:type="dxa"/>
          </w:tcPr>
          <w:p w14:paraId="081B7339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Orthostatic hypotension</w:t>
            </w:r>
          </w:p>
        </w:tc>
      </w:tr>
      <w:tr w:rsidR="00D810C4" w:rsidRPr="002B4B4D" w14:paraId="3026294B" w14:textId="77777777" w:rsidTr="0063788F">
        <w:trPr>
          <w:trHeight w:val="20"/>
        </w:trPr>
        <w:tc>
          <w:tcPr>
            <w:tcW w:w="1555" w:type="dxa"/>
          </w:tcPr>
          <w:p w14:paraId="05A202B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334E4F7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UMLS:CPT:96360</w:t>
            </w:r>
          </w:p>
        </w:tc>
        <w:tc>
          <w:tcPr>
            <w:tcW w:w="5103" w:type="dxa"/>
          </w:tcPr>
          <w:p w14:paraId="5E4C4CAB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Intravenous infusion, hydration; initial, 31 minutes to 1 hour</w:t>
            </w:r>
          </w:p>
        </w:tc>
      </w:tr>
      <w:tr w:rsidR="00D810C4" w:rsidRPr="002B4B4D" w14:paraId="157320D1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430AEEA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19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Suicidal ideation/Attempt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4D1D94FD" w14:textId="77777777" w:rsidTr="0063788F">
        <w:trPr>
          <w:trHeight w:val="20"/>
        </w:trPr>
        <w:tc>
          <w:tcPr>
            <w:tcW w:w="1555" w:type="dxa"/>
          </w:tcPr>
          <w:p w14:paraId="7CBEADB7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3A1B43B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  <w:lang w:eastAsia="zh-TW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UMLS:ICD10CM:R45.851</w:t>
            </w:r>
          </w:p>
        </w:tc>
        <w:tc>
          <w:tcPr>
            <w:tcW w:w="5103" w:type="dxa"/>
          </w:tcPr>
          <w:p w14:paraId="43025FAF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Suicidal ideations</w:t>
            </w:r>
          </w:p>
        </w:tc>
      </w:tr>
      <w:tr w:rsidR="00D810C4" w:rsidRPr="002B4B4D" w14:paraId="7150DC3A" w14:textId="77777777" w:rsidTr="0063788F">
        <w:trPr>
          <w:trHeight w:val="20"/>
        </w:trPr>
        <w:tc>
          <w:tcPr>
            <w:tcW w:w="1555" w:type="dxa"/>
          </w:tcPr>
          <w:p w14:paraId="02E994A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55F80C2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UMLS:ICD10CM:T14.91</w:t>
            </w:r>
          </w:p>
        </w:tc>
        <w:tc>
          <w:tcPr>
            <w:tcW w:w="5103" w:type="dxa"/>
          </w:tcPr>
          <w:p w14:paraId="27F807D2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Suicide attempt</w:t>
            </w:r>
          </w:p>
        </w:tc>
      </w:tr>
      <w:tr w:rsidR="00D810C4" w:rsidRPr="002B4B4D" w14:paraId="29670537" w14:textId="77777777" w:rsidTr="0063788F">
        <w:trPr>
          <w:trHeight w:val="20"/>
        </w:trPr>
        <w:tc>
          <w:tcPr>
            <w:tcW w:w="1555" w:type="dxa"/>
          </w:tcPr>
          <w:p w14:paraId="461D8E36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76E5921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UMLS:CPT:90791</w:t>
            </w:r>
          </w:p>
        </w:tc>
        <w:tc>
          <w:tcPr>
            <w:tcW w:w="5103" w:type="dxa"/>
          </w:tcPr>
          <w:p w14:paraId="602292CF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Psychiatric diagnostic evaluation</w:t>
            </w:r>
          </w:p>
        </w:tc>
      </w:tr>
      <w:tr w:rsidR="00D810C4" w:rsidRPr="002B4B4D" w14:paraId="279AC87A" w14:textId="77777777" w:rsidTr="0063788F">
        <w:trPr>
          <w:trHeight w:val="20"/>
        </w:trPr>
        <w:tc>
          <w:tcPr>
            <w:tcW w:w="1555" w:type="dxa"/>
          </w:tcPr>
          <w:p w14:paraId="703FC5A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Procedure</w:t>
            </w:r>
          </w:p>
        </w:tc>
        <w:tc>
          <w:tcPr>
            <w:tcW w:w="2976" w:type="dxa"/>
          </w:tcPr>
          <w:p w14:paraId="598F6E9D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UMLS:CPT:96127</w:t>
            </w:r>
          </w:p>
        </w:tc>
        <w:tc>
          <w:tcPr>
            <w:tcW w:w="5103" w:type="dxa"/>
          </w:tcPr>
          <w:p w14:paraId="6E93651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Brief emotional/behavioral assessment (eg, depression inventory, attention-deficit/hyperactivity disorder [ADHD] scale), with scoring and documentation, per standardized instrument</w:t>
            </w:r>
          </w:p>
        </w:tc>
      </w:tr>
      <w:tr w:rsidR="00D810C4" w:rsidRPr="002B4B4D" w14:paraId="28307481" w14:textId="77777777" w:rsidTr="0063788F">
        <w:trPr>
          <w:trHeight w:val="20"/>
        </w:trPr>
        <w:tc>
          <w:tcPr>
            <w:tcW w:w="9634" w:type="dxa"/>
            <w:gridSpan w:val="3"/>
            <w:vAlign w:val="center"/>
          </w:tcPr>
          <w:p w14:paraId="7809B9F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#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zh-TW"/>
              </w:rPr>
              <w:t>20</w:t>
            </w:r>
            <w:r w:rsidRPr="002B4B4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: NCOs </w:t>
            </w:r>
            <w:r w:rsidRPr="002B4B4D">
              <w:rPr>
                <w:rFonts w:ascii="Arial" w:hAnsi="Arial" w:cs="Arial"/>
                <w:color w:val="000000" w:themeColor="text1"/>
                <w:sz w:val="21"/>
                <w:szCs w:val="21"/>
              </w:rPr>
              <w:t>(have any of the following)</w:t>
            </w:r>
          </w:p>
        </w:tc>
      </w:tr>
      <w:tr w:rsidR="00D810C4" w:rsidRPr="002B4B4D" w14:paraId="6977C52B" w14:textId="77777777" w:rsidTr="0063788F">
        <w:trPr>
          <w:trHeight w:val="20"/>
        </w:trPr>
        <w:tc>
          <w:tcPr>
            <w:tcW w:w="1555" w:type="dxa"/>
          </w:tcPr>
          <w:p w14:paraId="65F233AE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17B58A9B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UMLS:ICD10CM:L60.0</w:t>
            </w:r>
          </w:p>
        </w:tc>
        <w:tc>
          <w:tcPr>
            <w:tcW w:w="5103" w:type="dxa"/>
          </w:tcPr>
          <w:p w14:paraId="2A932178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Ingrowing nail</w:t>
            </w:r>
          </w:p>
        </w:tc>
      </w:tr>
      <w:tr w:rsidR="00D810C4" w:rsidRPr="002B4B4D" w14:paraId="48FCDC02" w14:textId="77777777" w:rsidTr="0063788F">
        <w:trPr>
          <w:trHeight w:val="20"/>
        </w:trPr>
        <w:tc>
          <w:tcPr>
            <w:tcW w:w="1555" w:type="dxa"/>
          </w:tcPr>
          <w:p w14:paraId="32D3F4E3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8668262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UMLS:ICD10CM:W54.0</w:t>
            </w:r>
          </w:p>
        </w:tc>
        <w:tc>
          <w:tcPr>
            <w:tcW w:w="5103" w:type="dxa"/>
          </w:tcPr>
          <w:p w14:paraId="5FA49BE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Bitten by dog</w:t>
            </w:r>
          </w:p>
        </w:tc>
      </w:tr>
      <w:tr w:rsidR="00D810C4" w:rsidRPr="002B4B4D" w14:paraId="1D4FE206" w14:textId="77777777" w:rsidTr="0063788F">
        <w:trPr>
          <w:trHeight w:val="20"/>
        </w:trPr>
        <w:tc>
          <w:tcPr>
            <w:tcW w:w="1555" w:type="dxa"/>
          </w:tcPr>
          <w:p w14:paraId="2791075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1D2E9C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UMLS:ICD10CM:T15-T19</w:t>
            </w:r>
          </w:p>
        </w:tc>
        <w:tc>
          <w:tcPr>
            <w:tcW w:w="5103" w:type="dxa"/>
          </w:tcPr>
          <w:p w14:paraId="135E222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Effects of foreign body entering through natural orifice</w:t>
            </w:r>
          </w:p>
        </w:tc>
      </w:tr>
      <w:tr w:rsidR="00D810C4" w:rsidRPr="002B4B4D" w14:paraId="58664E15" w14:textId="77777777" w:rsidTr="0063788F">
        <w:trPr>
          <w:trHeight w:val="20"/>
        </w:trPr>
        <w:tc>
          <w:tcPr>
            <w:tcW w:w="1555" w:type="dxa"/>
          </w:tcPr>
          <w:p w14:paraId="1C9EB3BC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0F61E594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UMLS:ICD10CM:T20-T25</w:t>
            </w:r>
          </w:p>
        </w:tc>
        <w:tc>
          <w:tcPr>
            <w:tcW w:w="5103" w:type="dxa"/>
          </w:tcPr>
          <w:p w14:paraId="39B10DAC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Burns and corrosions of external body surface, specified by site</w:t>
            </w:r>
          </w:p>
        </w:tc>
      </w:tr>
      <w:tr w:rsidR="00D810C4" w:rsidRPr="002B4B4D" w14:paraId="33756F1C" w14:textId="77777777" w:rsidTr="0063788F">
        <w:trPr>
          <w:trHeight w:val="20"/>
        </w:trPr>
        <w:tc>
          <w:tcPr>
            <w:tcW w:w="1555" w:type="dxa"/>
          </w:tcPr>
          <w:p w14:paraId="67CE6A39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Diagnosis</w:t>
            </w:r>
          </w:p>
        </w:tc>
        <w:tc>
          <w:tcPr>
            <w:tcW w:w="2976" w:type="dxa"/>
          </w:tcPr>
          <w:p w14:paraId="74CDEA70" w14:textId="77777777" w:rsidR="00D810C4" w:rsidRPr="002B4B4D" w:rsidRDefault="00D810C4" w:rsidP="0063788F">
            <w:pPr>
              <w:snapToGri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UMLS:ICD10CM:K40-K46</w:t>
            </w:r>
          </w:p>
        </w:tc>
        <w:tc>
          <w:tcPr>
            <w:tcW w:w="5103" w:type="dxa"/>
          </w:tcPr>
          <w:p w14:paraId="1AA7D3CF" w14:textId="77777777" w:rsidR="00D810C4" w:rsidRPr="002B4B4D" w:rsidRDefault="00D810C4" w:rsidP="0063788F">
            <w:pPr>
              <w:snapToGrid w:val="0"/>
              <w:rPr>
                <w:rFonts w:ascii="Arial" w:hAnsi="Arial" w:cs="Arial"/>
                <w:sz w:val="21"/>
                <w:szCs w:val="21"/>
              </w:rPr>
            </w:pPr>
            <w:r w:rsidRPr="002B4B4D">
              <w:rPr>
                <w:rFonts w:ascii="Arial" w:hAnsi="Arial" w:cs="Arial"/>
                <w:sz w:val="21"/>
                <w:szCs w:val="21"/>
              </w:rPr>
              <w:t>Hernia</w:t>
            </w:r>
          </w:p>
        </w:tc>
      </w:tr>
    </w:tbl>
    <w:p w14:paraId="3B3466E1" w14:textId="77777777" w:rsidR="00D810C4" w:rsidRDefault="00D810C4" w:rsidP="00D810C4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</w:pPr>
    </w:p>
    <w:p w14:paraId="6505A8D4" w14:textId="645B9A2E" w:rsidR="001B3CC6" w:rsidRDefault="001B3CC6" w:rsidP="00D810C4">
      <w:pPr>
        <w:snapToGrid w:val="0"/>
        <w:spacing w:afterLines="20" w:after="72"/>
        <w:rPr>
          <w:rFonts w:ascii="Arial" w:hAnsi="Arial" w:cs="Arial"/>
          <w:color w:val="A8D08D" w:themeColor="accent6" w:themeTint="99"/>
        </w:rPr>
      </w:pPr>
    </w:p>
    <w:p w14:paraId="368CD340" w14:textId="77777777" w:rsidR="00D71E6A" w:rsidRDefault="00D71E6A" w:rsidP="0077135C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  <w:sectPr w:rsidR="00D71E6A" w:rsidSect="00E117C2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3910AE7" w14:textId="1FF7D974" w:rsidR="00D71E6A" w:rsidRPr="00CC335B" w:rsidRDefault="00D71E6A" w:rsidP="00D71E6A">
      <w:pPr>
        <w:rPr>
          <w:rFonts w:ascii="Arial" w:hAnsi="Arial" w:cs="Arial"/>
        </w:rPr>
      </w:pPr>
      <w:r w:rsidRPr="00F138C7">
        <w:rPr>
          <w:rFonts w:ascii="Arial" w:hAnsi="Arial" w:cs="Arial"/>
        </w:rPr>
        <w:lastRenderedPageBreak/>
        <w:t>Supplementary Table</w:t>
      </w:r>
      <w:r>
        <w:rPr>
          <w:rFonts w:ascii="Arial" w:hAnsi="Arial" w:cs="Arial"/>
        </w:rPr>
        <w:t xml:space="preserve"> 5</w:t>
      </w:r>
      <w:r w:rsidRPr="00CC335B">
        <w:rPr>
          <w:rFonts w:ascii="Arial" w:hAnsi="Arial" w:cs="Arial"/>
          <w:color w:val="000000"/>
        </w:rPr>
        <w:t xml:space="preserve">. Baseline characteristics before and after propensity-score matching in the target-trial emulation of concomitant GLP-1 receptor agonist use during ICI therapy among individuals with </w:t>
      </w:r>
      <w:r w:rsidRPr="00CC335B">
        <w:rPr>
          <w:rFonts w:ascii="Arial" w:hAnsi="Arial" w:cs="Arial" w:hint="eastAsia"/>
          <w:bCs/>
          <w:color w:val="000000" w:themeColor="text1"/>
        </w:rPr>
        <w:t>n</w:t>
      </w:r>
      <w:r w:rsidRPr="00CC335B">
        <w:rPr>
          <w:rFonts w:ascii="Arial" w:hAnsi="Arial" w:cs="Arial"/>
          <w:bCs/>
          <w:color w:val="000000" w:themeColor="text1"/>
        </w:rPr>
        <w:t>eoplasms</w:t>
      </w:r>
      <w:r w:rsidRPr="00CC335B">
        <w:rPr>
          <w:rFonts w:ascii="Arial" w:hAnsi="Arial" w:cs="Arial"/>
          <w:color w:val="000000"/>
        </w:rPr>
        <w:t xml:space="preserve"> and obesity </w:t>
      </w:r>
    </w:p>
    <w:tbl>
      <w:tblPr>
        <w:tblW w:w="10466" w:type="dxa"/>
        <w:tblCellMar>
          <w:top w:w="15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21"/>
        <w:gridCol w:w="1397"/>
        <w:gridCol w:w="1496"/>
        <w:gridCol w:w="674"/>
        <w:gridCol w:w="1398"/>
        <w:gridCol w:w="1453"/>
        <w:gridCol w:w="751"/>
        <w:gridCol w:w="76"/>
      </w:tblGrid>
      <w:tr w:rsidR="00D71E6A" w:rsidRPr="00301902" w14:paraId="26FA90A8" w14:textId="77777777" w:rsidTr="006D06FF">
        <w:trPr>
          <w:trHeight w:val="400"/>
        </w:trPr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C12C9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9A52D" w14:textId="77777777" w:rsidR="00D71E6A" w:rsidRPr="00301902" w:rsidRDefault="00D71E6A" w:rsidP="006D06FF">
            <w:pPr>
              <w:ind w:firstLineChars="350" w:firstLine="7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Before Matching</w:t>
            </w:r>
          </w:p>
        </w:tc>
        <w:tc>
          <w:tcPr>
            <w:tcW w:w="3602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2886F" w14:textId="77777777" w:rsidR="00D71E6A" w:rsidRPr="00301902" w:rsidRDefault="00D71E6A" w:rsidP="006D06FF">
            <w:pPr>
              <w:ind w:firstLineChars="350" w:firstLine="7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After Matching</w:t>
            </w:r>
          </w:p>
        </w:tc>
        <w:tc>
          <w:tcPr>
            <w:tcW w:w="76" w:type="dxa"/>
            <w:vAlign w:val="center"/>
            <w:hideMark/>
          </w:tcPr>
          <w:p w14:paraId="62490967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CE1F2E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C4782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0353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ICI +</w:t>
            </w:r>
          </w:p>
          <w:p w14:paraId="1A25997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GLP-1 RA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CCC4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ICI monotherapy</w:t>
            </w:r>
          </w:p>
        </w:tc>
        <w:tc>
          <w:tcPr>
            <w:tcW w:w="67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1B4E70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SMD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EE1D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ICI +</w:t>
            </w:r>
          </w:p>
          <w:p w14:paraId="79FAABB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GLP-1 RA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9AE87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ICI monotherapy</w:t>
            </w:r>
          </w:p>
        </w:tc>
        <w:tc>
          <w:tcPr>
            <w:tcW w:w="7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D42A3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SMD</w:t>
            </w:r>
          </w:p>
        </w:tc>
        <w:tc>
          <w:tcPr>
            <w:tcW w:w="76" w:type="dxa"/>
            <w:vAlign w:val="center"/>
            <w:hideMark/>
          </w:tcPr>
          <w:p w14:paraId="736460C9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DE7A98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3194AA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0210F8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(n =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1,108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F5CA83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 xml:space="preserve">(n = 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45,485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7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AE5CD1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C2B63B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 xml:space="preserve">(n = </w:t>
            </w:r>
            <w:r>
              <w:rPr>
                <w:rFonts w:ascii="Arial" w:hAnsi="Arial" w:cs="Arial" w:hint="eastAsia"/>
                <w:sz w:val="20"/>
                <w:szCs w:val="20"/>
              </w:rPr>
              <w:t>988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79C45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(n =</w:t>
            </w:r>
            <w:r w:rsidRPr="0030190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988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7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2CFB37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  <w:hideMark/>
          </w:tcPr>
          <w:p w14:paraId="65AE61B7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5BA2D5B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5FB081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103267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E8A3B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DC70B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DC741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5EA5B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07638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280E411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DF74F3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6AB2FC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 xml:space="preserve"> Mean ± SD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61267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60.0 ± 12.6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0E8B6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64.5 ± 12.8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071AA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974F6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60.1 ± 12.7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CD826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61.5 ± 13.6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1153E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  <w:hideMark/>
          </w:tcPr>
          <w:p w14:paraId="51CDC47A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7B5767B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A5E097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&lt; 45 years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A6003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153 (13.8)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63CF8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3,636 (8.0)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1DE7D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5486A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134 (13.6)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BEF3E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131 (13.3)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9F13E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76" w:type="dxa"/>
            <w:vAlign w:val="center"/>
            <w:hideMark/>
          </w:tcPr>
          <w:p w14:paraId="48CC1103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E5B700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8F3714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45 - 64 years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40F7C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520 (46.9)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6E23E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17,038 (37.5)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64E90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14C98A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461 (46.7)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88C96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453 (45.9)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A28D7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76" w:type="dxa"/>
            <w:vAlign w:val="center"/>
          </w:tcPr>
          <w:p w14:paraId="0B19F868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DA6DFD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4E5392D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 xml:space="preserve"> ≥ 65 years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8CF203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435 (39.3)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D1449B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24,811 (54.5)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E5C692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A3B43F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393 (39.8)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EAABD5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404 (40.9)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72F447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76" w:type="dxa"/>
            <w:tcBorders>
              <w:bottom w:val="single" w:sz="4" w:space="0" w:color="auto"/>
            </w:tcBorders>
            <w:vAlign w:val="center"/>
          </w:tcPr>
          <w:p w14:paraId="0B628577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C697068" w14:textId="77777777" w:rsidTr="006D06FF">
        <w:trPr>
          <w:trHeight w:val="400"/>
        </w:trPr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5E67BD2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Sex (%)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29080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2594C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C8DA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7BDBF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B2C77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9AB1D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single" w:sz="4" w:space="0" w:color="auto"/>
            </w:tcBorders>
            <w:vAlign w:val="center"/>
          </w:tcPr>
          <w:p w14:paraId="07A552E3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2EFBF81B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A2A7D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0CB5A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425 (38.4)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A2BDD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24,157 (53.1)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5A7F1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CB150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374 (37.9)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F1E4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365 (36.9)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DD252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76" w:type="dxa"/>
            <w:vAlign w:val="center"/>
            <w:hideMark/>
          </w:tcPr>
          <w:p w14:paraId="38E7C84D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0EEA222C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69FE40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44B99F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683 (61.6)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35D915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21,296 (46.8)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79D617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BB0E82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614 (62.1)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CC7C70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623 (63.1)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72A8E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76" w:type="dxa"/>
            <w:vAlign w:val="center"/>
            <w:hideMark/>
          </w:tcPr>
          <w:p w14:paraId="56AEE73E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BC7886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72DB3FF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Race (%)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5F187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39D35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B6C6E3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CE139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D37F1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9BFAEB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99F352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128D89F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C92386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White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649D6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864 (78.0)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1F83EF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36,986 (81.3)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94071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E1894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766 (77.5)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5D176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768 (77.7)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58A33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76" w:type="dxa"/>
            <w:vAlign w:val="center"/>
            <w:hideMark/>
          </w:tcPr>
          <w:p w14:paraId="207B318E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28D59C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0B22E8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Black or African American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46DB4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144 (13.0)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56E0B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4,315 (9.5)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F8004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30AE2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131 (13.3)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95740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132 (13.4)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90AE9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76" w:type="dxa"/>
            <w:vAlign w:val="center"/>
            <w:hideMark/>
          </w:tcPr>
          <w:p w14:paraId="3586E1B3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77AFBC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B93720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Other Race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384A3B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 (3.2)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288615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1,471 (3.2)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50B2E9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907CE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29 (2.9)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B8F5DB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28 (2.8)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60B242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76" w:type="dxa"/>
            <w:vAlign w:val="center"/>
            <w:hideMark/>
          </w:tcPr>
          <w:p w14:paraId="2476AA96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26F0F3E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1AFA55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Ethics (%)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02695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8F2B7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83EC7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1388D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748FD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C01E9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B62C373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23D227F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C90E88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Hispanic or Latino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3F1A5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64 (5.8)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E1AE5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2,332 (5.1)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EAA87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4E653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55 (5.6)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8D52A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46 (4.7)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A8DDE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76" w:type="dxa"/>
            <w:vAlign w:val="center"/>
            <w:hideMark/>
          </w:tcPr>
          <w:p w14:paraId="5355F62E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FFA65C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0530B3C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Not Hispanic or Latino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CE2EFF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915 (82.6)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91C912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35,873 (78.9)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7FA38E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565A95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817 (82.7)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81D797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834 (84.4)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DCAB44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76" w:type="dxa"/>
            <w:vAlign w:val="center"/>
          </w:tcPr>
          <w:p w14:paraId="3473225F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F6B0196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1FB09B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Socioeconomic determinants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C6E2F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FD90C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0A79F2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91368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E54B4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84ECA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376CB89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0DEB7A51" w14:textId="77777777" w:rsidTr="006D06FF">
        <w:trPr>
          <w:trHeight w:val="400"/>
        </w:trPr>
        <w:tc>
          <w:tcPr>
            <w:tcW w:w="32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8C7E2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Persons with potential health hazards related to socioeconomic and psychosocial circumstances</w:t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8914A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74 (6.7)</w:t>
            </w:r>
          </w:p>
        </w:tc>
        <w:tc>
          <w:tcPr>
            <w:tcW w:w="1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E90AB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2,109 (4.6)</w:t>
            </w:r>
          </w:p>
        </w:tc>
        <w:tc>
          <w:tcPr>
            <w:tcW w:w="6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A4C674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23992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67 (6.8)</w:t>
            </w:r>
          </w:p>
        </w:tc>
        <w:tc>
          <w:tcPr>
            <w:tcW w:w="14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0B7AFD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63 (6.4)</w:t>
            </w:r>
          </w:p>
        </w:tc>
        <w:tc>
          <w:tcPr>
            <w:tcW w:w="7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E1547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76" w:type="dxa"/>
            <w:vAlign w:val="center"/>
            <w:hideMark/>
          </w:tcPr>
          <w:p w14:paraId="3C72747C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6C8CB07E" w14:textId="77777777" w:rsidTr="006D06FF">
        <w:trPr>
          <w:trHeight w:val="400"/>
        </w:trPr>
        <w:tc>
          <w:tcPr>
            <w:tcW w:w="32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02190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4444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BABF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CC5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B11F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E43E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077D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3764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6A5F055F" w14:textId="77777777" w:rsidTr="006D06FF">
        <w:trPr>
          <w:trHeight w:val="400"/>
        </w:trPr>
        <w:tc>
          <w:tcPr>
            <w:tcW w:w="32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5BCEE7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1D5AC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3106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DBAD0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8A3D9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688A9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989A9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E87D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567FD19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A5DF06A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Measures of healthcare utilization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0DD09B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ACAB15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D00F8E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95930D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DB2DB0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18892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F71A97C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4DD8CC76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976126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Visit: inpatient encounter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76AE7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698 (63.0)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61100C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24,287 (53.4)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556970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ED844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619 (62.7)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3F82DE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613 (62.0)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059A7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76" w:type="dxa"/>
            <w:vAlign w:val="center"/>
            <w:hideMark/>
          </w:tcPr>
          <w:p w14:paraId="590271E9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442BBA5F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128BC63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Visit: emergency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2CFDC8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532 (48.0)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B4D356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18,510 (40.7)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C07DB3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471721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470 (47.6)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F31F30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486 (49.2)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A445EB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76" w:type="dxa"/>
            <w:vAlign w:val="center"/>
          </w:tcPr>
          <w:p w14:paraId="4BF2FEF4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3A1AF77D" w14:textId="77777777" w:rsidTr="006D06FF">
        <w:trPr>
          <w:trHeight w:val="400"/>
        </w:trPr>
        <w:tc>
          <w:tcPr>
            <w:tcW w:w="3221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C999F48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Visit: observation encounter</w:t>
            </w:r>
          </w:p>
        </w:tc>
        <w:tc>
          <w:tcPr>
            <w:tcW w:w="1397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C80860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118 (10.7)</w:t>
            </w:r>
          </w:p>
        </w:tc>
        <w:tc>
          <w:tcPr>
            <w:tcW w:w="1496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9A220C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4,411 (9.7)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BCFECD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398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2BD2A8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105 (10.6)</w:t>
            </w:r>
          </w:p>
        </w:tc>
        <w:tc>
          <w:tcPr>
            <w:tcW w:w="1453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E1548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93 (9.4)</w:t>
            </w:r>
          </w:p>
        </w:tc>
        <w:tc>
          <w:tcPr>
            <w:tcW w:w="751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190C65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76" w:type="dxa"/>
            <w:vAlign w:val="center"/>
          </w:tcPr>
          <w:p w14:paraId="7A160717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6B189BE5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955319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Comorbidities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6A1B40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8386F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DDB4A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8676AD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7A989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3CB49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7E8051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43283E8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A219E26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Diseases of liver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BCD85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436 (39.4)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C3845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11,373 (25.0)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8B8496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E3F75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370 (37.4)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957E8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351 (35.5)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24EA4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76" w:type="dxa"/>
            <w:vAlign w:val="center"/>
          </w:tcPr>
          <w:p w14:paraId="413C58D2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84A9402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9F319B4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Cerebrovascular diseases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2E00B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173 (15.6)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5DEE6D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5,745 (12.6)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349B48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9F2EE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152 (15.4)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D8276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141 (14.3)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6D0E3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76" w:type="dxa"/>
            <w:vAlign w:val="center"/>
          </w:tcPr>
          <w:p w14:paraId="33C7EFE3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20EEAC6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1CE194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Heart failure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069DD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161 (14.5)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E322D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4,235 (9.3)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BC8E6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B0392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137 (13.9)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8E1D7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154 (15.6)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90CEE7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76" w:type="dxa"/>
            <w:vAlign w:val="center"/>
          </w:tcPr>
          <w:p w14:paraId="10261B36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FB9768D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57BCD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IHD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F42F0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337 (30.4)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BD6F9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10,884 (23.9)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6FEA3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7786C4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294 (29.8)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1DF0A7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299 (30.3)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4A1E1F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76" w:type="dxa"/>
            <w:vAlign w:val="center"/>
          </w:tcPr>
          <w:p w14:paraId="71673718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37F7A5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05C92E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Diseases of arteries, arterioles and capillaries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03A7E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286 (25.8)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D4D199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9,517 (20.9)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DC8DE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3D9A8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248 (25.1)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75E40A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230 (23.3)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E31A1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76" w:type="dxa"/>
            <w:vAlign w:val="center"/>
          </w:tcPr>
          <w:p w14:paraId="746BB804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24E70DB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857CC7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Secondary and unspecified malignant neoplasm of lymph nodes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810ACF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392 (35.4)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2C8754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15,179 (33.4)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4897D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F6B60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356 (36.0)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B2F68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328 (33.2)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A9534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76" w:type="dxa"/>
            <w:vAlign w:val="center"/>
          </w:tcPr>
          <w:p w14:paraId="27ED3672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AC77D6F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4C594D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Secondary malignant neoplasm of respiratory and digestive organs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0AAD5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254 (22.9)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A9090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12,545 (27.6)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CBEEE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39968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219 (22.2)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50292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211 (21.4)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146B0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76" w:type="dxa"/>
            <w:vAlign w:val="center"/>
          </w:tcPr>
          <w:p w14:paraId="4FF7A6D1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F0415B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23FF8B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Secondary malignant neoplasm of other and unspecified sites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0F207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364 (32.9)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5DF63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15,792 (34.7)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CBC4DB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FD366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324 (32.8)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1BC7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312 (31.6)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CB30E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76" w:type="dxa"/>
            <w:vAlign w:val="center"/>
          </w:tcPr>
          <w:p w14:paraId="0D1EBB4C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FEF4376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AC310A3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Malignant neoplasm of bronchus and lung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862055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274 (24.7)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74E44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14,426 (31.7)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665EA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4AAF0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255 (25.8)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29380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242 (24.5)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57E71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76" w:type="dxa"/>
            <w:vAlign w:val="center"/>
          </w:tcPr>
          <w:p w14:paraId="4B4A641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015359F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8FBF60A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Malignant neoplasm of kidney, except renal pelvis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51A8DF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173 (15.6)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C4F64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4,743 (10.4)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28C87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09EC8A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144 (14.6)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83B50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155 (15.7)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5C5E1D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76" w:type="dxa"/>
            <w:vAlign w:val="center"/>
          </w:tcPr>
          <w:p w14:paraId="53766D7E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7FC2AE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ADF386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Malignant neoplasm of bladder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D64436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77 (6.9)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79D49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3,668 (8.1)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DDF52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12D7E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69 (7.0)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F065C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80 (8.1)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E7D15A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76" w:type="dxa"/>
            <w:vAlign w:val="center"/>
          </w:tcPr>
          <w:p w14:paraId="4FB46E66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5253D6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05BBD4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Malignant neoplasm of breast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036F6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247 (22.3)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D6D0B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4,568 (10.0)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12BB0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9CCEC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221 (22.4)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B4C79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229 (23.2)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58A60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76" w:type="dxa"/>
            <w:vAlign w:val="center"/>
          </w:tcPr>
          <w:p w14:paraId="75E6DFD1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EE34B16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B06DA7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Malignant melanoma of skin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B6BA17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217 (19.6)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B1D5CF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6,592 (14.5)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08465A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23D273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189 (19.1)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F16378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183 (18.5)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25C377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76" w:type="dxa"/>
            <w:vAlign w:val="center"/>
            <w:hideMark/>
          </w:tcPr>
          <w:p w14:paraId="46C99844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0B9F9052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0C4516D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CKD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674928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229 (20.7)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126D76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6,036 (13.3)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A23773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DA26F1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191 (19.3)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B8CE96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185 (18.7)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7E1D2C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76" w:type="dxa"/>
            <w:vAlign w:val="center"/>
          </w:tcPr>
          <w:p w14:paraId="7D60F4E2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73C7A1A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37043D4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COVID-19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4E6CBA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192 (17.3)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5204D0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2,758 (6.1)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338646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0.356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56FBE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165 (16.7)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AF47EB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165 (16.7)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0AF406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76" w:type="dxa"/>
            <w:vAlign w:val="center"/>
          </w:tcPr>
          <w:p w14:paraId="5E4763AC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614EBDCD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C91D671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Other chronic obstructive pulmonary disease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1DC853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182 (16.4)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3F06D5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7,848 (17.3)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99FB04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E3B199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169 (17.1)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C51A8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160 (16.2)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3C2862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76" w:type="dxa"/>
            <w:vAlign w:val="center"/>
          </w:tcPr>
          <w:p w14:paraId="48A0F11D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6BB1437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4D43A44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Asthma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CCBFF8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215 (19.4)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917643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4,848 (10.7)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16C816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AAD03B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188 (19.0)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A745F4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188 (19.0)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D77A11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76" w:type="dxa"/>
            <w:vAlign w:val="center"/>
          </w:tcPr>
          <w:p w14:paraId="416C1D6A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24A6958B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A765C3E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Other interstitial pulmonary diseases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9BD5D8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106 (9.6)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0BB292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2,103 (4.6)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7261D0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C344C0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83 (8.4)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D55115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92 (9.3)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3861E6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76" w:type="dxa"/>
            <w:vAlign w:val="center"/>
          </w:tcPr>
          <w:p w14:paraId="3B4A18CF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2EE60B0D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5C3AEE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Disorders of thyroid gland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F193FE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509 (45.9)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6B5BAB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11,032 (24.3)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4C9D07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0.467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D4FE72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439 (44.4)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D62E52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451 (45.6)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5FD24C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76" w:type="dxa"/>
            <w:vAlign w:val="center"/>
          </w:tcPr>
          <w:p w14:paraId="5B783DC1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391FAB0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A42C7D1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Certain disorders involving the immune mechanism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EF86B7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151 (13.6)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B3F026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2,154 (4.7)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B4C0B5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F5C3EA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125 (12.7)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0DD81E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111 (11.2)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CCCB1C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76" w:type="dxa"/>
            <w:vAlign w:val="center"/>
          </w:tcPr>
          <w:p w14:paraId="43CD616F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1D94B855" w14:textId="77777777" w:rsidTr="006D06FF">
        <w:trPr>
          <w:trHeight w:val="400"/>
        </w:trPr>
        <w:tc>
          <w:tcPr>
            <w:tcW w:w="3221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EF00A60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Alcohol related disorders</w:t>
            </w:r>
          </w:p>
        </w:tc>
        <w:tc>
          <w:tcPr>
            <w:tcW w:w="13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9CAC38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63 (5.7)</w:t>
            </w:r>
          </w:p>
        </w:tc>
        <w:tc>
          <w:tcPr>
            <w:tcW w:w="1496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62BB731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2,877 (6.3)</w:t>
            </w:r>
          </w:p>
        </w:tc>
        <w:tc>
          <w:tcPr>
            <w:tcW w:w="67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C3B5F3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398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1CC1D39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57 (5.8)</w:t>
            </w:r>
          </w:p>
        </w:tc>
        <w:tc>
          <w:tcPr>
            <w:tcW w:w="145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52DE602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47 (4.8)</w:t>
            </w:r>
          </w:p>
        </w:tc>
        <w:tc>
          <w:tcPr>
            <w:tcW w:w="751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81BA96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76" w:type="dxa"/>
            <w:vAlign w:val="center"/>
          </w:tcPr>
          <w:p w14:paraId="183E000D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07E74D0A" w14:textId="77777777" w:rsidTr="006D06FF">
        <w:trPr>
          <w:trHeight w:val="400"/>
        </w:trPr>
        <w:tc>
          <w:tcPr>
            <w:tcW w:w="3221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6D7064E6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Nicotine dependence</w:t>
            </w:r>
          </w:p>
        </w:tc>
        <w:tc>
          <w:tcPr>
            <w:tcW w:w="13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BDBCB7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251 (22.7)</w:t>
            </w:r>
          </w:p>
        </w:tc>
        <w:tc>
          <w:tcPr>
            <w:tcW w:w="1496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A1923B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10,693 (23.5)</w:t>
            </w:r>
          </w:p>
        </w:tc>
        <w:tc>
          <w:tcPr>
            <w:tcW w:w="67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17CFA8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398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2A2EF7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233 (23.6)</w:t>
            </w:r>
          </w:p>
        </w:tc>
        <w:tc>
          <w:tcPr>
            <w:tcW w:w="145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FC9A8C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221 (22.4)</w:t>
            </w:r>
          </w:p>
        </w:tc>
        <w:tc>
          <w:tcPr>
            <w:tcW w:w="751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665DE6D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76" w:type="dxa"/>
            <w:vAlign w:val="center"/>
          </w:tcPr>
          <w:p w14:paraId="3B6E0CA1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31338CE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F833639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Tobacco use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7C40E6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97 (8.8)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768B21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3,970 (8.7)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685438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17C286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90 (9.1)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325A34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84 (8.5)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5F66BD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76" w:type="dxa"/>
            <w:tcBorders>
              <w:bottom w:val="single" w:sz="4" w:space="0" w:color="auto"/>
            </w:tcBorders>
            <w:vAlign w:val="center"/>
          </w:tcPr>
          <w:p w14:paraId="7993ABD2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1E6A" w:rsidRPr="00301902" w14:paraId="7F5D0AD3" w14:textId="77777777" w:rsidTr="006D06FF">
        <w:trPr>
          <w:trHeight w:val="400"/>
        </w:trPr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B0D0C9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Medications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466D3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D8815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E5CBF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CE2D1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A41F2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4BC83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single" w:sz="4" w:space="0" w:color="auto"/>
            </w:tcBorders>
            <w:vAlign w:val="center"/>
          </w:tcPr>
          <w:p w14:paraId="424C2CBC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426CEEA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753B63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Antineoplastic agents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740CA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950 (85.7)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16F5C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23,844 (52.4)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E0B91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28F48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833 (84.3)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3ABF9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848 (85.8)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D4825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76" w:type="dxa"/>
            <w:vAlign w:val="center"/>
          </w:tcPr>
          <w:p w14:paraId="0699C4FD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973449C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DCB8E7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Immunosuppressants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AE643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128 (11.6)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4753D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1,877 (4.1)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68525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0.279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2BF8B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108 (10.9)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F29E1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112 (11.3)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A8997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76" w:type="dxa"/>
            <w:vAlign w:val="center"/>
          </w:tcPr>
          <w:p w14:paraId="34158A9C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25D7CFD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1BE885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Antibacterials for systemic use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B3F39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1,045 (94.3)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95717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36,694 (80.7)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2F2BF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0.421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B56F2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926 (93.7)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750FC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924 (93.5)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EAB6A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76" w:type="dxa"/>
            <w:vAlign w:val="center"/>
          </w:tcPr>
          <w:p w14:paraId="106F214F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6F66CF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790AC9C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Anticoagulants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3AA71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949 (85.7)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286BE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31,559 (69.4)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C05B4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0.397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799A6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835 (84.5)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24B6A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824 (83.4)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7F498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76" w:type="dxa"/>
            <w:vAlign w:val="center"/>
          </w:tcPr>
          <w:p w14:paraId="6535AB38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52C44F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C02A75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Glucocorticoids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29B0B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1,038 (93.7)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6CE04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37,014 (81.4)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E5CDE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0.379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19E2C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920 (93.1)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1DB26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918 (92.9)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52DA0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76" w:type="dxa"/>
            <w:vAlign w:val="center"/>
          </w:tcPr>
          <w:p w14:paraId="28836E54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5CD1B1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5D7C6A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HMG-CoA reductase inhibitors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7A9E1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632 (57.0)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0F98F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17,664 (38.8)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6B456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52FAF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543 (55.0)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73323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531 (53.7)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5B642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76" w:type="dxa"/>
            <w:vAlign w:val="center"/>
          </w:tcPr>
          <w:p w14:paraId="1E1E91D3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A84B006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894966B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ACE inhibitors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75B840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395 (35.6)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CE3DAE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10,611 (23.3)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C50AC5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DF0BE8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343 (34.7)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7CA25F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334 (33.8)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11F8EA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76" w:type="dxa"/>
            <w:vAlign w:val="center"/>
          </w:tcPr>
          <w:p w14:paraId="52AFBA23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C713AB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F61B1D2" w14:textId="77777777" w:rsidR="00D71E6A" w:rsidRPr="00301902" w:rsidRDefault="00D71E6A" w:rsidP="006D06FF">
            <w:pPr>
              <w:ind w:firstLineChars="50" w:firstLine="1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ARBs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1EF7E6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347 (31.3)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BD05F2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8,418 (18.5)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3E0189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71B36A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299 (30.3)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A0BDB6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332 (33.6)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3EC4C7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76" w:type="dxa"/>
            <w:tcBorders>
              <w:bottom w:val="single" w:sz="4" w:space="0" w:color="auto"/>
            </w:tcBorders>
            <w:vAlign w:val="center"/>
          </w:tcPr>
          <w:p w14:paraId="1B3D5EF9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20BE783D" w14:textId="77777777" w:rsidTr="006D06FF">
        <w:trPr>
          <w:trHeight w:val="400"/>
        </w:trPr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E66A87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Laboratory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91940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E8F2A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B3267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D7D66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48530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A717A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single" w:sz="4" w:space="0" w:color="auto"/>
            </w:tcBorders>
            <w:vAlign w:val="center"/>
          </w:tcPr>
          <w:p w14:paraId="26442EA7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08C2522A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177F2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75971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332A3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E79B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4F2D2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841C8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47BF2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37C75D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3DFF6E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D6D5A0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 xml:space="preserve">Mean ± SD, </w:t>
            </w:r>
            <w:r w:rsidRPr="00301902">
              <w:rPr>
                <w:rFonts w:ascii="Arial" w:hAnsi="Arial" w:cs="Arial"/>
                <w:sz w:val="20"/>
                <w:szCs w:val="20"/>
              </w:rPr>
              <w:t>kg/m</w:t>
            </w:r>
            <w:r w:rsidRPr="003019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CE0F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36.5 ± 7.6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3E19A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30.8 ± 5.8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6BEA2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0287A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36.3 ± 7.6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1ADA6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33.6 ± 7.3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3A496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91E20E0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71C01B2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21011B3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≥</w:t>
            </w:r>
            <w:r w:rsidRPr="00301902">
              <w:rPr>
                <w:rFonts w:ascii="Arial" w:hAnsi="Arial" w:cs="Arial"/>
                <w:sz w:val="20"/>
                <w:szCs w:val="20"/>
              </w:rPr>
              <w:t xml:space="preserve"> 40 kg/m</w:t>
            </w:r>
            <w:r w:rsidRPr="003019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83DDB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433 (39.1)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DC84B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5,945 (13.1)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DC9A9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0.620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23E74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365 (36.9)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6C66C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369 (37.3)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AF03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76" w:type="dxa"/>
            <w:vAlign w:val="center"/>
          </w:tcPr>
          <w:p w14:paraId="7C2FF6CD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44705FD5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879E0CE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Creatinine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B2223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D6861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E32DD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61A8B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92E6C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AD0A4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47054C1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252F58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19418D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mg/dL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F4898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1.1 ± 4.5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4CC89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1.6 ± 9.2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B782A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1BEC9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1.1 ± 4.8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4FAE2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1.0 ± 0.4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D9C80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2DC23B7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7C7A445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3A211EA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1.3 mg/dL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95F7A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378 (34.1)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49A91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13,749 (30.2)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E99E4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6983A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332 (33.6)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EC553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334 (33.8)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8D032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76" w:type="dxa"/>
            <w:vAlign w:val="center"/>
          </w:tcPr>
          <w:p w14:paraId="13BDEA06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C059D4D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F5DED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HbA1c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725D4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716D1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72242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2CDF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04E4C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C9BB4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02163FD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507319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709340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%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CDD6E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6.5 ± 1.6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B9BE1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5.7 ± 0.7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BE93A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3468C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6.4 ± 1.5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A5849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6.1 ± 1.2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DBB7C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D26D004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83D4C1A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69613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6.5 %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B8020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334 (30.1)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33EB4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1,213 (2.7)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D5662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0.799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BD70F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238 (24.1)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A46D0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225 (22.8)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F6AA0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76" w:type="dxa"/>
            <w:vAlign w:val="center"/>
          </w:tcPr>
          <w:p w14:paraId="15E6F478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07CF4C4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9D573D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Platelets volume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28982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62C81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A3211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38C65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1EF6A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E8BA0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035B78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8BDA09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AD1DA6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/µL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57407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247.0 ± 85.1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5038C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259.8 ± 110.2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9EB1D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1A2C1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248.3 ± 85.5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E1A997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251.9 ± 100.9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7F4B8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780F180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4122B77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DC628E0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450,000 /µL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1B14C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220 (19.9)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F91CB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8,809 (19.4)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CF6D1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984E8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195 (19.7)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08E4E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192 (19.4)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42990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76" w:type="dxa"/>
            <w:vAlign w:val="center"/>
          </w:tcPr>
          <w:p w14:paraId="4DF4BDD0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412B4A7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E54770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Bilirubin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F2938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12042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35ED7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E2AE0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B92F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83008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6B8F8BD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71AAD36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D5A9D4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mg/d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E0ECA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0.5 ± 0.7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E2A25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0.6 ± 0.8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7A08B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AD480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0.6 ± 0.7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B0C51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0.5 ± 0.5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8655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994A8C0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EC5B90F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573B3D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1.2 mg/d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C6A33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181 (16.3)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70F8C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7,799 (17.1)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03FAA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B399C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160 (16.2)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1F619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159 (16.1)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EF2F0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76" w:type="dxa"/>
            <w:vAlign w:val="center"/>
          </w:tcPr>
          <w:p w14:paraId="42EBE53A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C60136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59703B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Neutrophils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3363F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8F077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1D7EE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9A194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C82C2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51D37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C296DA4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2332D2B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CD4522B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/µL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6124F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27.8 ± 361.6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D426C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28.5 ± 360.8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E023E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CDB0E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30.7 ± 383.8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07736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33.3 ± 430.9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E394E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2D360BF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3B7426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058BACB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7,000 /µL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02AE0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659 (59.5)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DA0EF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22,546 (49.6)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7BFE5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D8C0F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583 (59.0)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70C05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581 (58.8)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90A5C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76" w:type="dxa"/>
            <w:vAlign w:val="center"/>
          </w:tcPr>
          <w:p w14:paraId="0D35602C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7EF70A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87AB7F7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Triglyceride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F05D1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2F22F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5CB2F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49D29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21D60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1CDAA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5FC37A5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F30FB8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C1D452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mg/dL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FB07D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149.3 ± 127.9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6953F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130.6 ± 79.1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C825A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590AC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145.9 ± 131.9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FF33F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141.3 ± 84.0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7A0D2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A57A3BA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717464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52D2AAD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150 mg/d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CB0C2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412 (37.2)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9D53A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9,224 (20.3)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9F560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0.380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B4505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345 (34.9)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7BE95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353 (35.7)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B445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76" w:type="dxa"/>
            <w:vAlign w:val="center"/>
          </w:tcPr>
          <w:p w14:paraId="57E06889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5AD2FE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F105D0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HDL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78D07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E2E94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1D416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62239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FC53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2170C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CEF5C1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39314F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14992C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mg/dL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45136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47.8 ± 14.5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0688A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48.8 ± 16.0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B60D0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1F41A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48.1 ± 14.7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276C2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48.5 ± 14.6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6CF9F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EBF7FB4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93EF83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979229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50 mg/dL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CEE73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399 (36.0)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89FFC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10,672 (23.5)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264F5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BF3CA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352 (35.6)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86063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350 (35.4)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AA47E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76" w:type="dxa"/>
            <w:vAlign w:val="center"/>
          </w:tcPr>
          <w:p w14:paraId="4C941D90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58E5961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C4A308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LDL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AF2FF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CFEA3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588DB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4110C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2E5D3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BAF18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9D0AD1F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4471ADA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1078CEC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mg/dL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9B5F36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98.4 ± 37.6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448978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98.3 ± 37.3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FEAFF3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54D0E7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99.2 ± 37.1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831857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98.6 ± 36.7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3EDAC91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A61C93A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21A5EA0E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81FDBF9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3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 mg/dL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946C66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298 (26.9)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B3673A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7,448 (16.4)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2FF886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0210D9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257 (26.0)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F12635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263 (26.6)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F790CF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76" w:type="dxa"/>
            <w:vAlign w:val="center"/>
          </w:tcPr>
          <w:p w14:paraId="51F43BC6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2EB98E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10EDBB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eGFR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7D063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631E7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9418C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86DBC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A9A96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D4749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5888F3A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C14986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54F6D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L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/min/1.73m²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8E365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76.6 ± 27.3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C6EC0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79.0 ± 29.3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5A05F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A38F6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76.4 ± 26.9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EC11E8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78.0 ± 30.5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BC54F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115601B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2FA8F795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271117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90 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L</w:t>
            </w: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/min/1.73m²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C7744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717 (64.7)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C38D5F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25,959 (57.1)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13525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4AFC3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643 (65.1)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B9D82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629 (63.7)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A6A07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76" w:type="dxa"/>
            <w:vAlign w:val="center"/>
          </w:tcPr>
          <w:p w14:paraId="5366F3EF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1C6D8C48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02EEE38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AST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3757AB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CF183F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85F850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37F142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D35790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771FA3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A98A138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CA1A104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1AB5CB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U/L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610483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26.1 ± 18.8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9AF7C9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28.2 ± 40.2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C4B641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34B281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26.0 ± 18.9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54D9F2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27.3 ± 26.7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DDF2F6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62A378C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682DEF30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FAB0846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40 U/L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F69159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520 (46.9)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D6ED3A4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14,758 (32.4)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FBA2FD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34CA2F4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453 (45.9)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B84D7B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460 (46.6)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2554DC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76" w:type="dxa"/>
            <w:vAlign w:val="center"/>
          </w:tcPr>
          <w:p w14:paraId="5D96404F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33A1A143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53DF222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C reactive protein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47ED93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15F1AA5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88E10B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D24487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3FC22F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AD5563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55832CC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2E79E5D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AB4696B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Mean ± SD, mg/L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63D252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32.5 ± 52.2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2C74FF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41.5 ± 62.0</w:t>
            </w:r>
          </w:p>
        </w:tc>
        <w:tc>
          <w:tcPr>
            <w:tcW w:w="67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335387C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68DB1D9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32.3 ± 53.4</w:t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4EC8B4E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38.2 ± 58.4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1A8EF0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8E6A227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584F3F0D" w14:textId="77777777" w:rsidTr="006D06FF">
        <w:trPr>
          <w:trHeight w:val="400"/>
        </w:trPr>
        <w:tc>
          <w:tcPr>
            <w:tcW w:w="3221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AB33AB7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≥ 1 mg/L</w:t>
            </w:r>
          </w:p>
        </w:tc>
        <w:tc>
          <w:tcPr>
            <w:tcW w:w="1397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8E04BBC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336 (30.3)</w:t>
            </w:r>
          </w:p>
        </w:tc>
        <w:tc>
          <w:tcPr>
            <w:tcW w:w="1496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FC6293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7,954 (17.5)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026F1A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1398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110632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287 (29.0)</w:t>
            </w:r>
          </w:p>
        </w:tc>
        <w:tc>
          <w:tcPr>
            <w:tcW w:w="1453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CB811A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292 (29.6)</w:t>
            </w:r>
          </w:p>
        </w:tc>
        <w:tc>
          <w:tcPr>
            <w:tcW w:w="751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C8A08A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76" w:type="dxa"/>
            <w:tcBorders>
              <w:bottom w:val="single" w:sz="4" w:space="0" w:color="auto"/>
            </w:tcBorders>
            <w:vAlign w:val="center"/>
          </w:tcPr>
          <w:p w14:paraId="467A2E4E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721FAA7F" w14:textId="77777777" w:rsidTr="006D06FF">
        <w:trPr>
          <w:trHeight w:val="400"/>
        </w:trPr>
        <w:tc>
          <w:tcPr>
            <w:tcW w:w="322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7332B1F5" w14:textId="77777777" w:rsidR="00D71E6A" w:rsidRPr="00301902" w:rsidRDefault="00D71E6A" w:rsidP="006D06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Procedures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AE1F4D8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97AF17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C8D2FF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F765EF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B250437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61F8273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single" w:sz="4" w:space="0" w:color="auto"/>
            </w:tcBorders>
            <w:vAlign w:val="center"/>
          </w:tcPr>
          <w:p w14:paraId="31DC7921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0EA6A049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3DCBD3A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Surgery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5433E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1,067 (96.3)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584350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41,921 (92.2)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1B53D1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6B4726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950 (96.2)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956EE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948 (96.0)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CD1FCA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76" w:type="dxa"/>
            <w:vAlign w:val="center"/>
          </w:tcPr>
          <w:p w14:paraId="584949F2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1E6A" w:rsidRPr="00301902" w14:paraId="44FA37AA" w14:textId="77777777" w:rsidTr="006D06FF">
        <w:trPr>
          <w:trHeight w:val="400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95FC785" w14:textId="77777777" w:rsidR="00D71E6A" w:rsidRPr="00301902" w:rsidRDefault="00D71E6A" w:rsidP="006D06FF">
            <w:pPr>
              <w:ind w:leftChars="50"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Radiation oncology treatment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75F93B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358 (32.3)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AE723F2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13,626 (30.0)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05B011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E46754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325 (32.9)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00ED48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311 (31.5)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3FD0D4D" w14:textId="77777777" w:rsidR="00D71E6A" w:rsidRPr="00301902" w:rsidRDefault="00D71E6A" w:rsidP="006D06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1902">
              <w:rPr>
                <w:rFonts w:ascii="Arial" w:hAnsi="Arial" w:cs="Arial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76" w:type="dxa"/>
            <w:vAlign w:val="center"/>
          </w:tcPr>
          <w:p w14:paraId="6DF401E9" w14:textId="77777777" w:rsidR="00D71E6A" w:rsidRPr="00301902" w:rsidRDefault="00D71E6A" w:rsidP="006D06F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E363D83" w14:textId="77777777" w:rsidR="00D71E6A" w:rsidRPr="009200C0" w:rsidRDefault="00D71E6A" w:rsidP="00D71E6A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D2D98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The emulation specified new-user, active-comparator strategies: ICI with concomitant GLP-1 RA versus ICI alone. Time zero was the protocol-defined index date; baseline covariates were assessed during the 12 months prior to index. Columns display pre-match cohorts and the 1:1 propensity-score–matched cohorts used for the intention-to-treat (ITT) analyses. Categorical variables are shown as n (%); continuous variables are summarized per data availability as mean (SD) or category counts. Percentages use the cohort denominator for that column. Variables with structured “Unknown/Unavailable” categories in TriNetX are retained as separate levels; no imputation was performed. Standardized mean differences (SMDs) quantify balance; |SMD| &gt;0.10 suggests residual imbalance. GLP-1 RA, glucagon-like peptide-1 receptor agonist; ICI, immune checkpoint inhibitor; PSM, propensity-score matching; SMD, standardized mean difference; </w:t>
      </w:r>
      <w:r w:rsidRPr="00301902">
        <w:rPr>
          <w:rFonts w:ascii="Arial" w:hAnsi="Arial" w:cs="Arial"/>
          <w:color w:val="000000"/>
          <w:sz w:val="20"/>
          <w:szCs w:val="20"/>
        </w:rPr>
        <w:t>IHD</w:t>
      </w:r>
      <w:r>
        <w:rPr>
          <w:rFonts w:ascii="Arial" w:hAnsi="Arial" w:cs="Arial" w:hint="eastAsia"/>
          <w:color w:val="000000"/>
          <w:sz w:val="20"/>
          <w:szCs w:val="20"/>
        </w:rPr>
        <w:t>, i</w:t>
      </w:r>
      <w:r w:rsidRPr="00620F16">
        <w:rPr>
          <w:rFonts w:ascii="Arial" w:hAnsi="Arial" w:cs="Arial"/>
          <w:color w:val="000000"/>
          <w:sz w:val="20"/>
          <w:szCs w:val="20"/>
        </w:rPr>
        <w:t xml:space="preserve">schemic </w:t>
      </w:r>
      <w:r>
        <w:rPr>
          <w:rFonts w:ascii="Arial" w:hAnsi="Arial" w:cs="Arial" w:hint="eastAsia"/>
          <w:color w:val="000000"/>
          <w:sz w:val="20"/>
          <w:szCs w:val="20"/>
        </w:rPr>
        <w:t>h</w:t>
      </w:r>
      <w:r w:rsidRPr="00620F16">
        <w:rPr>
          <w:rFonts w:ascii="Arial" w:hAnsi="Arial" w:cs="Arial"/>
          <w:color w:val="000000"/>
          <w:sz w:val="20"/>
          <w:szCs w:val="20"/>
        </w:rPr>
        <w:t xml:space="preserve">eart </w:t>
      </w:r>
      <w:r>
        <w:rPr>
          <w:rFonts w:ascii="Arial" w:hAnsi="Arial" w:cs="Arial" w:hint="eastAsia"/>
          <w:color w:val="000000"/>
          <w:sz w:val="20"/>
          <w:szCs w:val="20"/>
        </w:rPr>
        <w:t>d</w:t>
      </w:r>
      <w:r w:rsidRPr="00620F16">
        <w:rPr>
          <w:rFonts w:ascii="Arial" w:hAnsi="Arial" w:cs="Arial"/>
          <w:color w:val="000000"/>
          <w:sz w:val="20"/>
          <w:szCs w:val="20"/>
        </w:rPr>
        <w:t>isease</w:t>
      </w:r>
      <w:r>
        <w:rPr>
          <w:rFonts w:ascii="Arial" w:hAnsi="Arial" w:cs="Arial" w:hint="eastAsia"/>
          <w:color w:val="000000"/>
          <w:sz w:val="20"/>
          <w:szCs w:val="20"/>
        </w:rPr>
        <w:t>;</w:t>
      </w:r>
      <w:r w:rsidRPr="001D2D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CKD, c</w:t>
      </w:r>
      <w:r w:rsidRPr="00A97F0A">
        <w:rPr>
          <w:rFonts w:ascii="Arial" w:hAnsi="Arial" w:cs="Arial"/>
          <w:color w:val="000000" w:themeColor="text1"/>
          <w:sz w:val="20"/>
          <w:szCs w:val="20"/>
        </w:rPr>
        <w:t xml:space="preserve">hronic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k</w:t>
      </w:r>
      <w:r w:rsidRPr="00A97F0A">
        <w:rPr>
          <w:rFonts w:ascii="Arial" w:hAnsi="Arial" w:cs="Arial"/>
          <w:color w:val="000000" w:themeColor="text1"/>
          <w:sz w:val="20"/>
          <w:szCs w:val="20"/>
        </w:rPr>
        <w:t xml:space="preserve">idney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d</w:t>
      </w:r>
      <w:r w:rsidRPr="00A97F0A">
        <w:rPr>
          <w:rFonts w:ascii="Arial" w:hAnsi="Arial" w:cs="Arial"/>
          <w:color w:val="000000" w:themeColor="text1"/>
          <w:sz w:val="20"/>
          <w:szCs w:val="20"/>
        </w:rPr>
        <w:t>isease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; </w:t>
      </w:r>
      <w:r w:rsidRPr="001D2D98">
        <w:rPr>
          <w:rFonts w:ascii="Arial" w:hAnsi="Arial" w:cs="Arial"/>
          <w:color w:val="000000" w:themeColor="text1"/>
          <w:sz w:val="20"/>
          <w:szCs w:val="20"/>
        </w:rPr>
        <w:t xml:space="preserve">BMI, body mass index;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Cr, </w:t>
      </w:r>
      <w:r w:rsidRPr="00D318DF">
        <w:rPr>
          <w:rFonts w:ascii="Arial" w:hAnsi="Arial" w:cs="Arial"/>
          <w:color w:val="000000" w:themeColor="text1"/>
          <w:sz w:val="20"/>
          <w:szCs w:val="20"/>
        </w:rPr>
        <w:t>creatinine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;</w:t>
      </w:r>
      <w:r w:rsidRPr="00D318D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D2D98">
        <w:rPr>
          <w:rFonts w:ascii="Arial" w:hAnsi="Arial" w:cs="Arial"/>
          <w:color w:val="000000" w:themeColor="text1"/>
          <w:sz w:val="20"/>
          <w:szCs w:val="20"/>
        </w:rPr>
        <w:t xml:space="preserve">HbA1c, glycated hemoglobin;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HDL, h</w:t>
      </w:r>
      <w:r w:rsidRPr="0091267E">
        <w:rPr>
          <w:rFonts w:ascii="Arial" w:hAnsi="Arial" w:cs="Arial"/>
          <w:color w:val="000000" w:themeColor="text1"/>
          <w:sz w:val="20"/>
          <w:szCs w:val="20"/>
        </w:rPr>
        <w:t>igh-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d</w:t>
      </w:r>
      <w:r w:rsidRPr="0091267E">
        <w:rPr>
          <w:rFonts w:ascii="Arial" w:hAnsi="Arial" w:cs="Arial"/>
          <w:color w:val="000000" w:themeColor="text1"/>
          <w:sz w:val="20"/>
          <w:szCs w:val="20"/>
        </w:rPr>
        <w:t xml:space="preserve">ensity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l</w:t>
      </w:r>
      <w:r w:rsidRPr="0091267E">
        <w:rPr>
          <w:rFonts w:ascii="Arial" w:hAnsi="Arial" w:cs="Arial"/>
          <w:color w:val="000000" w:themeColor="text1"/>
          <w:sz w:val="20"/>
          <w:szCs w:val="20"/>
        </w:rPr>
        <w:t xml:space="preserve">ipoprotein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c</w:t>
      </w:r>
      <w:r w:rsidRPr="0091267E">
        <w:rPr>
          <w:rFonts w:ascii="Arial" w:hAnsi="Arial" w:cs="Arial"/>
          <w:color w:val="000000" w:themeColor="text1"/>
          <w:sz w:val="20"/>
          <w:szCs w:val="20"/>
        </w:rPr>
        <w:t>holesterol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;</w:t>
      </w:r>
      <w:r w:rsidRPr="009126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LDL, l</w:t>
      </w:r>
      <w:r w:rsidRPr="00D06DAA">
        <w:rPr>
          <w:rFonts w:ascii="Arial" w:hAnsi="Arial" w:cs="Arial"/>
          <w:color w:val="000000" w:themeColor="text1"/>
          <w:sz w:val="20"/>
          <w:szCs w:val="20"/>
        </w:rPr>
        <w:t>ow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-</w:t>
      </w:r>
      <w:r w:rsidRPr="00D06DAA">
        <w:rPr>
          <w:rFonts w:ascii="Arial" w:hAnsi="Arial" w:cs="Arial"/>
          <w:color w:val="000000" w:themeColor="text1"/>
          <w:sz w:val="20"/>
          <w:szCs w:val="20"/>
        </w:rPr>
        <w:t>density lipoprotein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 c</w:t>
      </w:r>
      <w:r w:rsidRPr="00D06DAA">
        <w:rPr>
          <w:rFonts w:ascii="Arial" w:hAnsi="Arial" w:cs="Arial"/>
          <w:color w:val="000000" w:themeColor="text1"/>
          <w:sz w:val="20"/>
          <w:szCs w:val="20"/>
        </w:rPr>
        <w:t>holesterol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;</w:t>
      </w:r>
      <w:r w:rsidRPr="00D06DA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D2D98">
        <w:rPr>
          <w:rFonts w:ascii="Arial" w:hAnsi="Arial" w:cs="Arial"/>
          <w:color w:val="000000" w:themeColor="text1"/>
          <w:sz w:val="20"/>
          <w:szCs w:val="20"/>
        </w:rPr>
        <w:t xml:space="preserve">eGFR, estimated glomerular filtration rate;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AST, </w:t>
      </w:r>
      <w:r w:rsidRPr="003A2E0B">
        <w:rPr>
          <w:rFonts w:ascii="Arial" w:hAnsi="Arial" w:cs="Arial"/>
          <w:color w:val="000000" w:themeColor="text1"/>
          <w:sz w:val="20"/>
          <w:szCs w:val="20"/>
        </w:rPr>
        <w:t>aspartate aminotransferase</w:t>
      </w:r>
      <w:r>
        <w:rPr>
          <w:rFonts w:ascii="Arial" w:hAnsi="Arial" w:cs="Arial" w:hint="eastAsia"/>
          <w:color w:val="000000" w:themeColor="text1"/>
          <w:sz w:val="20"/>
          <w:szCs w:val="20"/>
        </w:rPr>
        <w:t>;</w:t>
      </w:r>
      <w:r w:rsidRPr="003A2E0B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Pr="001D2D98">
        <w:rPr>
          <w:rFonts w:ascii="Arial" w:hAnsi="Arial" w:cs="Arial"/>
          <w:color w:val="000000" w:themeColor="text1"/>
          <w:sz w:val="20"/>
          <w:szCs w:val="20"/>
        </w:rPr>
        <w:t xml:space="preserve">PD-1, programmed cell death-1; PD-L1, programmed death-ligand 1;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ACEi, </w:t>
      </w:r>
      <w:r w:rsidRPr="00D72EBB">
        <w:rPr>
          <w:rFonts w:ascii="Arial" w:hAnsi="Arial" w:cs="Arial"/>
          <w:color w:val="000000" w:themeColor="text1"/>
          <w:sz w:val="20"/>
          <w:szCs w:val="20"/>
        </w:rPr>
        <w:t>angiotensin-converting enzyme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Pr="0012623A">
        <w:rPr>
          <w:rFonts w:ascii="Arial" w:hAnsi="Arial" w:cs="Arial"/>
          <w:color w:val="000000" w:themeColor="text1"/>
          <w:sz w:val="20"/>
          <w:szCs w:val="20"/>
        </w:rPr>
        <w:t>inhibitors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; </w:t>
      </w:r>
      <w:r w:rsidRPr="00301902">
        <w:rPr>
          <w:rFonts w:ascii="Arial" w:hAnsi="Arial" w:cs="Arial"/>
          <w:color w:val="000000"/>
          <w:sz w:val="20"/>
          <w:szCs w:val="20"/>
        </w:rPr>
        <w:t>ARBs</w:t>
      </w:r>
      <w:r>
        <w:rPr>
          <w:rFonts w:ascii="Arial" w:hAnsi="Arial" w:cs="Arial" w:hint="eastAsia"/>
          <w:color w:val="000000"/>
          <w:sz w:val="20"/>
          <w:szCs w:val="20"/>
        </w:rPr>
        <w:t>, a</w:t>
      </w:r>
      <w:r w:rsidRPr="00A66D6C">
        <w:rPr>
          <w:rFonts w:ascii="Arial" w:hAnsi="Arial" w:cs="Arial"/>
          <w:color w:val="000000"/>
          <w:sz w:val="20"/>
          <w:szCs w:val="20"/>
        </w:rPr>
        <w:t>ngiotensin receptor blockers</w:t>
      </w:r>
      <w:r w:rsidRPr="001D2D9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BC3AFC9" w14:textId="77777777" w:rsidR="004956CE" w:rsidRDefault="004956CE" w:rsidP="0077135C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  <w:sectPr w:rsidR="004956CE" w:rsidSect="00E117C2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D760DF8" w14:textId="5B3C63CD" w:rsidR="004956CE" w:rsidRPr="004655C4" w:rsidRDefault="004956CE" w:rsidP="004956CE">
      <w:pPr>
        <w:rPr>
          <w:rFonts w:ascii="Arial" w:hAnsi="Arial" w:cs="Arial"/>
        </w:rPr>
      </w:pPr>
      <w:r w:rsidRPr="00F138C7">
        <w:rPr>
          <w:rFonts w:ascii="Arial" w:hAnsi="Arial" w:cs="Arial"/>
        </w:rPr>
        <w:lastRenderedPageBreak/>
        <w:t>Supplementary Table</w:t>
      </w:r>
      <w:r>
        <w:rPr>
          <w:rFonts w:ascii="Arial" w:hAnsi="Arial" w:cs="Arial"/>
        </w:rPr>
        <w:t xml:space="preserve"> </w:t>
      </w:r>
      <w:r w:rsidR="008F23F2">
        <w:rPr>
          <w:rFonts w:ascii="Arial" w:hAnsi="Arial" w:cs="Arial"/>
        </w:rPr>
        <w:t>6</w:t>
      </w:r>
      <w:r w:rsidRPr="00286EC1">
        <w:rPr>
          <w:rFonts w:ascii="Arial" w:hAnsi="Arial" w:cs="Arial"/>
          <w:color w:val="000000"/>
        </w:rPr>
        <w:t xml:space="preserve">. </w:t>
      </w:r>
      <w:r w:rsidRPr="000C26B6">
        <w:rPr>
          <w:rFonts w:ascii="Arial" w:hAnsi="Arial" w:cs="Arial"/>
          <w:color w:val="000000"/>
        </w:rPr>
        <w:t xml:space="preserve">GLP-1 receptor agonist–related safety outcomes during immune checkpoint inhibitor therapy among individuals with </w:t>
      </w:r>
      <w:r>
        <w:rPr>
          <w:rFonts w:ascii="Arial" w:hAnsi="Arial" w:cs="Arial"/>
          <w:color w:val="000000"/>
        </w:rPr>
        <w:t>obesity</w:t>
      </w:r>
      <w:r w:rsidRPr="00956D71">
        <w:rPr>
          <w:rFonts w:ascii="Arial" w:hAnsi="Arial" w:cs="Arial"/>
          <w:color w:val="000000"/>
        </w:rPr>
        <w:t xml:space="preserve"> </w:t>
      </w:r>
      <w:r w:rsidRPr="003B7522">
        <w:rPr>
          <w:rFonts w:ascii="Arial" w:hAnsi="Arial" w:cs="Arial"/>
          <w:color w:val="000000"/>
        </w:rPr>
        <w:t xml:space="preserve">and </w:t>
      </w:r>
      <w:r>
        <w:rPr>
          <w:rFonts w:ascii="Arial" w:hAnsi="Arial" w:cs="Arial"/>
          <w:color w:val="000000"/>
        </w:rPr>
        <w:t>cancer</w:t>
      </w:r>
    </w:p>
    <w:tbl>
      <w:tblPr>
        <w:tblW w:w="155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1630"/>
        <w:gridCol w:w="1630"/>
        <w:gridCol w:w="1985"/>
        <w:gridCol w:w="567"/>
        <w:gridCol w:w="567"/>
        <w:gridCol w:w="992"/>
        <w:gridCol w:w="1559"/>
        <w:gridCol w:w="709"/>
        <w:gridCol w:w="1134"/>
        <w:gridCol w:w="709"/>
        <w:gridCol w:w="992"/>
      </w:tblGrid>
      <w:tr w:rsidR="004956CE" w:rsidRPr="004611A0" w14:paraId="69BC6F4A" w14:textId="77777777" w:rsidTr="00C052DA">
        <w:trPr>
          <w:trHeight w:val="559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02B225" w14:textId="77777777" w:rsidR="004956CE" w:rsidRPr="00E75584" w:rsidRDefault="004956CE" w:rsidP="00C052DA">
            <w:pPr>
              <w:spacing w:line="0" w:lineRule="atLeast"/>
              <w:rPr>
                <w:rFonts w:ascii="Arial" w:hAnsi="Arial" w:cs="Arial"/>
                <w:color w:val="0D0D0D"/>
                <w:sz w:val="18"/>
                <w:szCs w:val="1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79011F" w14:textId="77777777" w:rsidR="004956CE" w:rsidRPr="004611A0" w:rsidRDefault="004956CE" w:rsidP="00C052DA">
            <w:pPr>
              <w:spacing w:line="0" w:lineRule="atLeast"/>
              <w:ind w:leftChars="-82" w:left="-197" w:firstLineChars="82" w:firstLine="148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Exposure Cohort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C746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Comparator Cohort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E58711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Risk Difference</w:t>
            </w:r>
          </w:p>
          <w:p w14:paraId="547B91AF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  <w:highlight w:val="yellow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(95% CI)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90BFBE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  <w:highlight w:val="yellow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ARD (%)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189559" w14:textId="77777777" w:rsidR="004956CE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NNT</w:t>
            </w:r>
          </w:p>
          <w:p w14:paraId="61262915" w14:textId="77777777" w:rsidR="004956CE" w:rsidRPr="00D75AC3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D0D0D"/>
                <w:sz w:val="18"/>
                <w:szCs w:val="18"/>
              </w:rPr>
              <w:t>(3y)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02FBDA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HR-Based</w:t>
            </w:r>
          </w:p>
          <w:p w14:paraId="5D848FEB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  <w:highlight w:val="yellow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RRR (%)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920D47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HR (95% CI)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142DA5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i/>
                <w:iCs/>
                <w:color w:val="0D0D0D"/>
                <w:sz w:val="18"/>
                <w:szCs w:val="18"/>
              </w:rPr>
              <w:t>P</w:t>
            </w: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27C60A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Adjusted</w:t>
            </w:r>
          </w:p>
          <w:p w14:paraId="40E56931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i/>
                <w:iCs/>
                <w:color w:val="0D0D0D"/>
                <w:sz w:val="18"/>
                <w:szCs w:val="18"/>
              </w:rPr>
              <w:t>P</w:t>
            </w: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 xml:space="preserve"> value</w:t>
            </w:r>
          </w:p>
          <w:p w14:paraId="3C014482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(BH Method)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7AE028D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E-value for HR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A48E1A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E-value</w:t>
            </w:r>
          </w:p>
          <w:p w14:paraId="08EC3BBD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D0D0D"/>
                <w:sz w:val="18"/>
                <w:szCs w:val="18"/>
              </w:rPr>
              <w:t>for Lower CI of HR</w:t>
            </w:r>
          </w:p>
        </w:tc>
      </w:tr>
      <w:tr w:rsidR="004956CE" w:rsidRPr="004611A0" w14:paraId="6CEAA409" w14:textId="77777777" w:rsidTr="00C052DA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D065B78" w14:textId="77777777" w:rsidR="004956CE" w:rsidRPr="004611A0" w:rsidRDefault="004956CE" w:rsidP="00C052DA">
            <w:pPr>
              <w:spacing w:line="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ICI</w:t>
            </w:r>
            <w:r w:rsidRPr="00DF3C7E">
              <w:rPr>
                <w:rFonts w:ascii="Arial" w:hAnsi="Arial" w:cs="Arial" w:hint="eastAsia"/>
                <w:color w:val="000000"/>
                <w:sz w:val="18"/>
                <w:szCs w:val="18"/>
              </w:rPr>
              <w:t>+</w:t>
            </w:r>
            <w:r w:rsidRPr="00DF3C7E">
              <w:rPr>
                <w:rFonts w:ascii="Arial" w:hAnsi="Arial" w:cs="Arial"/>
                <w:color w:val="000000"/>
                <w:sz w:val="18"/>
                <w:szCs w:val="18"/>
              </w:rPr>
              <w:t xml:space="preserve">GLP-1 RA vs </w:t>
            </w:r>
            <w:r w:rsidRPr="00DF3C7E">
              <w:rPr>
                <w:rFonts w:ascii="Arial" w:hAnsi="Arial" w:cs="Arial" w:hint="eastAsia"/>
                <w:color w:val="000000"/>
                <w:sz w:val="18"/>
                <w:szCs w:val="18"/>
              </w:rPr>
              <w:t>I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CI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7F018E1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0F76D8B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324670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C50178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D616B5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06320DDA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94A0D7B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38F404BF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66DDCB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9577661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56BF0" w14:textId="77777777" w:rsidR="004956CE" w:rsidRPr="004611A0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956CE" w:rsidRPr="004611A0" w14:paraId="7C413611" w14:textId="77777777" w:rsidTr="00C052DA">
        <w:trPr>
          <w:trHeight w:val="284"/>
        </w:trPr>
        <w:tc>
          <w:tcPr>
            <w:tcW w:w="311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0A3E2E9" w14:textId="77777777" w:rsidR="004956CE" w:rsidRPr="00D6364A" w:rsidRDefault="004956CE" w:rsidP="00C052DA">
            <w:pPr>
              <w:spacing w:line="0" w:lineRule="atLeast"/>
              <w:jc w:val="both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D6364A">
              <w:rPr>
                <w:rFonts w:ascii="Arial" w:hAnsi="Arial" w:cs="Arial"/>
                <w:color w:val="000000"/>
                <w:sz w:val="18"/>
                <w:szCs w:val="18"/>
              </w:rPr>
              <w:t>Drug-induced hypoglycaemia</w:t>
            </w:r>
          </w:p>
        </w:tc>
        <w:tc>
          <w:tcPr>
            <w:tcW w:w="163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2A44BEDE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104/ 545 (19.08)</w:t>
            </w:r>
          </w:p>
        </w:tc>
        <w:tc>
          <w:tcPr>
            <w:tcW w:w="163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2A5B034C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182/ 543 (33.52)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bottom"/>
          </w:tcPr>
          <w:p w14:paraId="009A45E1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-0.144 (-0.196, -0.093)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bottom"/>
          </w:tcPr>
          <w:p w14:paraId="39777A9B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-14.43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bottom"/>
          </w:tcPr>
          <w:p w14:paraId="37A74E6F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2878D5E9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+36.04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3EB32077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0.53 (0.42, 0.68)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78F14061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bottom"/>
          </w:tcPr>
          <w:p w14:paraId="5A3FD08F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D30D96F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3.15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bottom"/>
          </w:tcPr>
          <w:p w14:paraId="36126F36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2.30</w:t>
            </w:r>
          </w:p>
        </w:tc>
      </w:tr>
      <w:tr w:rsidR="004956CE" w:rsidRPr="004611A0" w14:paraId="4BC2245D" w14:textId="77777777" w:rsidTr="00C052DA">
        <w:trPr>
          <w:trHeight w:val="28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C42701" w14:textId="77777777" w:rsidR="004956CE" w:rsidRPr="00D6364A" w:rsidRDefault="004956CE" w:rsidP="00C052DA">
            <w:pPr>
              <w:spacing w:line="0" w:lineRule="atLeast"/>
              <w:jc w:val="both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D6364A">
              <w:rPr>
                <w:rFonts w:ascii="Arial" w:hAnsi="Arial" w:cs="Arial"/>
                <w:color w:val="000000"/>
                <w:sz w:val="18"/>
                <w:szCs w:val="18"/>
              </w:rPr>
              <w:t>Acute kidney injury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942BB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101/ 812 (12.44)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21D308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168/ 803 (20.92)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99E3E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-0.085 (-0.121, -0.049)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87D2D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-8.48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6FA38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CA0C23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+24.63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4073BB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0.59 (0.46, 0.75)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A49EAF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85991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410024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2.79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F57A4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1.98</w:t>
            </w:r>
          </w:p>
        </w:tc>
      </w:tr>
      <w:tr w:rsidR="004956CE" w:rsidRPr="004611A0" w14:paraId="3EFA8BC5" w14:textId="77777777" w:rsidTr="00C052DA">
        <w:trPr>
          <w:trHeight w:val="28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9F24D" w14:textId="77777777" w:rsidR="004956CE" w:rsidRPr="00D6364A" w:rsidRDefault="004956CE" w:rsidP="00C052DA">
            <w:pPr>
              <w:spacing w:line="0" w:lineRule="atLeast"/>
              <w:jc w:val="both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D6364A">
              <w:rPr>
                <w:rFonts w:ascii="Arial" w:hAnsi="Arial" w:cs="Arial"/>
                <w:color w:val="000000"/>
                <w:sz w:val="18"/>
                <w:szCs w:val="18"/>
              </w:rPr>
              <w:t>Dehydration/Orthostatic hypotension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D1711B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121/ 699 (17.31)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CD953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206/ 694 (29.68)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A07AF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-0.124 (-0.168, -0.080)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5D02A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-12.37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FC462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DB760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+37.81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009433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0.54 (0.43, 0.67)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23674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FD662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04A10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3.13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62732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2.34</w:t>
            </w:r>
          </w:p>
        </w:tc>
      </w:tr>
      <w:tr w:rsidR="004956CE" w:rsidRPr="004611A0" w14:paraId="666E2595" w14:textId="77777777" w:rsidTr="00C052DA">
        <w:trPr>
          <w:trHeight w:val="284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D0DFE8" w14:textId="77777777" w:rsidR="004956CE" w:rsidRPr="004611A0" w:rsidRDefault="004956CE" w:rsidP="00C052DA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611A0">
              <w:rPr>
                <w:rFonts w:ascii="Arial" w:hAnsi="Arial" w:cs="Arial"/>
                <w:color w:val="000000"/>
                <w:sz w:val="18"/>
                <w:szCs w:val="18"/>
              </w:rPr>
              <w:t>NCOs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2A8ADD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79/ 690 (11.45)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1E3A58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77/ 737 (10.45)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117B0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0.010 (-0.022, 0.042)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E68CFD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+1.00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BB7569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94437E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EE067A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1.18 (0.86, 1.62)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7B37A9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1310DB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7A7FD1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866219" w14:textId="77777777" w:rsidR="004956CE" w:rsidRPr="00B23616" w:rsidRDefault="004956CE" w:rsidP="00C052DA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616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</w:tr>
    </w:tbl>
    <w:p w14:paraId="2AA4B06E" w14:textId="77777777" w:rsidR="004956CE" w:rsidRPr="00701E2D" w:rsidRDefault="004956CE" w:rsidP="004956CE">
      <w:pPr>
        <w:pStyle w:val="Web"/>
        <w:spacing w:before="0" w:beforeAutospacing="0"/>
        <w:jc w:val="both"/>
      </w:pPr>
      <w:r w:rsidRPr="001E001D">
        <w:rPr>
          <w:rFonts w:ascii="Arial" w:hAnsi="Arial" w:cs="Arial"/>
          <w:color w:val="000000"/>
          <w:sz w:val="20"/>
          <w:szCs w:val="20"/>
        </w:rPr>
        <w:t xml:space="preserve">Estimates reported. For each outcome, the table displays events/total (%), 36-month risk (Kaplan–Meier estimate), absolute risk difference (ARD, percentage points), number needed to treat (NNT), and hazard ratio (HR) with 95% confidence interval (CI). HRs were estimated from Cox proportional-hazards models in the 1:1 propensity-score–matched cohorts with robust variance clustered by healthcare organization. Proportional-hazards assumptions were reviewed on exported datasets. </w:t>
      </w:r>
      <w:r w:rsidRPr="00A50588">
        <w:rPr>
          <w:rFonts w:ascii="Arial" w:hAnsi="Arial" w:cs="Arial"/>
          <w:color w:val="000000"/>
          <w:sz w:val="20"/>
          <w:szCs w:val="20"/>
        </w:rPr>
        <w:t>Numbers needed to treat are computed as</w:t>
      </w:r>
      <w:r w:rsidRPr="005A3BD9">
        <w:rPr>
          <w:rFonts w:ascii="Arial" w:hAnsi="Arial" w:cs="Arial"/>
          <w:color w:val="000000"/>
          <w:sz w:val="20"/>
          <w:szCs w:val="20"/>
        </w:rPr>
        <w:t xml:space="preserve"> NNT(t)=1/</w:t>
      </w:r>
      <w:r w:rsidRPr="00A50588">
        <w:rPr>
          <w:rFonts w:ascii="Arial" w:hAnsi="Arial" w:cs="Arial"/>
          <w:color w:val="000000"/>
          <w:sz w:val="20"/>
          <w:szCs w:val="20"/>
        </w:rPr>
        <w:t>|</w:t>
      </w:r>
      <w:r>
        <w:rPr>
          <w:rFonts w:ascii="Arial" w:hAnsi="Arial" w:cs="Arial" w:hint="eastAsia"/>
          <w:color w:val="000000"/>
          <w:sz w:val="20"/>
          <w:szCs w:val="20"/>
        </w:rPr>
        <w:t>F</w:t>
      </w:r>
      <w:r w:rsidRPr="005A3B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127EFE">
        <w:rPr>
          <w:rFonts w:ascii="Arial" w:hAnsi="Arial" w:cs="Arial"/>
          <w:color w:val="000000"/>
          <w:sz w:val="20"/>
          <w:szCs w:val="20"/>
          <w:vertAlign w:val="subscript"/>
        </w:rPr>
        <w:t>treat</w:t>
      </w:r>
      <w:r w:rsidRPr="005A3BD9">
        <w:rPr>
          <w:rFonts w:ascii="Arial" w:hAnsi="Arial" w:cs="Arial"/>
          <w:color w:val="000000"/>
          <w:sz w:val="20"/>
          <w:szCs w:val="20"/>
        </w:rPr>
        <w:t>(t)−F</w:t>
      </w:r>
      <w:r w:rsidRPr="00127EFE">
        <w:rPr>
          <w:rFonts w:ascii="Arial" w:hAnsi="Arial" w:cs="Arial"/>
          <w:color w:val="000000"/>
          <w:sz w:val="20"/>
          <w:szCs w:val="20"/>
          <w:vertAlign w:val="subscript"/>
        </w:rPr>
        <w:t>control</w:t>
      </w:r>
      <w:r w:rsidRPr="005A3BD9">
        <w:rPr>
          <w:rFonts w:ascii="Arial" w:hAnsi="Arial" w:cs="Arial"/>
          <w:color w:val="000000"/>
          <w:sz w:val="20"/>
          <w:szCs w:val="20"/>
        </w:rPr>
        <w:t>(t)</w:t>
      </w:r>
      <w:r w:rsidRPr="005A3BD9">
        <w:rPr>
          <w:rFonts w:ascii="Cambria Math" w:hAnsi="Cambria Math" w:cs="Cambria Math"/>
          <w:color w:val="000000"/>
          <w:sz w:val="20"/>
          <w:szCs w:val="20"/>
        </w:rPr>
        <w:t>∣</w:t>
      </w:r>
      <w:r w:rsidRPr="005A3BD9">
        <w:rPr>
          <w:rFonts w:ascii="Arial" w:hAnsi="Arial" w:cs="Arial"/>
          <w:color w:val="000000"/>
          <w:sz w:val="20"/>
          <w:szCs w:val="20"/>
        </w:rPr>
        <w:t>, where F</w:t>
      </w:r>
      <w:r w:rsidRPr="00127EFE">
        <w:rPr>
          <w:rFonts w:ascii="Arial" w:hAnsi="Arial" w:cs="Arial"/>
          <w:color w:val="000000"/>
          <w:sz w:val="20"/>
          <w:szCs w:val="20"/>
          <w:vertAlign w:val="subscript"/>
        </w:rPr>
        <w:t>group</w:t>
      </w:r>
      <w:r w:rsidRPr="005A3BD9">
        <w:rPr>
          <w:rFonts w:ascii="Arial" w:hAnsi="Arial" w:cs="Arial"/>
          <w:color w:val="000000"/>
          <w:sz w:val="20"/>
          <w:szCs w:val="20"/>
        </w:rPr>
        <w:t>(t) is the cumulative incidence by time t for that group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, </w:t>
      </w:r>
      <w:r w:rsidRPr="00DC32F4">
        <w:rPr>
          <w:rFonts w:ascii="Arial" w:hAnsi="Arial" w:cs="Arial"/>
          <w:color w:val="000000"/>
          <w:sz w:val="20"/>
          <w:szCs w:val="20"/>
        </w:rPr>
        <w:t>and are rounded upward to whole number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s. </w:t>
      </w:r>
      <w:r w:rsidRPr="001E001D">
        <w:rPr>
          <w:rFonts w:ascii="Arial" w:hAnsi="Arial" w:cs="Arial"/>
          <w:color w:val="000000"/>
          <w:sz w:val="20"/>
          <w:szCs w:val="20"/>
        </w:rPr>
        <w:t xml:space="preserve">Negative ARD values correspond to NNT for benefit; positive ARD values correspond to NNT for harm. </w:t>
      </w:r>
      <w:r w:rsidRPr="00781AE6">
        <w:rPr>
          <w:rFonts w:ascii="Arial" w:hAnsi="Arial" w:cs="Arial"/>
          <w:color w:val="000000"/>
          <w:sz w:val="20"/>
          <w:szCs w:val="20"/>
        </w:rPr>
        <w:t>NNT is a time-specific estimate at 36 months (i.e., NNT(3</w:t>
      </w:r>
      <w:r>
        <w:rPr>
          <w:rFonts w:ascii="Arial" w:hAnsi="Arial" w:cs="Arial" w:hint="eastAsia"/>
          <w:color w:val="000000"/>
          <w:sz w:val="20"/>
          <w:szCs w:val="20"/>
        </w:rPr>
        <w:t>y</w:t>
      </w:r>
      <w:r w:rsidRPr="00781AE6">
        <w:rPr>
          <w:rFonts w:ascii="Arial" w:hAnsi="Arial" w:cs="Arial"/>
          <w:color w:val="000000"/>
          <w:sz w:val="20"/>
          <w:szCs w:val="20"/>
        </w:rPr>
        <w:t>))</w:t>
      </w:r>
      <w:r>
        <w:rPr>
          <w:rFonts w:ascii="Arial" w:hAnsi="Arial" w:cs="Arial" w:hint="eastAsia"/>
          <w:color w:val="000000"/>
          <w:sz w:val="20"/>
          <w:szCs w:val="20"/>
        </w:rPr>
        <w:t>.</w:t>
      </w:r>
      <w:r w:rsidRPr="001E001D">
        <w:rPr>
          <w:rFonts w:ascii="Arial" w:hAnsi="Arial" w:cs="Arial"/>
          <w:color w:val="000000"/>
          <w:sz w:val="20"/>
          <w:szCs w:val="20"/>
        </w:rPr>
        <w:t xml:space="preserve"> Multiplicity across prespecified secondary endpoints was addressed using the Benjamini–Hochberg false-discovery rate procedure. E-values for key endpoints to contextualize the strength of unmeasured confounding that would be needed to explain the observed associations. Denominators may vary across outcomes due to prior-event exclusions and data availability. Variables with structured “Unknown/Unavailable” categories in TriNetX were retained as separate levels; no imputation was performed. ARD, absolute risk difference; CI, confidence interval; eGFR, estimated glomerular filtration rate; GLP-1 RA, glucagon-like peptide-1 receptor agonist; HR, hazard ratio; ICI, immune checkpoint inhibitor; ICU, intensive care unit; NNT, number needed to treat; PSM, propensity-score matching.</w:t>
      </w:r>
    </w:p>
    <w:p w14:paraId="252ABE76" w14:textId="77777777" w:rsidR="004956CE" w:rsidRDefault="004956CE" w:rsidP="0077135C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  <w:sectPr w:rsidR="004956CE" w:rsidSect="004956C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CBB0BD3" w14:textId="2FB569D8" w:rsidR="00BC4C76" w:rsidRDefault="00373FC6" w:rsidP="00B22491">
      <w:pPr>
        <w:pStyle w:val="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DAA54CD" wp14:editId="2618B943">
            <wp:extent cx="5727700" cy="4126230"/>
            <wp:effectExtent l="0" t="0" r="0" b="1270"/>
            <wp:docPr id="1722302476" name="圖片 1" descr="一張含有 文字, 螢幕擷取畫面, 功能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2476" name="圖片 1" descr="一張含有 文字, 螢幕擷取畫面, 功能表 的圖片&#10;&#10;AI 產生的內容可能不正確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D9B3" w14:textId="3B7AC032" w:rsidR="00BC4C76" w:rsidRPr="004F305B" w:rsidRDefault="006F733E" w:rsidP="00BC4C76">
      <w:pPr>
        <w:pStyle w:val="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="00252673" w:rsidRPr="00440EA1">
        <w:rPr>
          <w:rFonts w:ascii="Arial" w:hAnsi="Arial" w:cs="Arial"/>
          <w:color w:val="000000"/>
        </w:rPr>
        <w:t>upplementary</w:t>
      </w:r>
      <w:r w:rsidR="00252673" w:rsidRPr="00252673">
        <w:rPr>
          <w:rStyle w:val="afc"/>
          <w:rFonts w:ascii="Arial" w:hAnsi="Arial" w:cs="Arial"/>
          <w:color w:val="000000"/>
        </w:rPr>
        <w:t xml:space="preserve"> </w:t>
      </w:r>
      <w:r w:rsidR="00252673"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1. </w:t>
      </w:r>
      <w:r w:rsidR="00BC4C76" w:rsidRPr="004F305B">
        <w:rPr>
          <w:rFonts w:ascii="Arial" w:hAnsi="Arial" w:cs="Arial"/>
          <w:color w:val="000000"/>
        </w:rPr>
        <w:t xml:space="preserve">Standardized mean differences before and after matching. </w:t>
      </w:r>
      <w:r w:rsidR="00BC4C76">
        <w:rPr>
          <w:rFonts w:ascii="Arial" w:hAnsi="Arial" w:cs="Arial"/>
          <w:color w:val="000000"/>
        </w:rPr>
        <w:t>S</w:t>
      </w:r>
      <w:r w:rsidR="00BC4C76" w:rsidRPr="004F305B">
        <w:rPr>
          <w:rFonts w:ascii="Arial" w:hAnsi="Arial" w:cs="Arial"/>
          <w:color w:val="000000"/>
        </w:rPr>
        <w:t>tandardized mean differences (SMDs) are shown for all baseline covariates before and after matching. Vertical reference lines indicate |SMD| = 0.10 and 0.</w:t>
      </w:r>
      <w:r w:rsidR="00BC4C76">
        <w:rPr>
          <w:rFonts w:ascii="Arial" w:hAnsi="Arial" w:cs="Arial"/>
          <w:color w:val="000000"/>
        </w:rPr>
        <w:t xml:space="preserve"> P</w:t>
      </w:r>
      <w:r w:rsidR="00BC4C76" w:rsidRPr="004F305B">
        <w:rPr>
          <w:rFonts w:ascii="Arial" w:hAnsi="Arial" w:cs="Arial"/>
          <w:color w:val="000000"/>
        </w:rPr>
        <w:t>ost-match SMDs were &lt;0.05 for nearly all variables, supporting adequate balance prior to outcome modeling.</w:t>
      </w:r>
    </w:p>
    <w:p w14:paraId="299E2083" w14:textId="14076852" w:rsidR="00074D25" w:rsidRPr="00BC4C76" w:rsidRDefault="00074D25" w:rsidP="00B22491">
      <w:pPr>
        <w:pStyle w:val="Web"/>
        <w:jc w:val="both"/>
        <w:rPr>
          <w:rFonts w:ascii="Arial" w:hAnsi="Arial" w:cs="Arial"/>
          <w:color w:val="A8D08D" w:themeColor="accent6" w:themeTint="99"/>
        </w:rPr>
      </w:pPr>
    </w:p>
    <w:p w14:paraId="4467D535" w14:textId="77777777" w:rsidR="00AD58FF" w:rsidRDefault="00AD58FF" w:rsidP="0077135C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  <w:sectPr w:rsidR="00AD58FF" w:rsidSect="00BC4C76">
          <w:pgSz w:w="11900" w:h="16840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39581B5A" w14:textId="71754047" w:rsidR="00AD58FF" w:rsidRDefault="00AD58FF" w:rsidP="00AD58FF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A2FC7F9" wp14:editId="629BEF8D">
            <wp:extent cx="8370917" cy="3596153"/>
            <wp:effectExtent l="0" t="0" r="0" b="0"/>
            <wp:docPr id="1429951241" name="圖片 1" descr="一張含有 文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51241" name="圖片 1" descr="一張含有 文字, 螢幕擷取畫面 的圖片&#10;&#10;AI 產生的內容可能不正確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718" cy="362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1AC8" w14:textId="2CA7B85A" w:rsidR="00AD58FF" w:rsidRDefault="00AD58FF" w:rsidP="00AD58FF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</w:t>
      </w:r>
      <w:r w:rsidRPr="00440EA1">
        <w:rPr>
          <w:rFonts w:ascii="Arial" w:hAnsi="Arial" w:cs="Arial"/>
          <w:color w:val="000000"/>
        </w:rPr>
        <w:t>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1E7D3C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 w:rsidRPr="001E7D3C">
        <w:rPr>
          <w:rFonts w:ascii="Arial" w:hAnsi="Arial" w:cs="Arial"/>
        </w:rPr>
        <w:t xml:space="preserve">. </w:t>
      </w:r>
      <w:r w:rsidRPr="00FD2D38">
        <w:rPr>
          <w:rFonts w:ascii="Arial" w:hAnsi="Arial" w:cs="Arial"/>
        </w:rPr>
        <w:t>Hazard ratios for clinical outcomes at 12, 24, and 36 months among matched patients receiving immune checkpoint inhibitors with vs without concomitant GLP</w:t>
      </w:r>
      <w:r>
        <w:rPr>
          <w:rFonts w:ascii="Arial" w:hAnsi="Arial" w:cs="Arial"/>
        </w:rPr>
        <w:t>-</w:t>
      </w:r>
      <w:r w:rsidRPr="00FD2D38">
        <w:rPr>
          <w:rFonts w:ascii="Arial" w:hAnsi="Arial" w:cs="Arial"/>
        </w:rPr>
        <w:t>1 receptor agonists. Forest plots summarise hazard ratios with 95% confidence intervals from Cox proportional hazards models in 1:1 propensity score matched intention to treat cohorts, comparing immune checkpoint inhibitors with concomitant GLP</w:t>
      </w:r>
      <w:r>
        <w:rPr>
          <w:rFonts w:ascii="Arial" w:hAnsi="Arial" w:cs="Arial"/>
        </w:rPr>
        <w:t>-</w:t>
      </w:r>
      <w:r w:rsidRPr="00FD2D38">
        <w:rPr>
          <w:rFonts w:ascii="Arial" w:hAnsi="Arial" w:cs="Arial"/>
        </w:rPr>
        <w:t>1 receptor agonists versus immune checkpoint inhibitors without GLP</w:t>
      </w:r>
      <w:r>
        <w:rPr>
          <w:rFonts w:ascii="Arial" w:hAnsi="Arial" w:cs="Arial"/>
        </w:rPr>
        <w:t>-</w:t>
      </w:r>
      <w:r w:rsidRPr="00FD2D38">
        <w:rPr>
          <w:rFonts w:ascii="Arial" w:hAnsi="Arial" w:cs="Arial"/>
        </w:rPr>
        <w:t>1 receptor agonists as the reference. Panel A shows estimate through 12 months, Panel B through 24 months, and Panel C through 36 months. The vertical reference line marks a hazard ratio of 1.0. Points in green indicate confidence intervals that do not include 1.0, whereas grey points indicate intervals that include 1.0. Outcomes include all-cause mortality, composite immune related adverse events and selected components, healthcare utilization measures, sarcopenia cachexia malnutrition, and a negative control composite.</w:t>
      </w:r>
    </w:p>
    <w:p w14:paraId="6720D405" w14:textId="77777777" w:rsidR="00585AF5" w:rsidRPr="00AD58FF" w:rsidRDefault="00585AF5" w:rsidP="0077135C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  <w:sectPr w:rsidR="00585AF5" w:rsidRPr="00AD58FF" w:rsidSect="00AD58FF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6DD5B73" w14:textId="54354900" w:rsidR="00585AF5" w:rsidRDefault="00172DD6" w:rsidP="00C93A9F">
      <w:pPr>
        <w:snapToGrid w:val="0"/>
        <w:spacing w:line="276" w:lineRule="auto"/>
        <w:jc w:val="center"/>
        <w:rPr>
          <w:rFonts w:ascii="Arial" w:hAnsi="Arial" w:cs="Arial"/>
          <w:color w:val="A8D08D" w:themeColor="accent6" w:themeTint="99"/>
        </w:rPr>
      </w:pPr>
      <w:r>
        <w:rPr>
          <w:rFonts w:ascii="Arial" w:hAnsi="Arial" w:cs="Arial"/>
          <w:noProof/>
          <w:color w:val="A8D08D" w:themeColor="accent6" w:themeTint="99"/>
        </w:rPr>
        <w:lastRenderedPageBreak/>
        <w:drawing>
          <wp:inline distT="0" distB="0" distL="0" distR="0" wp14:anchorId="1B3E6DC1" wp14:editId="005DB5EB">
            <wp:extent cx="4175760" cy="3974816"/>
            <wp:effectExtent l="0" t="0" r="2540" b="635"/>
            <wp:docPr id="1383475676" name="圖片 2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75676" name="圖片 2" descr="一張含有 文字, 螢幕擷取畫面, 字型, 數字 的圖片&#10;&#10;AI 產生的內容可能不正確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043" cy="39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C4E7" w14:textId="5BF6E695" w:rsidR="00281148" w:rsidRDefault="00281148" w:rsidP="00281148">
      <w:pPr>
        <w:jc w:val="both"/>
        <w:rPr>
          <w:rFonts w:ascii="Arial" w:hAnsi="Arial" w:cs="Arial"/>
        </w:rPr>
      </w:pPr>
      <w:r w:rsidRPr="00440EA1">
        <w:rPr>
          <w:rFonts w:ascii="Arial" w:hAnsi="Arial" w:cs="Arial"/>
          <w:color w:val="000000"/>
        </w:rPr>
        <w:t>Supplementary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6C7988">
        <w:rPr>
          <w:rStyle w:val="afc"/>
          <w:rFonts w:ascii="Arial" w:hAnsi="Arial" w:cs="Arial"/>
          <w:b w:val="0"/>
          <w:bCs w:val="0"/>
          <w:color w:val="000000"/>
        </w:rPr>
        <w:t>3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>.</w:t>
      </w:r>
      <w:r>
        <w:rPr>
          <w:rStyle w:val="afc"/>
          <w:rFonts w:ascii="Arial" w:hAnsi="Arial" w:cs="Arial"/>
          <w:b w:val="0"/>
          <w:bCs w:val="0"/>
          <w:color w:val="000000"/>
        </w:rPr>
        <w:t xml:space="preserve"> </w:t>
      </w:r>
      <w:r w:rsidR="00172DD6" w:rsidRPr="004572CA">
        <w:rPr>
          <w:rFonts w:ascii="Arial" w:hAnsi="Arial" w:cs="Arial"/>
        </w:rPr>
        <w:t>Sensitivity Analysis - Specifying the Semaglutide Brand</w:t>
      </w:r>
      <w:r w:rsidR="00172DD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F439FC">
        <w:rPr>
          <w:rFonts w:ascii="Arial" w:hAnsi="Arial" w:cs="Arial"/>
        </w:rPr>
        <w:t>Forest plot of hazard ratios (HRs) with 95% confidence intervals comparing immune checkpoint inhibitors (ICI) with concomitant GLP-1 receptor agonists (GLP-1 RA) versus ICI without GLP-1 RA (reference). Estimates derive from Cox proportional hazards models in 1:1 propensity-score–matched intention-to-treat (ITT) cohorts. Follow-up starts on day 1 after index ICI and extends through 36 months. GLP-1 RA, glucagon-like peptide-1 receptor agonist; ICI, immune checkpoint inhibitor; ITT, intention-to-treat; irAE, immune-related adverse event; ir-ILD, immune-related interstitial lung disease; ICU, intensive care unit; NCO, negative control outcome.</w:t>
      </w:r>
    </w:p>
    <w:p w14:paraId="0CA0FC23" w14:textId="77777777" w:rsidR="00762DC9" w:rsidRDefault="00762DC9" w:rsidP="0077135C">
      <w:pPr>
        <w:snapToGrid w:val="0"/>
        <w:spacing w:line="276" w:lineRule="auto"/>
        <w:rPr>
          <w:rFonts w:ascii="Arial" w:hAnsi="Arial" w:cs="Arial"/>
          <w:color w:val="000000"/>
        </w:rPr>
        <w:sectPr w:rsidR="00762DC9" w:rsidSect="00BE5055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DB1A830" w14:textId="03456609" w:rsidR="00D31BE6" w:rsidRDefault="00261796" w:rsidP="00261796">
      <w:pPr>
        <w:snapToGrid w:val="0"/>
        <w:spacing w:line="276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8681B46" wp14:editId="69411208">
            <wp:extent cx="4435039" cy="4221618"/>
            <wp:effectExtent l="0" t="0" r="0" b="0"/>
            <wp:docPr id="725504033" name="圖片 3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04033" name="圖片 3" descr="一張含有 文字, 螢幕擷取畫面, 字型, 數字 的圖片&#10;&#10;AI 產生的內容可能不正確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52" cy="42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AF82" w14:textId="45C3111A" w:rsidR="000B7F8D" w:rsidRDefault="00585AF5" w:rsidP="000B7F8D">
      <w:pPr>
        <w:jc w:val="both"/>
        <w:rPr>
          <w:rFonts w:ascii="Arial" w:hAnsi="Arial" w:cs="Arial"/>
        </w:rPr>
      </w:pPr>
      <w:r w:rsidRPr="00440EA1">
        <w:rPr>
          <w:rFonts w:ascii="Arial" w:hAnsi="Arial" w:cs="Arial"/>
          <w:color w:val="000000"/>
        </w:rPr>
        <w:t>Supplementary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6C7988">
        <w:rPr>
          <w:rStyle w:val="afc"/>
          <w:rFonts w:ascii="Arial" w:hAnsi="Arial" w:cs="Arial"/>
          <w:b w:val="0"/>
          <w:bCs w:val="0"/>
          <w:color w:val="000000"/>
        </w:rPr>
        <w:t>4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. </w:t>
      </w:r>
      <w:r w:rsidR="00B70440" w:rsidRPr="0018018A">
        <w:rPr>
          <w:rFonts w:ascii="Arial" w:hAnsi="Arial" w:cs="Arial"/>
        </w:rPr>
        <w:t xml:space="preserve">Sensitivity Analysis </w:t>
      </w:r>
      <w:r w:rsidR="00A0402E">
        <w:rPr>
          <w:rFonts w:ascii="Arial" w:hAnsi="Arial" w:cs="Arial"/>
        </w:rPr>
        <w:t>–</w:t>
      </w:r>
      <w:r w:rsidR="00B70440" w:rsidRPr="0018018A">
        <w:rPr>
          <w:rFonts w:ascii="Arial" w:hAnsi="Arial" w:cs="Arial"/>
        </w:rPr>
        <w:t xml:space="preserve"> </w:t>
      </w:r>
      <w:r w:rsidR="00A0402E">
        <w:rPr>
          <w:rFonts w:ascii="Arial" w:hAnsi="Arial" w:cs="Arial"/>
        </w:rPr>
        <w:t>12-months washout.</w:t>
      </w:r>
      <w:r w:rsidR="000B7F8D">
        <w:rPr>
          <w:rFonts w:ascii="Arial" w:hAnsi="Arial" w:cs="Arial"/>
        </w:rPr>
        <w:t xml:space="preserve"> </w:t>
      </w:r>
      <w:r w:rsidR="000B7F8D" w:rsidRPr="00F439FC">
        <w:rPr>
          <w:rFonts w:ascii="Arial" w:hAnsi="Arial" w:cs="Arial"/>
        </w:rPr>
        <w:t>Forest plot of hazard ratios (HRs) with 95% confidence intervals comparing immune checkpoint inhibitors (ICI) with concomitant GLP-1 receptor agonists (GLP-1 RA) versus ICI without GLP-1 RA (reference). Estimates derive from Cox proportional hazards models in 1:1 propensity-score–matched intention-to-treat (ITT) cohorts. Follow-up starts on day 1 after index ICI and extends through 36 months. GLP-1 RA, glucagon-like peptide-1 receptor agonist; ICI, immune checkpoint inhibitor; ITT, intention-to-treat; irAE, immune-related adverse event; ir-ILD, immune-related interstitial lung disease; ICU, intensive care unit; NCO, negative control outcome.</w:t>
      </w:r>
    </w:p>
    <w:p w14:paraId="794C1940" w14:textId="77777777" w:rsidR="005435A0" w:rsidRDefault="005435A0" w:rsidP="0077135C">
      <w:pPr>
        <w:snapToGrid w:val="0"/>
        <w:spacing w:line="276" w:lineRule="auto"/>
        <w:rPr>
          <w:rFonts w:ascii="Arial" w:hAnsi="Arial" w:cs="Arial"/>
          <w:color w:val="A8D08D" w:themeColor="accent6" w:themeTint="99"/>
        </w:rPr>
        <w:sectPr w:rsidR="005435A0" w:rsidSect="00BE5055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1A39963" w14:textId="0267379F" w:rsidR="001C0517" w:rsidRDefault="007138DC" w:rsidP="00D969C8">
      <w:pPr>
        <w:snapToGrid w:val="0"/>
        <w:spacing w:line="276" w:lineRule="auto"/>
        <w:jc w:val="center"/>
        <w:rPr>
          <w:rFonts w:ascii="Arial" w:hAnsi="Arial" w:cs="Arial"/>
          <w:color w:val="A8D08D" w:themeColor="accent6" w:themeTint="99"/>
        </w:rPr>
      </w:pPr>
      <w:r>
        <w:rPr>
          <w:rFonts w:ascii="Arial" w:hAnsi="Arial" w:cs="Arial"/>
          <w:noProof/>
          <w:color w:val="A8D08D" w:themeColor="accent6" w:themeTint="99"/>
        </w:rPr>
        <w:lastRenderedPageBreak/>
        <w:drawing>
          <wp:inline distT="0" distB="0" distL="0" distR="0" wp14:anchorId="4CCD81F0" wp14:editId="4F902DFD">
            <wp:extent cx="4498283" cy="3851775"/>
            <wp:effectExtent l="0" t="0" r="0" b="0"/>
            <wp:docPr id="1919726623" name="圖片 4" descr="一張含有 文字, 螢幕擷取畫面, 字型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26623" name="圖片 4" descr="一張含有 文字, 螢幕擷取畫面, 字型, 圖表 的圖片&#10;&#10;AI 產生的內容可能不正確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926" cy="389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04BE" w14:textId="66AF4D82" w:rsidR="007138DC" w:rsidRDefault="005435A0" w:rsidP="007138DC">
      <w:pPr>
        <w:jc w:val="both"/>
        <w:rPr>
          <w:rFonts w:ascii="Arial" w:hAnsi="Arial" w:cs="Arial"/>
        </w:rPr>
      </w:pPr>
      <w:r w:rsidRPr="00440EA1">
        <w:rPr>
          <w:rFonts w:ascii="Arial" w:hAnsi="Arial" w:cs="Arial"/>
          <w:color w:val="000000"/>
        </w:rPr>
        <w:t>Supplementary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6C7988">
        <w:rPr>
          <w:rStyle w:val="afc"/>
          <w:rFonts w:ascii="Arial" w:hAnsi="Arial" w:cs="Arial"/>
          <w:b w:val="0"/>
          <w:bCs w:val="0"/>
          <w:color w:val="000000"/>
        </w:rPr>
        <w:t>5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>.</w:t>
      </w:r>
      <w:r w:rsidR="00340473">
        <w:rPr>
          <w:rStyle w:val="afc"/>
          <w:rFonts w:ascii="Arial" w:hAnsi="Arial" w:cs="Arial"/>
          <w:b w:val="0"/>
          <w:bCs w:val="0"/>
          <w:color w:val="000000"/>
        </w:rPr>
        <w:t xml:space="preserve"> </w:t>
      </w:r>
      <w:r w:rsidR="0021007A">
        <w:rPr>
          <w:rFonts w:ascii="Arial" w:hAnsi="Arial" w:cs="Arial"/>
        </w:rPr>
        <w:t>S</w:t>
      </w:r>
      <w:r w:rsidR="0021007A" w:rsidRPr="00B10DF4">
        <w:rPr>
          <w:rFonts w:ascii="Arial" w:hAnsi="Arial" w:cs="Arial"/>
        </w:rPr>
        <w:t xml:space="preserve">ensitivity analysis </w:t>
      </w:r>
      <w:r w:rsidR="0021007A">
        <w:rPr>
          <w:rFonts w:ascii="Arial" w:hAnsi="Arial" w:cs="Arial"/>
        </w:rPr>
        <w:t xml:space="preserve">- </w:t>
      </w:r>
      <w:r w:rsidR="0021007A" w:rsidRPr="00B10DF4">
        <w:rPr>
          <w:rFonts w:ascii="Arial" w:hAnsi="Arial" w:cs="Arial" w:hint="eastAsia"/>
        </w:rPr>
        <w:t>T</w:t>
      </w:r>
      <w:r w:rsidR="0021007A" w:rsidRPr="00B10DF4">
        <w:rPr>
          <w:rFonts w:ascii="Arial" w:hAnsi="Arial" w:cs="Arial"/>
        </w:rPr>
        <w:t>hree-month landmark</w:t>
      </w:r>
      <w:r w:rsidR="00340473">
        <w:rPr>
          <w:rFonts w:ascii="Arial" w:hAnsi="Arial" w:cs="Arial"/>
        </w:rPr>
        <w:t>.</w:t>
      </w:r>
      <w:r w:rsidR="007138DC">
        <w:rPr>
          <w:rFonts w:ascii="Arial" w:hAnsi="Arial" w:cs="Arial"/>
        </w:rPr>
        <w:t xml:space="preserve"> </w:t>
      </w:r>
      <w:r w:rsidR="007138DC" w:rsidRPr="00F439FC">
        <w:rPr>
          <w:rFonts w:ascii="Arial" w:hAnsi="Arial" w:cs="Arial"/>
        </w:rPr>
        <w:t>Forest plot of hazard ratios (HRs) with 95% confidence intervals comparing immune checkpoint inhibitors (ICI) with concomitant GLP-1 receptor agonists (GLP-1 RA) versus ICI without GLP-1 RA (reference). Estimates derive from Cox proportional hazards models in 1:1 propensity-score–matched intention-to-treat (ITT) cohorts. Follow-up starts on day 1 after index ICI and extends through 36 months. GLP-1 RA, glucagon-like peptide-1 receptor agonist; ICI, immune checkpoint inhibitor; ITT, intention-to-treat; irAE, immune-related adverse event; ir-ILD, immune-related interstitial lung disease; ICU, intensive care unit; NCO, negative control outcome.</w:t>
      </w:r>
    </w:p>
    <w:p w14:paraId="77B2888E" w14:textId="4D3DB029" w:rsidR="004572CA" w:rsidRPr="007138DC" w:rsidRDefault="004572CA" w:rsidP="00E81127">
      <w:pPr>
        <w:snapToGrid w:val="0"/>
        <w:spacing w:line="276" w:lineRule="auto"/>
        <w:rPr>
          <w:rFonts w:ascii="Arial" w:hAnsi="Arial" w:cs="Arial"/>
        </w:rPr>
        <w:sectPr w:rsidR="004572CA" w:rsidRPr="007138DC" w:rsidSect="001243CC">
          <w:pgSz w:w="16840" w:h="11900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5D988794" w14:textId="1A5A0E5B" w:rsidR="00BD52B2" w:rsidRDefault="00556E3A" w:rsidP="004572CA">
      <w:pPr>
        <w:snapToGrid w:val="0"/>
        <w:spacing w:line="276" w:lineRule="auto"/>
        <w:jc w:val="center"/>
        <w:rPr>
          <w:rFonts w:ascii="Arial" w:hAnsi="Arial" w:cs="Arial"/>
          <w:color w:val="A8D08D" w:themeColor="accent6" w:themeTint="99"/>
        </w:rPr>
      </w:pPr>
      <w:r>
        <w:rPr>
          <w:rFonts w:ascii="Arial" w:hAnsi="Arial" w:cs="Arial"/>
          <w:noProof/>
          <w:color w:val="A8D08D" w:themeColor="accent6" w:themeTint="99"/>
        </w:rPr>
        <w:lastRenderedPageBreak/>
        <w:drawing>
          <wp:inline distT="0" distB="0" distL="0" distR="0" wp14:anchorId="0BE588C9" wp14:editId="3D2856A1">
            <wp:extent cx="4056569" cy="3861626"/>
            <wp:effectExtent l="0" t="0" r="0" b="0"/>
            <wp:docPr id="1641592860" name="圖片 5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92860" name="圖片 5" descr="一張含有 文字, 螢幕擷取畫面, 字型, 數字 的圖片&#10;&#10;AI 產生的內容可能不正確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53" cy="38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34DA" w14:textId="41A94B2F" w:rsidR="0035305E" w:rsidRDefault="004572CA" w:rsidP="00FA6323">
      <w:pPr>
        <w:snapToGrid w:val="0"/>
        <w:spacing w:line="276" w:lineRule="auto"/>
        <w:rPr>
          <w:rFonts w:ascii="Arial" w:hAnsi="Arial" w:cs="Arial"/>
        </w:rPr>
      </w:pPr>
      <w:r w:rsidRPr="00440EA1">
        <w:rPr>
          <w:rFonts w:ascii="Arial" w:hAnsi="Arial" w:cs="Arial"/>
          <w:color w:val="000000"/>
        </w:rPr>
        <w:t>Supplementary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6C7988">
        <w:rPr>
          <w:rStyle w:val="afc"/>
          <w:rFonts w:ascii="Arial" w:hAnsi="Arial" w:cs="Arial"/>
          <w:b w:val="0"/>
          <w:bCs w:val="0"/>
          <w:color w:val="000000"/>
        </w:rPr>
        <w:t>6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>.</w:t>
      </w:r>
      <w:r>
        <w:rPr>
          <w:rStyle w:val="afc"/>
          <w:rFonts w:ascii="Arial" w:hAnsi="Arial" w:cs="Arial"/>
          <w:b w:val="0"/>
          <w:bCs w:val="0"/>
          <w:color w:val="000000"/>
        </w:rPr>
        <w:t xml:space="preserve"> </w:t>
      </w:r>
      <w:r w:rsidRPr="004572CA">
        <w:rPr>
          <w:rFonts w:ascii="Arial" w:hAnsi="Arial" w:cs="Arial"/>
        </w:rPr>
        <w:t xml:space="preserve">Sensitivity Analysis </w:t>
      </w:r>
      <w:r w:rsidR="00943460">
        <w:rPr>
          <w:rFonts w:ascii="Arial" w:hAnsi="Arial" w:cs="Arial"/>
        </w:rPr>
        <w:t>–</w:t>
      </w:r>
      <w:r w:rsidRPr="004572CA">
        <w:rPr>
          <w:rFonts w:ascii="Arial" w:hAnsi="Arial" w:cs="Arial"/>
        </w:rPr>
        <w:t xml:space="preserve"> </w:t>
      </w:r>
      <w:r w:rsidR="00943460">
        <w:rPr>
          <w:rFonts w:ascii="Arial" w:hAnsi="Arial" w:cs="Arial"/>
        </w:rPr>
        <w:t>Global region</w:t>
      </w:r>
      <w:r>
        <w:rPr>
          <w:rFonts w:ascii="Arial" w:hAnsi="Arial" w:cs="Arial"/>
        </w:rPr>
        <w:t>.</w:t>
      </w:r>
      <w:r w:rsidRPr="004572CA">
        <w:rPr>
          <w:rFonts w:ascii="Arial" w:hAnsi="Arial" w:cs="Arial"/>
          <w:color w:val="A8D08D" w:themeColor="accent6" w:themeTint="99"/>
        </w:rPr>
        <w:t xml:space="preserve"> </w:t>
      </w:r>
      <w:r w:rsidR="00FA6323" w:rsidRPr="00F439FC">
        <w:rPr>
          <w:rFonts w:ascii="Arial" w:hAnsi="Arial" w:cs="Arial"/>
        </w:rPr>
        <w:t>Forest plot of hazard ratios (HRs) with 95% confidence intervals comparing immune checkpoint inhibitors (ICI) with concomitant GLP-1 receptor agonists (GLP-1 RA) versus ICI without GLP-1 RA (reference). Estimates derive from Cox proportional hazards models in 1:1 propensity-score–matched intention-to-treat (ITT) cohorts. Follow-up starts on day 1 after index ICI and extends through 36 months. GLP-1 RA, glucagon-like peptide-1 receptor agonist; ICI, immune checkpoint inhibitor; ITT, intention-to-treat; irAE, immune-related adverse event; ir-ILD, immune-related interstitial lung disease; ICU, intensive care unit; NCO, negative control outcome.</w:t>
      </w:r>
    </w:p>
    <w:p w14:paraId="1A20EFC6" w14:textId="2E35136C" w:rsidR="003F5CE9" w:rsidRDefault="003F5CE9" w:rsidP="00FA6323">
      <w:pPr>
        <w:snapToGri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536E13D" wp14:editId="4A586B1E">
            <wp:extent cx="8864600" cy="4134485"/>
            <wp:effectExtent l="0" t="0" r="0" b="5715"/>
            <wp:docPr id="441796327" name="圖片 1" descr="一張含有 圖表, 行, 繪圖, 平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96327" name="圖片 1" descr="一張含有 圖表, 行, 繪圖, 平行 的圖片&#10;&#10;AI 產生的內容可能不正確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761C" w14:textId="635BE763" w:rsidR="00460965" w:rsidRPr="006541B3" w:rsidRDefault="00460965" w:rsidP="00FA6323">
      <w:pPr>
        <w:snapToGrid w:val="0"/>
        <w:spacing w:line="276" w:lineRule="auto"/>
        <w:rPr>
          <w:rFonts w:ascii="Arial" w:hAnsi="Arial" w:cs="Arial"/>
          <w:color w:val="000000"/>
        </w:rPr>
      </w:pPr>
      <w:r w:rsidRPr="00440EA1">
        <w:rPr>
          <w:rFonts w:ascii="Arial" w:hAnsi="Arial" w:cs="Arial"/>
          <w:color w:val="000000"/>
        </w:rPr>
        <w:t>Supplementary</w:t>
      </w:r>
      <w:r w:rsidRPr="00252673">
        <w:rPr>
          <w:rStyle w:val="afc"/>
          <w:rFonts w:ascii="Arial" w:hAnsi="Arial" w:cs="Arial"/>
          <w:color w:val="000000"/>
        </w:rPr>
        <w:t xml:space="preserve"> 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 xml:space="preserve">Figure </w:t>
      </w:r>
      <w:r w:rsidR="006C7988">
        <w:rPr>
          <w:rStyle w:val="afc"/>
          <w:rFonts w:ascii="Arial" w:hAnsi="Arial" w:cs="Arial"/>
          <w:b w:val="0"/>
          <w:bCs w:val="0"/>
          <w:color w:val="000000"/>
        </w:rPr>
        <w:t>7</w:t>
      </w:r>
      <w:r w:rsidRPr="00252673">
        <w:rPr>
          <w:rStyle w:val="afc"/>
          <w:rFonts w:ascii="Arial" w:hAnsi="Arial" w:cs="Arial"/>
          <w:b w:val="0"/>
          <w:bCs w:val="0"/>
          <w:color w:val="000000"/>
        </w:rPr>
        <w:t>.</w:t>
      </w:r>
      <w:r w:rsidR="007B12C8">
        <w:rPr>
          <w:rStyle w:val="afc"/>
          <w:rFonts w:ascii="Arial" w:hAnsi="Arial" w:cs="Arial"/>
          <w:b w:val="0"/>
          <w:bCs w:val="0"/>
          <w:color w:val="000000"/>
        </w:rPr>
        <w:t xml:space="preserve"> </w:t>
      </w:r>
      <w:r w:rsidR="007B12C8" w:rsidRPr="007B12C8">
        <w:rPr>
          <w:rStyle w:val="afc"/>
          <w:rFonts w:ascii="Arial" w:hAnsi="Arial" w:cs="Arial"/>
          <w:b w:val="0"/>
          <w:bCs w:val="0"/>
          <w:color w:val="000000"/>
        </w:rPr>
        <w:t>Longitudinal trajectories of body weight and body mass index after immune checkpoint inhibitor initiation in the propensity score matched cohort</w:t>
      </w:r>
      <w:r w:rsidR="007B12C8">
        <w:rPr>
          <w:rStyle w:val="afc"/>
          <w:rFonts w:ascii="Arial" w:hAnsi="Arial" w:cs="Arial"/>
          <w:b w:val="0"/>
          <w:bCs w:val="0"/>
          <w:color w:val="000000"/>
        </w:rPr>
        <w:t>.</w:t>
      </w:r>
    </w:p>
    <w:sectPr w:rsidR="00460965" w:rsidRPr="006541B3" w:rsidSect="001243CC">
      <w:pgSz w:w="16840" w:h="11900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A0A9B" w14:textId="77777777" w:rsidR="00EB297F" w:rsidRDefault="00EB297F" w:rsidP="00A475A5">
      <w:r>
        <w:separator/>
      </w:r>
    </w:p>
  </w:endnote>
  <w:endnote w:type="continuationSeparator" w:id="0">
    <w:p w14:paraId="29351068" w14:textId="77777777" w:rsidR="00EB297F" w:rsidRDefault="00EB297F" w:rsidP="00A47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FYQIT+Arial-Bold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標楷體">
    <w:altName w:val="微軟正黑體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25FB7" w14:textId="77777777" w:rsidR="00EB297F" w:rsidRDefault="00EB297F" w:rsidP="00A475A5">
      <w:r>
        <w:separator/>
      </w:r>
    </w:p>
  </w:footnote>
  <w:footnote w:type="continuationSeparator" w:id="0">
    <w:p w14:paraId="2A1A68F1" w14:textId="77777777" w:rsidR="00EB297F" w:rsidRDefault="00EB297F" w:rsidP="00A47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42C"/>
    <w:multiLevelType w:val="hybridMultilevel"/>
    <w:tmpl w:val="76A2B9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FE0703E"/>
    <w:multiLevelType w:val="hybridMultilevel"/>
    <w:tmpl w:val="10341AFE"/>
    <w:lvl w:ilvl="0" w:tplc="D63C69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50E0655"/>
    <w:multiLevelType w:val="hybridMultilevel"/>
    <w:tmpl w:val="4BC401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7D653EA"/>
    <w:multiLevelType w:val="hybridMultilevel"/>
    <w:tmpl w:val="B81EFB08"/>
    <w:lvl w:ilvl="0" w:tplc="6EA8BB9A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0F15348"/>
    <w:multiLevelType w:val="hybridMultilevel"/>
    <w:tmpl w:val="084EEB06"/>
    <w:lvl w:ilvl="0" w:tplc="01465652">
      <w:start w:val="5"/>
      <w:numFmt w:val="bullet"/>
      <w:lvlText w:val=""/>
      <w:lvlJc w:val="left"/>
      <w:pPr>
        <w:ind w:left="460" w:hanging="360"/>
      </w:pPr>
      <w:rPr>
        <w:rFonts w:ascii="Wingdings" w:eastAsia="新細明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80"/>
      </w:pPr>
      <w:rPr>
        <w:rFonts w:ascii="Wingdings" w:hAnsi="Wingdings" w:hint="default"/>
      </w:rPr>
    </w:lvl>
  </w:abstractNum>
  <w:num w:numId="1" w16cid:durableId="314603629">
    <w:abstractNumId w:val="1"/>
  </w:num>
  <w:num w:numId="2" w16cid:durableId="1774015672">
    <w:abstractNumId w:val="2"/>
  </w:num>
  <w:num w:numId="3" w16cid:durableId="195705763">
    <w:abstractNumId w:val="0"/>
  </w:num>
  <w:num w:numId="4" w16cid:durableId="984891694">
    <w:abstractNumId w:val="3"/>
  </w:num>
  <w:num w:numId="5" w16cid:durableId="20723831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st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avsdwv7p9vdqevet1pe09vwtra5wpwzz5d&quot;&gt;tirzepatide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6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0&lt;/item&gt;&lt;item&gt;31&lt;/item&gt;&lt;item&gt;32&lt;/item&gt;&lt;/record-ids&gt;&lt;/item&gt;&lt;/Libraries&gt;"/>
  </w:docVars>
  <w:rsids>
    <w:rsidRoot w:val="00CE252A"/>
    <w:rsid w:val="0000066A"/>
    <w:rsid w:val="00000A28"/>
    <w:rsid w:val="00000AAA"/>
    <w:rsid w:val="00000D51"/>
    <w:rsid w:val="00001369"/>
    <w:rsid w:val="0000151B"/>
    <w:rsid w:val="0000196A"/>
    <w:rsid w:val="00001BCB"/>
    <w:rsid w:val="00003658"/>
    <w:rsid w:val="00005167"/>
    <w:rsid w:val="000057FC"/>
    <w:rsid w:val="00006883"/>
    <w:rsid w:val="00007755"/>
    <w:rsid w:val="000078DA"/>
    <w:rsid w:val="00007D67"/>
    <w:rsid w:val="00010539"/>
    <w:rsid w:val="00011607"/>
    <w:rsid w:val="0001351C"/>
    <w:rsid w:val="00014042"/>
    <w:rsid w:val="000150C0"/>
    <w:rsid w:val="000165B8"/>
    <w:rsid w:val="00016C20"/>
    <w:rsid w:val="00016EF4"/>
    <w:rsid w:val="0001770C"/>
    <w:rsid w:val="00017B5D"/>
    <w:rsid w:val="0002074A"/>
    <w:rsid w:val="00021052"/>
    <w:rsid w:val="00021299"/>
    <w:rsid w:val="00021B66"/>
    <w:rsid w:val="0002298B"/>
    <w:rsid w:val="00022EFD"/>
    <w:rsid w:val="0002330E"/>
    <w:rsid w:val="00024C19"/>
    <w:rsid w:val="0002501B"/>
    <w:rsid w:val="000258C6"/>
    <w:rsid w:val="00027639"/>
    <w:rsid w:val="00030918"/>
    <w:rsid w:val="00031483"/>
    <w:rsid w:val="00032851"/>
    <w:rsid w:val="00034D6B"/>
    <w:rsid w:val="000372B0"/>
    <w:rsid w:val="00040AA5"/>
    <w:rsid w:val="00041154"/>
    <w:rsid w:val="000417FA"/>
    <w:rsid w:val="00043563"/>
    <w:rsid w:val="000437DD"/>
    <w:rsid w:val="00046590"/>
    <w:rsid w:val="000472B3"/>
    <w:rsid w:val="0005024A"/>
    <w:rsid w:val="00054012"/>
    <w:rsid w:val="00054D68"/>
    <w:rsid w:val="000550BD"/>
    <w:rsid w:val="0005556C"/>
    <w:rsid w:val="0005574A"/>
    <w:rsid w:val="00057475"/>
    <w:rsid w:val="00057777"/>
    <w:rsid w:val="000606F8"/>
    <w:rsid w:val="000609F7"/>
    <w:rsid w:val="00062F16"/>
    <w:rsid w:val="000642DF"/>
    <w:rsid w:val="000650E8"/>
    <w:rsid w:val="00066540"/>
    <w:rsid w:val="0007200D"/>
    <w:rsid w:val="00073029"/>
    <w:rsid w:val="00074048"/>
    <w:rsid w:val="000747ED"/>
    <w:rsid w:val="00074D25"/>
    <w:rsid w:val="00074DD1"/>
    <w:rsid w:val="00076814"/>
    <w:rsid w:val="00076FA4"/>
    <w:rsid w:val="0008146C"/>
    <w:rsid w:val="00081EC4"/>
    <w:rsid w:val="0008244D"/>
    <w:rsid w:val="00082C53"/>
    <w:rsid w:val="000831BD"/>
    <w:rsid w:val="000836AF"/>
    <w:rsid w:val="00085C73"/>
    <w:rsid w:val="00085D7E"/>
    <w:rsid w:val="00086FCF"/>
    <w:rsid w:val="0008702C"/>
    <w:rsid w:val="000872AE"/>
    <w:rsid w:val="00087B03"/>
    <w:rsid w:val="0009009A"/>
    <w:rsid w:val="000906B5"/>
    <w:rsid w:val="0009141D"/>
    <w:rsid w:val="00093929"/>
    <w:rsid w:val="00093BF4"/>
    <w:rsid w:val="0009444A"/>
    <w:rsid w:val="000A4C15"/>
    <w:rsid w:val="000A5E2B"/>
    <w:rsid w:val="000A7979"/>
    <w:rsid w:val="000A7EB5"/>
    <w:rsid w:val="000B134D"/>
    <w:rsid w:val="000B139F"/>
    <w:rsid w:val="000B17A2"/>
    <w:rsid w:val="000B1C9B"/>
    <w:rsid w:val="000B23B5"/>
    <w:rsid w:val="000B26DC"/>
    <w:rsid w:val="000B2A7A"/>
    <w:rsid w:val="000B3C91"/>
    <w:rsid w:val="000B6ED7"/>
    <w:rsid w:val="000B6F7A"/>
    <w:rsid w:val="000B73F7"/>
    <w:rsid w:val="000B7F8D"/>
    <w:rsid w:val="000C03D2"/>
    <w:rsid w:val="000C07D2"/>
    <w:rsid w:val="000C67CF"/>
    <w:rsid w:val="000C681F"/>
    <w:rsid w:val="000C764C"/>
    <w:rsid w:val="000C775A"/>
    <w:rsid w:val="000D1267"/>
    <w:rsid w:val="000D1F9E"/>
    <w:rsid w:val="000D217B"/>
    <w:rsid w:val="000D28AF"/>
    <w:rsid w:val="000D4752"/>
    <w:rsid w:val="000D4940"/>
    <w:rsid w:val="000E0D1F"/>
    <w:rsid w:val="000E2889"/>
    <w:rsid w:val="000E361E"/>
    <w:rsid w:val="000E3B9B"/>
    <w:rsid w:val="000E3DBC"/>
    <w:rsid w:val="000E4A62"/>
    <w:rsid w:val="000E5625"/>
    <w:rsid w:val="000E568C"/>
    <w:rsid w:val="000E723C"/>
    <w:rsid w:val="000E7508"/>
    <w:rsid w:val="000F1144"/>
    <w:rsid w:val="000F1B26"/>
    <w:rsid w:val="000F1D14"/>
    <w:rsid w:val="000F2CAE"/>
    <w:rsid w:val="000F30BE"/>
    <w:rsid w:val="000F31B2"/>
    <w:rsid w:val="000F3847"/>
    <w:rsid w:val="000F3CF3"/>
    <w:rsid w:val="000F4DFC"/>
    <w:rsid w:val="000F63D3"/>
    <w:rsid w:val="000F6572"/>
    <w:rsid w:val="000F68B5"/>
    <w:rsid w:val="000F7A42"/>
    <w:rsid w:val="00103445"/>
    <w:rsid w:val="001052D5"/>
    <w:rsid w:val="0010603E"/>
    <w:rsid w:val="0011055C"/>
    <w:rsid w:val="00111EBF"/>
    <w:rsid w:val="00112669"/>
    <w:rsid w:val="00113315"/>
    <w:rsid w:val="001143D6"/>
    <w:rsid w:val="00114737"/>
    <w:rsid w:val="00114DA2"/>
    <w:rsid w:val="0011538E"/>
    <w:rsid w:val="001168D9"/>
    <w:rsid w:val="00116DCC"/>
    <w:rsid w:val="0011792A"/>
    <w:rsid w:val="001200F6"/>
    <w:rsid w:val="00122DD4"/>
    <w:rsid w:val="00122F47"/>
    <w:rsid w:val="001233F0"/>
    <w:rsid w:val="001243CC"/>
    <w:rsid w:val="00124D8F"/>
    <w:rsid w:val="001253DC"/>
    <w:rsid w:val="001265B2"/>
    <w:rsid w:val="00126A0C"/>
    <w:rsid w:val="001334C2"/>
    <w:rsid w:val="00133E27"/>
    <w:rsid w:val="001346FD"/>
    <w:rsid w:val="00135C3F"/>
    <w:rsid w:val="001364DC"/>
    <w:rsid w:val="00136EBD"/>
    <w:rsid w:val="0014102B"/>
    <w:rsid w:val="00141250"/>
    <w:rsid w:val="00141E21"/>
    <w:rsid w:val="00142877"/>
    <w:rsid w:val="00142DA6"/>
    <w:rsid w:val="00144220"/>
    <w:rsid w:val="00144306"/>
    <w:rsid w:val="0014437F"/>
    <w:rsid w:val="001446A8"/>
    <w:rsid w:val="00144937"/>
    <w:rsid w:val="00144ACE"/>
    <w:rsid w:val="00145110"/>
    <w:rsid w:val="00145701"/>
    <w:rsid w:val="0014582F"/>
    <w:rsid w:val="0014610D"/>
    <w:rsid w:val="001504A2"/>
    <w:rsid w:val="00150C7E"/>
    <w:rsid w:val="00150E28"/>
    <w:rsid w:val="001525E6"/>
    <w:rsid w:val="001535B5"/>
    <w:rsid w:val="00155EB5"/>
    <w:rsid w:val="00155EBD"/>
    <w:rsid w:val="00156483"/>
    <w:rsid w:val="001564E8"/>
    <w:rsid w:val="001567D5"/>
    <w:rsid w:val="00161F14"/>
    <w:rsid w:val="00162157"/>
    <w:rsid w:val="00162489"/>
    <w:rsid w:val="00163CA3"/>
    <w:rsid w:val="00165312"/>
    <w:rsid w:val="00166B0A"/>
    <w:rsid w:val="00166C23"/>
    <w:rsid w:val="0016700F"/>
    <w:rsid w:val="00167CBE"/>
    <w:rsid w:val="001705D2"/>
    <w:rsid w:val="00170DEE"/>
    <w:rsid w:val="00171418"/>
    <w:rsid w:val="001724F5"/>
    <w:rsid w:val="00172DD6"/>
    <w:rsid w:val="00173093"/>
    <w:rsid w:val="001730AC"/>
    <w:rsid w:val="00173A73"/>
    <w:rsid w:val="00173B17"/>
    <w:rsid w:val="00173B18"/>
    <w:rsid w:val="00175068"/>
    <w:rsid w:val="001758D1"/>
    <w:rsid w:val="00177023"/>
    <w:rsid w:val="0018018A"/>
    <w:rsid w:val="00180CEE"/>
    <w:rsid w:val="00182470"/>
    <w:rsid w:val="001824A5"/>
    <w:rsid w:val="00184A9E"/>
    <w:rsid w:val="00184C48"/>
    <w:rsid w:val="00185759"/>
    <w:rsid w:val="00185F9E"/>
    <w:rsid w:val="00191A56"/>
    <w:rsid w:val="00191CAC"/>
    <w:rsid w:val="0019345F"/>
    <w:rsid w:val="00193C36"/>
    <w:rsid w:val="00195298"/>
    <w:rsid w:val="00195DFC"/>
    <w:rsid w:val="0019742C"/>
    <w:rsid w:val="00197F64"/>
    <w:rsid w:val="001A0D00"/>
    <w:rsid w:val="001A0DE2"/>
    <w:rsid w:val="001A2A00"/>
    <w:rsid w:val="001A3633"/>
    <w:rsid w:val="001A4125"/>
    <w:rsid w:val="001A42B3"/>
    <w:rsid w:val="001A611C"/>
    <w:rsid w:val="001A6C8A"/>
    <w:rsid w:val="001A6E7B"/>
    <w:rsid w:val="001A7B4D"/>
    <w:rsid w:val="001B0BB3"/>
    <w:rsid w:val="001B12BA"/>
    <w:rsid w:val="001B1DD5"/>
    <w:rsid w:val="001B234D"/>
    <w:rsid w:val="001B3062"/>
    <w:rsid w:val="001B3CC6"/>
    <w:rsid w:val="001B5051"/>
    <w:rsid w:val="001B740F"/>
    <w:rsid w:val="001B7856"/>
    <w:rsid w:val="001C0517"/>
    <w:rsid w:val="001C0DE0"/>
    <w:rsid w:val="001C120F"/>
    <w:rsid w:val="001C2EB1"/>
    <w:rsid w:val="001C4023"/>
    <w:rsid w:val="001C462C"/>
    <w:rsid w:val="001C7FE3"/>
    <w:rsid w:val="001D0017"/>
    <w:rsid w:val="001D0289"/>
    <w:rsid w:val="001D1C64"/>
    <w:rsid w:val="001D2C18"/>
    <w:rsid w:val="001D2E5D"/>
    <w:rsid w:val="001D312D"/>
    <w:rsid w:val="001D379A"/>
    <w:rsid w:val="001D3E8F"/>
    <w:rsid w:val="001D467C"/>
    <w:rsid w:val="001D4690"/>
    <w:rsid w:val="001D54A5"/>
    <w:rsid w:val="001D5D2A"/>
    <w:rsid w:val="001D6204"/>
    <w:rsid w:val="001D6DDD"/>
    <w:rsid w:val="001D6FB6"/>
    <w:rsid w:val="001E0352"/>
    <w:rsid w:val="001E0B05"/>
    <w:rsid w:val="001E28C3"/>
    <w:rsid w:val="001E300C"/>
    <w:rsid w:val="001E3B1A"/>
    <w:rsid w:val="001E4A8F"/>
    <w:rsid w:val="001E4D9E"/>
    <w:rsid w:val="001E4E7E"/>
    <w:rsid w:val="001E545C"/>
    <w:rsid w:val="001E6006"/>
    <w:rsid w:val="001E66E3"/>
    <w:rsid w:val="001E7B4C"/>
    <w:rsid w:val="001F0872"/>
    <w:rsid w:val="001F13AC"/>
    <w:rsid w:val="001F19E4"/>
    <w:rsid w:val="001F1BC9"/>
    <w:rsid w:val="001F2038"/>
    <w:rsid w:val="001F2CC3"/>
    <w:rsid w:val="001F4043"/>
    <w:rsid w:val="001F7081"/>
    <w:rsid w:val="001F718E"/>
    <w:rsid w:val="001F7831"/>
    <w:rsid w:val="00201BA2"/>
    <w:rsid w:val="00202F91"/>
    <w:rsid w:val="00203989"/>
    <w:rsid w:val="002043F6"/>
    <w:rsid w:val="0021007A"/>
    <w:rsid w:val="002104B3"/>
    <w:rsid w:val="002105FB"/>
    <w:rsid w:val="00212B6B"/>
    <w:rsid w:val="00212DB6"/>
    <w:rsid w:val="00212DC1"/>
    <w:rsid w:val="00212E18"/>
    <w:rsid w:val="00213284"/>
    <w:rsid w:val="002133AB"/>
    <w:rsid w:val="00214DDD"/>
    <w:rsid w:val="00215250"/>
    <w:rsid w:val="00215C8A"/>
    <w:rsid w:val="002164CE"/>
    <w:rsid w:val="00217508"/>
    <w:rsid w:val="0022105E"/>
    <w:rsid w:val="00221889"/>
    <w:rsid w:val="00221D48"/>
    <w:rsid w:val="00222D75"/>
    <w:rsid w:val="00223DD7"/>
    <w:rsid w:val="002247E3"/>
    <w:rsid w:val="0022616A"/>
    <w:rsid w:val="00226775"/>
    <w:rsid w:val="002270BD"/>
    <w:rsid w:val="0023538A"/>
    <w:rsid w:val="00236CB7"/>
    <w:rsid w:val="00237B4B"/>
    <w:rsid w:val="00240405"/>
    <w:rsid w:val="002415C5"/>
    <w:rsid w:val="00241F25"/>
    <w:rsid w:val="00245ED1"/>
    <w:rsid w:val="002476AE"/>
    <w:rsid w:val="00247C83"/>
    <w:rsid w:val="00247EC4"/>
    <w:rsid w:val="002525CB"/>
    <w:rsid w:val="00252673"/>
    <w:rsid w:val="0025276B"/>
    <w:rsid w:val="00253985"/>
    <w:rsid w:val="00253AE7"/>
    <w:rsid w:val="00253DFC"/>
    <w:rsid w:val="00255BCD"/>
    <w:rsid w:val="0025761D"/>
    <w:rsid w:val="00260EF9"/>
    <w:rsid w:val="00261796"/>
    <w:rsid w:val="00261EF5"/>
    <w:rsid w:val="002622F4"/>
    <w:rsid w:val="00262689"/>
    <w:rsid w:val="002626A9"/>
    <w:rsid w:val="00262766"/>
    <w:rsid w:val="00263AE4"/>
    <w:rsid w:val="00263FD9"/>
    <w:rsid w:val="002678F4"/>
    <w:rsid w:val="00267E22"/>
    <w:rsid w:val="002700FA"/>
    <w:rsid w:val="00271619"/>
    <w:rsid w:val="00271C05"/>
    <w:rsid w:val="0027281C"/>
    <w:rsid w:val="002741F3"/>
    <w:rsid w:val="00274B55"/>
    <w:rsid w:val="0027508B"/>
    <w:rsid w:val="00276208"/>
    <w:rsid w:val="00277030"/>
    <w:rsid w:val="002770D7"/>
    <w:rsid w:val="00280538"/>
    <w:rsid w:val="00281148"/>
    <w:rsid w:val="00281FCF"/>
    <w:rsid w:val="00282CD1"/>
    <w:rsid w:val="00284DBE"/>
    <w:rsid w:val="00285514"/>
    <w:rsid w:val="00285A8A"/>
    <w:rsid w:val="00285C54"/>
    <w:rsid w:val="002868A8"/>
    <w:rsid w:val="00286EED"/>
    <w:rsid w:val="002916C0"/>
    <w:rsid w:val="00293D7F"/>
    <w:rsid w:val="00295551"/>
    <w:rsid w:val="00295D26"/>
    <w:rsid w:val="002A10FA"/>
    <w:rsid w:val="002A17E1"/>
    <w:rsid w:val="002A3033"/>
    <w:rsid w:val="002A3574"/>
    <w:rsid w:val="002A4185"/>
    <w:rsid w:val="002A4586"/>
    <w:rsid w:val="002A599A"/>
    <w:rsid w:val="002A5BF8"/>
    <w:rsid w:val="002A6338"/>
    <w:rsid w:val="002A65EE"/>
    <w:rsid w:val="002A68A6"/>
    <w:rsid w:val="002A7127"/>
    <w:rsid w:val="002B07B4"/>
    <w:rsid w:val="002B10DB"/>
    <w:rsid w:val="002B1FDE"/>
    <w:rsid w:val="002B255E"/>
    <w:rsid w:val="002B4BA3"/>
    <w:rsid w:val="002B6A19"/>
    <w:rsid w:val="002B6EF7"/>
    <w:rsid w:val="002C02C6"/>
    <w:rsid w:val="002C0BC3"/>
    <w:rsid w:val="002C1E32"/>
    <w:rsid w:val="002C74DB"/>
    <w:rsid w:val="002C7AAF"/>
    <w:rsid w:val="002C7BDD"/>
    <w:rsid w:val="002C7FC2"/>
    <w:rsid w:val="002D037C"/>
    <w:rsid w:val="002D19FC"/>
    <w:rsid w:val="002D307A"/>
    <w:rsid w:val="002D3573"/>
    <w:rsid w:val="002D43A5"/>
    <w:rsid w:val="002D46E6"/>
    <w:rsid w:val="002D487A"/>
    <w:rsid w:val="002D4D84"/>
    <w:rsid w:val="002D4F02"/>
    <w:rsid w:val="002D6FEF"/>
    <w:rsid w:val="002E150E"/>
    <w:rsid w:val="002E2B76"/>
    <w:rsid w:val="002E3BBE"/>
    <w:rsid w:val="002E4290"/>
    <w:rsid w:val="002E4E83"/>
    <w:rsid w:val="002E64A1"/>
    <w:rsid w:val="002F12C0"/>
    <w:rsid w:val="002F2572"/>
    <w:rsid w:val="002F2AFA"/>
    <w:rsid w:val="002F2C02"/>
    <w:rsid w:val="002F4941"/>
    <w:rsid w:val="002F4F6E"/>
    <w:rsid w:val="002F7002"/>
    <w:rsid w:val="0030020A"/>
    <w:rsid w:val="00300AA0"/>
    <w:rsid w:val="00301335"/>
    <w:rsid w:val="00304144"/>
    <w:rsid w:val="00304472"/>
    <w:rsid w:val="003049C5"/>
    <w:rsid w:val="00304A44"/>
    <w:rsid w:val="00305433"/>
    <w:rsid w:val="00305853"/>
    <w:rsid w:val="00306A45"/>
    <w:rsid w:val="003078EE"/>
    <w:rsid w:val="00307D44"/>
    <w:rsid w:val="0031069A"/>
    <w:rsid w:val="00310893"/>
    <w:rsid w:val="00315E72"/>
    <w:rsid w:val="00316027"/>
    <w:rsid w:val="003171B9"/>
    <w:rsid w:val="003202C5"/>
    <w:rsid w:val="00320C76"/>
    <w:rsid w:val="00322485"/>
    <w:rsid w:val="00322E20"/>
    <w:rsid w:val="00323CCB"/>
    <w:rsid w:val="00324247"/>
    <w:rsid w:val="003257B1"/>
    <w:rsid w:val="003264FA"/>
    <w:rsid w:val="0032671E"/>
    <w:rsid w:val="00326E22"/>
    <w:rsid w:val="003278B9"/>
    <w:rsid w:val="003307BE"/>
    <w:rsid w:val="0033111C"/>
    <w:rsid w:val="00331326"/>
    <w:rsid w:val="003315D9"/>
    <w:rsid w:val="00331629"/>
    <w:rsid w:val="00331C59"/>
    <w:rsid w:val="003324FC"/>
    <w:rsid w:val="00332C47"/>
    <w:rsid w:val="00333FC5"/>
    <w:rsid w:val="00334BCB"/>
    <w:rsid w:val="00335502"/>
    <w:rsid w:val="00335B09"/>
    <w:rsid w:val="0033685A"/>
    <w:rsid w:val="00340473"/>
    <w:rsid w:val="003404D9"/>
    <w:rsid w:val="0034060E"/>
    <w:rsid w:val="00341D2E"/>
    <w:rsid w:val="00343495"/>
    <w:rsid w:val="00343730"/>
    <w:rsid w:val="00343BEC"/>
    <w:rsid w:val="003458F6"/>
    <w:rsid w:val="00346B81"/>
    <w:rsid w:val="00346CF2"/>
    <w:rsid w:val="003471FF"/>
    <w:rsid w:val="003475B4"/>
    <w:rsid w:val="0035055F"/>
    <w:rsid w:val="0035271C"/>
    <w:rsid w:val="00352BFA"/>
    <w:rsid w:val="0035305E"/>
    <w:rsid w:val="00353178"/>
    <w:rsid w:val="003548DA"/>
    <w:rsid w:val="00354A92"/>
    <w:rsid w:val="00354AC5"/>
    <w:rsid w:val="00355DF2"/>
    <w:rsid w:val="00357955"/>
    <w:rsid w:val="00357A7C"/>
    <w:rsid w:val="003601C4"/>
    <w:rsid w:val="003607FA"/>
    <w:rsid w:val="00361402"/>
    <w:rsid w:val="00362985"/>
    <w:rsid w:val="00362B67"/>
    <w:rsid w:val="0036374F"/>
    <w:rsid w:val="00364D17"/>
    <w:rsid w:val="00365E86"/>
    <w:rsid w:val="00366412"/>
    <w:rsid w:val="00366985"/>
    <w:rsid w:val="00366DB0"/>
    <w:rsid w:val="00370B96"/>
    <w:rsid w:val="0037126F"/>
    <w:rsid w:val="00372946"/>
    <w:rsid w:val="00372C7C"/>
    <w:rsid w:val="00373099"/>
    <w:rsid w:val="003730FA"/>
    <w:rsid w:val="0037325D"/>
    <w:rsid w:val="00373868"/>
    <w:rsid w:val="00373FC6"/>
    <w:rsid w:val="00375C71"/>
    <w:rsid w:val="00376526"/>
    <w:rsid w:val="00377B03"/>
    <w:rsid w:val="00380014"/>
    <w:rsid w:val="00381DB1"/>
    <w:rsid w:val="00382997"/>
    <w:rsid w:val="003830DF"/>
    <w:rsid w:val="003878D4"/>
    <w:rsid w:val="0039065B"/>
    <w:rsid w:val="003911B7"/>
    <w:rsid w:val="00397F50"/>
    <w:rsid w:val="003A2377"/>
    <w:rsid w:val="003A36A4"/>
    <w:rsid w:val="003A3B7A"/>
    <w:rsid w:val="003A5929"/>
    <w:rsid w:val="003A6CC6"/>
    <w:rsid w:val="003A70B3"/>
    <w:rsid w:val="003A7B89"/>
    <w:rsid w:val="003A7D21"/>
    <w:rsid w:val="003A7DA4"/>
    <w:rsid w:val="003A7DC4"/>
    <w:rsid w:val="003B109B"/>
    <w:rsid w:val="003B12D9"/>
    <w:rsid w:val="003B1A9B"/>
    <w:rsid w:val="003B1E87"/>
    <w:rsid w:val="003B3EC9"/>
    <w:rsid w:val="003B4533"/>
    <w:rsid w:val="003B6A92"/>
    <w:rsid w:val="003B6B1D"/>
    <w:rsid w:val="003B7EBD"/>
    <w:rsid w:val="003C1770"/>
    <w:rsid w:val="003C261B"/>
    <w:rsid w:val="003C2B80"/>
    <w:rsid w:val="003C3821"/>
    <w:rsid w:val="003C5761"/>
    <w:rsid w:val="003C5D8F"/>
    <w:rsid w:val="003C5F96"/>
    <w:rsid w:val="003C659E"/>
    <w:rsid w:val="003C6AEA"/>
    <w:rsid w:val="003C7F0C"/>
    <w:rsid w:val="003D005E"/>
    <w:rsid w:val="003D0522"/>
    <w:rsid w:val="003D05A6"/>
    <w:rsid w:val="003D3AC5"/>
    <w:rsid w:val="003D5703"/>
    <w:rsid w:val="003D5AE4"/>
    <w:rsid w:val="003D6A44"/>
    <w:rsid w:val="003E08BE"/>
    <w:rsid w:val="003E1F84"/>
    <w:rsid w:val="003E29D6"/>
    <w:rsid w:val="003E2FE4"/>
    <w:rsid w:val="003E4F76"/>
    <w:rsid w:val="003E6304"/>
    <w:rsid w:val="003E6BA0"/>
    <w:rsid w:val="003E79F0"/>
    <w:rsid w:val="003F0314"/>
    <w:rsid w:val="003F03D5"/>
    <w:rsid w:val="003F049D"/>
    <w:rsid w:val="003F06A3"/>
    <w:rsid w:val="003F1523"/>
    <w:rsid w:val="003F2181"/>
    <w:rsid w:val="003F2DAC"/>
    <w:rsid w:val="003F54FC"/>
    <w:rsid w:val="003F5CE9"/>
    <w:rsid w:val="003F6270"/>
    <w:rsid w:val="003F631B"/>
    <w:rsid w:val="00402852"/>
    <w:rsid w:val="00403D14"/>
    <w:rsid w:val="00405062"/>
    <w:rsid w:val="0040649C"/>
    <w:rsid w:val="00406D28"/>
    <w:rsid w:val="00407450"/>
    <w:rsid w:val="0041014A"/>
    <w:rsid w:val="004102FC"/>
    <w:rsid w:val="00410AC0"/>
    <w:rsid w:val="004116E8"/>
    <w:rsid w:val="00412192"/>
    <w:rsid w:val="0041244C"/>
    <w:rsid w:val="004157AE"/>
    <w:rsid w:val="0041605F"/>
    <w:rsid w:val="00416FA8"/>
    <w:rsid w:val="00420837"/>
    <w:rsid w:val="00421AA3"/>
    <w:rsid w:val="00422216"/>
    <w:rsid w:val="00422571"/>
    <w:rsid w:val="00423573"/>
    <w:rsid w:val="00425248"/>
    <w:rsid w:val="00425659"/>
    <w:rsid w:val="00425A77"/>
    <w:rsid w:val="0042664D"/>
    <w:rsid w:val="00426EE8"/>
    <w:rsid w:val="00427F47"/>
    <w:rsid w:val="00427FE4"/>
    <w:rsid w:val="00430182"/>
    <w:rsid w:val="0043281B"/>
    <w:rsid w:val="00433C87"/>
    <w:rsid w:val="00433E26"/>
    <w:rsid w:val="00435310"/>
    <w:rsid w:val="00435B42"/>
    <w:rsid w:val="00436EDB"/>
    <w:rsid w:val="004373B4"/>
    <w:rsid w:val="0043785B"/>
    <w:rsid w:val="00440CF9"/>
    <w:rsid w:val="00440F25"/>
    <w:rsid w:val="004413DA"/>
    <w:rsid w:val="004415AC"/>
    <w:rsid w:val="00441912"/>
    <w:rsid w:val="00442D39"/>
    <w:rsid w:val="00443908"/>
    <w:rsid w:val="00443FEB"/>
    <w:rsid w:val="00444291"/>
    <w:rsid w:val="0044595A"/>
    <w:rsid w:val="0044717F"/>
    <w:rsid w:val="00447769"/>
    <w:rsid w:val="00450777"/>
    <w:rsid w:val="00452010"/>
    <w:rsid w:val="00452144"/>
    <w:rsid w:val="00452F46"/>
    <w:rsid w:val="00453D59"/>
    <w:rsid w:val="004540B6"/>
    <w:rsid w:val="00454CA7"/>
    <w:rsid w:val="004572CA"/>
    <w:rsid w:val="004573BD"/>
    <w:rsid w:val="00460965"/>
    <w:rsid w:val="0046150E"/>
    <w:rsid w:val="00462626"/>
    <w:rsid w:val="0046265F"/>
    <w:rsid w:val="00464E78"/>
    <w:rsid w:val="00465316"/>
    <w:rsid w:val="004658F0"/>
    <w:rsid w:val="00466348"/>
    <w:rsid w:val="00466469"/>
    <w:rsid w:val="0046723A"/>
    <w:rsid w:val="0046742C"/>
    <w:rsid w:val="00467FD4"/>
    <w:rsid w:val="00471A75"/>
    <w:rsid w:val="00471E9B"/>
    <w:rsid w:val="0047378A"/>
    <w:rsid w:val="004745E8"/>
    <w:rsid w:val="00474B2A"/>
    <w:rsid w:val="00475350"/>
    <w:rsid w:val="00475683"/>
    <w:rsid w:val="00475CA2"/>
    <w:rsid w:val="004760D6"/>
    <w:rsid w:val="00476A36"/>
    <w:rsid w:val="00476B32"/>
    <w:rsid w:val="00476D84"/>
    <w:rsid w:val="00477890"/>
    <w:rsid w:val="00482FE6"/>
    <w:rsid w:val="00483C20"/>
    <w:rsid w:val="004843C6"/>
    <w:rsid w:val="004845DC"/>
    <w:rsid w:val="00491365"/>
    <w:rsid w:val="004917C9"/>
    <w:rsid w:val="0049243B"/>
    <w:rsid w:val="00492712"/>
    <w:rsid w:val="0049377B"/>
    <w:rsid w:val="00495538"/>
    <w:rsid w:val="004956CE"/>
    <w:rsid w:val="00496417"/>
    <w:rsid w:val="00496E24"/>
    <w:rsid w:val="00497E8E"/>
    <w:rsid w:val="004A0BAF"/>
    <w:rsid w:val="004A25F0"/>
    <w:rsid w:val="004A26D5"/>
    <w:rsid w:val="004A35E0"/>
    <w:rsid w:val="004A3A5B"/>
    <w:rsid w:val="004A5278"/>
    <w:rsid w:val="004A673C"/>
    <w:rsid w:val="004A711C"/>
    <w:rsid w:val="004A76EA"/>
    <w:rsid w:val="004A771B"/>
    <w:rsid w:val="004B0B65"/>
    <w:rsid w:val="004B186C"/>
    <w:rsid w:val="004B25EB"/>
    <w:rsid w:val="004B31BD"/>
    <w:rsid w:val="004B326F"/>
    <w:rsid w:val="004B5425"/>
    <w:rsid w:val="004B57AA"/>
    <w:rsid w:val="004B6355"/>
    <w:rsid w:val="004B7411"/>
    <w:rsid w:val="004B75CC"/>
    <w:rsid w:val="004C0629"/>
    <w:rsid w:val="004C2042"/>
    <w:rsid w:val="004C3E5B"/>
    <w:rsid w:val="004C4B5D"/>
    <w:rsid w:val="004C536A"/>
    <w:rsid w:val="004C58F7"/>
    <w:rsid w:val="004C630F"/>
    <w:rsid w:val="004C6526"/>
    <w:rsid w:val="004C6CC9"/>
    <w:rsid w:val="004C7DA7"/>
    <w:rsid w:val="004D21EA"/>
    <w:rsid w:val="004D2385"/>
    <w:rsid w:val="004D2CFD"/>
    <w:rsid w:val="004D3930"/>
    <w:rsid w:val="004D589A"/>
    <w:rsid w:val="004D670E"/>
    <w:rsid w:val="004E0EFB"/>
    <w:rsid w:val="004E0F4C"/>
    <w:rsid w:val="004E25F5"/>
    <w:rsid w:val="004E30B1"/>
    <w:rsid w:val="004E32ED"/>
    <w:rsid w:val="004E4291"/>
    <w:rsid w:val="004E6AC9"/>
    <w:rsid w:val="004E7FDB"/>
    <w:rsid w:val="004F15E9"/>
    <w:rsid w:val="004F1702"/>
    <w:rsid w:val="004F2413"/>
    <w:rsid w:val="004F33E3"/>
    <w:rsid w:val="004F37D5"/>
    <w:rsid w:val="004F4B85"/>
    <w:rsid w:val="004F51CF"/>
    <w:rsid w:val="004F6991"/>
    <w:rsid w:val="004F6E72"/>
    <w:rsid w:val="004F7A7C"/>
    <w:rsid w:val="0050013B"/>
    <w:rsid w:val="00500539"/>
    <w:rsid w:val="00501752"/>
    <w:rsid w:val="00501AF8"/>
    <w:rsid w:val="005023B3"/>
    <w:rsid w:val="005028DF"/>
    <w:rsid w:val="00503A3C"/>
    <w:rsid w:val="00503CEA"/>
    <w:rsid w:val="00504D02"/>
    <w:rsid w:val="005057A6"/>
    <w:rsid w:val="00506742"/>
    <w:rsid w:val="0051112C"/>
    <w:rsid w:val="00513695"/>
    <w:rsid w:val="00513797"/>
    <w:rsid w:val="00513BEE"/>
    <w:rsid w:val="00514ADC"/>
    <w:rsid w:val="005153FA"/>
    <w:rsid w:val="005158C1"/>
    <w:rsid w:val="00516775"/>
    <w:rsid w:val="00517127"/>
    <w:rsid w:val="00521583"/>
    <w:rsid w:val="00522046"/>
    <w:rsid w:val="00523043"/>
    <w:rsid w:val="00523B02"/>
    <w:rsid w:val="005256F6"/>
    <w:rsid w:val="0052579D"/>
    <w:rsid w:val="00526F29"/>
    <w:rsid w:val="0052780D"/>
    <w:rsid w:val="00527BC4"/>
    <w:rsid w:val="0053301B"/>
    <w:rsid w:val="005330C4"/>
    <w:rsid w:val="00533745"/>
    <w:rsid w:val="00534F56"/>
    <w:rsid w:val="005360FF"/>
    <w:rsid w:val="00536526"/>
    <w:rsid w:val="005366BC"/>
    <w:rsid w:val="00537554"/>
    <w:rsid w:val="005378EA"/>
    <w:rsid w:val="005409D2"/>
    <w:rsid w:val="0054126F"/>
    <w:rsid w:val="005435A0"/>
    <w:rsid w:val="00544083"/>
    <w:rsid w:val="00544422"/>
    <w:rsid w:val="005459B7"/>
    <w:rsid w:val="00546B7E"/>
    <w:rsid w:val="00546CAB"/>
    <w:rsid w:val="005470EB"/>
    <w:rsid w:val="00547733"/>
    <w:rsid w:val="00550DCE"/>
    <w:rsid w:val="00551371"/>
    <w:rsid w:val="00551FA3"/>
    <w:rsid w:val="0055290E"/>
    <w:rsid w:val="00554436"/>
    <w:rsid w:val="00554493"/>
    <w:rsid w:val="00554E9F"/>
    <w:rsid w:val="005565D6"/>
    <w:rsid w:val="0055680C"/>
    <w:rsid w:val="00556E3A"/>
    <w:rsid w:val="0055742E"/>
    <w:rsid w:val="005603A4"/>
    <w:rsid w:val="00561093"/>
    <w:rsid w:val="00561692"/>
    <w:rsid w:val="005620E5"/>
    <w:rsid w:val="00562486"/>
    <w:rsid w:val="005630F3"/>
    <w:rsid w:val="005646ED"/>
    <w:rsid w:val="0056475B"/>
    <w:rsid w:val="005658CA"/>
    <w:rsid w:val="00565C06"/>
    <w:rsid w:val="00566506"/>
    <w:rsid w:val="0057079A"/>
    <w:rsid w:val="005717B3"/>
    <w:rsid w:val="00571B46"/>
    <w:rsid w:val="00571BAC"/>
    <w:rsid w:val="00571D8C"/>
    <w:rsid w:val="00571D91"/>
    <w:rsid w:val="005720E8"/>
    <w:rsid w:val="00572E22"/>
    <w:rsid w:val="00573706"/>
    <w:rsid w:val="00573C66"/>
    <w:rsid w:val="00574404"/>
    <w:rsid w:val="0057485E"/>
    <w:rsid w:val="00575BC5"/>
    <w:rsid w:val="00576016"/>
    <w:rsid w:val="0057700C"/>
    <w:rsid w:val="00580AE3"/>
    <w:rsid w:val="00581643"/>
    <w:rsid w:val="00581855"/>
    <w:rsid w:val="00581CE3"/>
    <w:rsid w:val="00582C80"/>
    <w:rsid w:val="005831F2"/>
    <w:rsid w:val="0058350F"/>
    <w:rsid w:val="00583A4B"/>
    <w:rsid w:val="00583ECC"/>
    <w:rsid w:val="00585AF5"/>
    <w:rsid w:val="00585B79"/>
    <w:rsid w:val="0058610A"/>
    <w:rsid w:val="005861CE"/>
    <w:rsid w:val="005867EE"/>
    <w:rsid w:val="0058696D"/>
    <w:rsid w:val="00586F50"/>
    <w:rsid w:val="005871DA"/>
    <w:rsid w:val="0059098F"/>
    <w:rsid w:val="00590E45"/>
    <w:rsid w:val="00592672"/>
    <w:rsid w:val="00592C51"/>
    <w:rsid w:val="00592DF5"/>
    <w:rsid w:val="0059325E"/>
    <w:rsid w:val="005935BA"/>
    <w:rsid w:val="005936D2"/>
    <w:rsid w:val="00594290"/>
    <w:rsid w:val="005947F0"/>
    <w:rsid w:val="00596E52"/>
    <w:rsid w:val="00597353"/>
    <w:rsid w:val="00597691"/>
    <w:rsid w:val="00597A7B"/>
    <w:rsid w:val="005A0115"/>
    <w:rsid w:val="005A03F0"/>
    <w:rsid w:val="005A0DE6"/>
    <w:rsid w:val="005A0F30"/>
    <w:rsid w:val="005A1108"/>
    <w:rsid w:val="005A1274"/>
    <w:rsid w:val="005A143F"/>
    <w:rsid w:val="005A19BB"/>
    <w:rsid w:val="005A2183"/>
    <w:rsid w:val="005A222C"/>
    <w:rsid w:val="005A256B"/>
    <w:rsid w:val="005A27EF"/>
    <w:rsid w:val="005A2CEC"/>
    <w:rsid w:val="005A38D8"/>
    <w:rsid w:val="005A4211"/>
    <w:rsid w:val="005A444A"/>
    <w:rsid w:val="005A5230"/>
    <w:rsid w:val="005A53E8"/>
    <w:rsid w:val="005A6036"/>
    <w:rsid w:val="005A64A5"/>
    <w:rsid w:val="005A70BC"/>
    <w:rsid w:val="005A7388"/>
    <w:rsid w:val="005B145F"/>
    <w:rsid w:val="005B28A0"/>
    <w:rsid w:val="005B357D"/>
    <w:rsid w:val="005B372A"/>
    <w:rsid w:val="005B47A0"/>
    <w:rsid w:val="005B4C2D"/>
    <w:rsid w:val="005B51F7"/>
    <w:rsid w:val="005C147E"/>
    <w:rsid w:val="005C21CC"/>
    <w:rsid w:val="005C258B"/>
    <w:rsid w:val="005C28AF"/>
    <w:rsid w:val="005C2E64"/>
    <w:rsid w:val="005C332B"/>
    <w:rsid w:val="005C339B"/>
    <w:rsid w:val="005C3C55"/>
    <w:rsid w:val="005C4C02"/>
    <w:rsid w:val="005C684C"/>
    <w:rsid w:val="005C6F65"/>
    <w:rsid w:val="005C7200"/>
    <w:rsid w:val="005C746A"/>
    <w:rsid w:val="005C765D"/>
    <w:rsid w:val="005C7B93"/>
    <w:rsid w:val="005D283C"/>
    <w:rsid w:val="005D308E"/>
    <w:rsid w:val="005D368E"/>
    <w:rsid w:val="005D4FC4"/>
    <w:rsid w:val="005D54F0"/>
    <w:rsid w:val="005D5A6D"/>
    <w:rsid w:val="005D79FF"/>
    <w:rsid w:val="005E0895"/>
    <w:rsid w:val="005E0D2A"/>
    <w:rsid w:val="005E1749"/>
    <w:rsid w:val="005E3879"/>
    <w:rsid w:val="005E3D81"/>
    <w:rsid w:val="005E50A9"/>
    <w:rsid w:val="005E5B45"/>
    <w:rsid w:val="005E714D"/>
    <w:rsid w:val="005E74F6"/>
    <w:rsid w:val="005E7C05"/>
    <w:rsid w:val="005F1E22"/>
    <w:rsid w:val="005F25FB"/>
    <w:rsid w:val="005F31C7"/>
    <w:rsid w:val="005F382C"/>
    <w:rsid w:val="005F47AE"/>
    <w:rsid w:val="005F592A"/>
    <w:rsid w:val="005F79E6"/>
    <w:rsid w:val="006002D3"/>
    <w:rsid w:val="0060067B"/>
    <w:rsid w:val="00601D47"/>
    <w:rsid w:val="00601FC8"/>
    <w:rsid w:val="006035DB"/>
    <w:rsid w:val="006054C6"/>
    <w:rsid w:val="00607495"/>
    <w:rsid w:val="00611CB7"/>
    <w:rsid w:val="006120E5"/>
    <w:rsid w:val="00613E3D"/>
    <w:rsid w:val="00615A1A"/>
    <w:rsid w:val="00620383"/>
    <w:rsid w:val="006207F3"/>
    <w:rsid w:val="006213A8"/>
    <w:rsid w:val="006224D2"/>
    <w:rsid w:val="006245DD"/>
    <w:rsid w:val="0062625B"/>
    <w:rsid w:val="006265D5"/>
    <w:rsid w:val="00626EE4"/>
    <w:rsid w:val="00627A2F"/>
    <w:rsid w:val="00627BB1"/>
    <w:rsid w:val="00633089"/>
    <w:rsid w:val="00634B84"/>
    <w:rsid w:val="00634BE4"/>
    <w:rsid w:val="00636517"/>
    <w:rsid w:val="00637732"/>
    <w:rsid w:val="0064018B"/>
    <w:rsid w:val="006422A0"/>
    <w:rsid w:val="00642CAE"/>
    <w:rsid w:val="0064328C"/>
    <w:rsid w:val="006449F0"/>
    <w:rsid w:val="00645778"/>
    <w:rsid w:val="006458F2"/>
    <w:rsid w:val="00645AC9"/>
    <w:rsid w:val="00646A46"/>
    <w:rsid w:val="006506F0"/>
    <w:rsid w:val="00651D15"/>
    <w:rsid w:val="00651EBB"/>
    <w:rsid w:val="0065353F"/>
    <w:rsid w:val="0065410D"/>
    <w:rsid w:val="006541B3"/>
    <w:rsid w:val="006541EA"/>
    <w:rsid w:val="0065426C"/>
    <w:rsid w:val="0065578D"/>
    <w:rsid w:val="00655A05"/>
    <w:rsid w:val="006569F2"/>
    <w:rsid w:val="00656BBE"/>
    <w:rsid w:val="00656FAB"/>
    <w:rsid w:val="006571D3"/>
    <w:rsid w:val="00657C74"/>
    <w:rsid w:val="00657E6C"/>
    <w:rsid w:val="00657EBF"/>
    <w:rsid w:val="00661D7D"/>
    <w:rsid w:val="006635C9"/>
    <w:rsid w:val="00663FF1"/>
    <w:rsid w:val="00664380"/>
    <w:rsid w:val="00665171"/>
    <w:rsid w:val="006665F9"/>
    <w:rsid w:val="006666F6"/>
    <w:rsid w:val="00666A69"/>
    <w:rsid w:val="0066729B"/>
    <w:rsid w:val="00667323"/>
    <w:rsid w:val="006677EC"/>
    <w:rsid w:val="00670548"/>
    <w:rsid w:val="00670CB2"/>
    <w:rsid w:val="00671857"/>
    <w:rsid w:val="0067292D"/>
    <w:rsid w:val="00673658"/>
    <w:rsid w:val="00673FEA"/>
    <w:rsid w:val="006754F8"/>
    <w:rsid w:val="00676B16"/>
    <w:rsid w:val="00676CD1"/>
    <w:rsid w:val="006776E3"/>
    <w:rsid w:val="0068052B"/>
    <w:rsid w:val="00680ABD"/>
    <w:rsid w:val="006811CF"/>
    <w:rsid w:val="00681274"/>
    <w:rsid w:val="00681946"/>
    <w:rsid w:val="00683B20"/>
    <w:rsid w:val="00683B4A"/>
    <w:rsid w:val="0068537A"/>
    <w:rsid w:val="006865F7"/>
    <w:rsid w:val="006871DA"/>
    <w:rsid w:val="0069052D"/>
    <w:rsid w:val="00691B3A"/>
    <w:rsid w:val="00691BDE"/>
    <w:rsid w:val="00691D16"/>
    <w:rsid w:val="0069582B"/>
    <w:rsid w:val="00695C4F"/>
    <w:rsid w:val="006A01F3"/>
    <w:rsid w:val="006A0681"/>
    <w:rsid w:val="006A0C9F"/>
    <w:rsid w:val="006A2116"/>
    <w:rsid w:val="006A6968"/>
    <w:rsid w:val="006A7E28"/>
    <w:rsid w:val="006B0EA3"/>
    <w:rsid w:val="006B3CA4"/>
    <w:rsid w:val="006B7246"/>
    <w:rsid w:val="006C1B5E"/>
    <w:rsid w:val="006C2449"/>
    <w:rsid w:val="006C394E"/>
    <w:rsid w:val="006C454E"/>
    <w:rsid w:val="006C56A9"/>
    <w:rsid w:val="006C6EBB"/>
    <w:rsid w:val="006C7221"/>
    <w:rsid w:val="006C7988"/>
    <w:rsid w:val="006C7B08"/>
    <w:rsid w:val="006C7E92"/>
    <w:rsid w:val="006D0F4E"/>
    <w:rsid w:val="006D2C4C"/>
    <w:rsid w:val="006D2FBC"/>
    <w:rsid w:val="006D5E78"/>
    <w:rsid w:val="006E046C"/>
    <w:rsid w:val="006E1DA1"/>
    <w:rsid w:val="006E324D"/>
    <w:rsid w:val="006E33F5"/>
    <w:rsid w:val="006E3BC1"/>
    <w:rsid w:val="006E4564"/>
    <w:rsid w:val="006E5491"/>
    <w:rsid w:val="006E612E"/>
    <w:rsid w:val="006E79B7"/>
    <w:rsid w:val="006F09AE"/>
    <w:rsid w:val="006F1B1A"/>
    <w:rsid w:val="006F1C62"/>
    <w:rsid w:val="006F20A0"/>
    <w:rsid w:val="006F3010"/>
    <w:rsid w:val="006F314E"/>
    <w:rsid w:val="006F4FF0"/>
    <w:rsid w:val="006F51BA"/>
    <w:rsid w:val="006F733E"/>
    <w:rsid w:val="006F7CEC"/>
    <w:rsid w:val="0070031F"/>
    <w:rsid w:val="007006D5"/>
    <w:rsid w:val="00703D5E"/>
    <w:rsid w:val="007059CA"/>
    <w:rsid w:val="00710FB3"/>
    <w:rsid w:val="0071141D"/>
    <w:rsid w:val="00712446"/>
    <w:rsid w:val="00712EEA"/>
    <w:rsid w:val="007138DC"/>
    <w:rsid w:val="00714655"/>
    <w:rsid w:val="007147A5"/>
    <w:rsid w:val="007147D9"/>
    <w:rsid w:val="0071574A"/>
    <w:rsid w:val="00715DA5"/>
    <w:rsid w:val="00716AAB"/>
    <w:rsid w:val="00716AB7"/>
    <w:rsid w:val="00716CF5"/>
    <w:rsid w:val="00717492"/>
    <w:rsid w:val="007202C8"/>
    <w:rsid w:val="00722897"/>
    <w:rsid w:val="00722AE7"/>
    <w:rsid w:val="00723F2C"/>
    <w:rsid w:val="00724DB0"/>
    <w:rsid w:val="007253CB"/>
    <w:rsid w:val="00725FBC"/>
    <w:rsid w:val="007264FA"/>
    <w:rsid w:val="00726758"/>
    <w:rsid w:val="0072689F"/>
    <w:rsid w:val="00726924"/>
    <w:rsid w:val="00727757"/>
    <w:rsid w:val="0072791E"/>
    <w:rsid w:val="00731461"/>
    <w:rsid w:val="00731AAD"/>
    <w:rsid w:val="00732171"/>
    <w:rsid w:val="007326B8"/>
    <w:rsid w:val="00733835"/>
    <w:rsid w:val="00735555"/>
    <w:rsid w:val="0073612B"/>
    <w:rsid w:val="00736536"/>
    <w:rsid w:val="00737111"/>
    <w:rsid w:val="007406B6"/>
    <w:rsid w:val="007417FA"/>
    <w:rsid w:val="00743504"/>
    <w:rsid w:val="00744FD6"/>
    <w:rsid w:val="00745485"/>
    <w:rsid w:val="007473DD"/>
    <w:rsid w:val="0074749D"/>
    <w:rsid w:val="007501C9"/>
    <w:rsid w:val="00751D15"/>
    <w:rsid w:val="00757D04"/>
    <w:rsid w:val="00760804"/>
    <w:rsid w:val="00762DC9"/>
    <w:rsid w:val="0076344A"/>
    <w:rsid w:val="00763F47"/>
    <w:rsid w:val="00764445"/>
    <w:rsid w:val="00764A8A"/>
    <w:rsid w:val="00765FA0"/>
    <w:rsid w:val="00767B48"/>
    <w:rsid w:val="007709B8"/>
    <w:rsid w:val="0077135C"/>
    <w:rsid w:val="00772647"/>
    <w:rsid w:val="0077497B"/>
    <w:rsid w:val="00777C23"/>
    <w:rsid w:val="00777E69"/>
    <w:rsid w:val="007808BF"/>
    <w:rsid w:val="0078190F"/>
    <w:rsid w:val="007820C8"/>
    <w:rsid w:val="00782E80"/>
    <w:rsid w:val="00784E6B"/>
    <w:rsid w:val="00785C9C"/>
    <w:rsid w:val="0078642C"/>
    <w:rsid w:val="00786C93"/>
    <w:rsid w:val="00787B59"/>
    <w:rsid w:val="0079287C"/>
    <w:rsid w:val="0079336D"/>
    <w:rsid w:val="007935CB"/>
    <w:rsid w:val="00793E46"/>
    <w:rsid w:val="00794CE8"/>
    <w:rsid w:val="00795508"/>
    <w:rsid w:val="00797CB9"/>
    <w:rsid w:val="007A1178"/>
    <w:rsid w:val="007A12A7"/>
    <w:rsid w:val="007A29D8"/>
    <w:rsid w:val="007A469E"/>
    <w:rsid w:val="007A61D3"/>
    <w:rsid w:val="007A67B9"/>
    <w:rsid w:val="007A6C46"/>
    <w:rsid w:val="007B12C8"/>
    <w:rsid w:val="007B1381"/>
    <w:rsid w:val="007B1AB1"/>
    <w:rsid w:val="007B23AF"/>
    <w:rsid w:val="007B25D7"/>
    <w:rsid w:val="007B3C77"/>
    <w:rsid w:val="007B3F21"/>
    <w:rsid w:val="007B74B5"/>
    <w:rsid w:val="007B7940"/>
    <w:rsid w:val="007C07DE"/>
    <w:rsid w:val="007C0975"/>
    <w:rsid w:val="007C19E1"/>
    <w:rsid w:val="007C1CD9"/>
    <w:rsid w:val="007C2B48"/>
    <w:rsid w:val="007C2BA0"/>
    <w:rsid w:val="007C51F9"/>
    <w:rsid w:val="007C53C2"/>
    <w:rsid w:val="007C6D8C"/>
    <w:rsid w:val="007C71F0"/>
    <w:rsid w:val="007C73A2"/>
    <w:rsid w:val="007C786D"/>
    <w:rsid w:val="007C7C2F"/>
    <w:rsid w:val="007C7C97"/>
    <w:rsid w:val="007D1B4D"/>
    <w:rsid w:val="007D3B53"/>
    <w:rsid w:val="007D6663"/>
    <w:rsid w:val="007D74E5"/>
    <w:rsid w:val="007E2801"/>
    <w:rsid w:val="007E2E7B"/>
    <w:rsid w:val="007E64B7"/>
    <w:rsid w:val="007E71C8"/>
    <w:rsid w:val="007F0DFA"/>
    <w:rsid w:val="007F1901"/>
    <w:rsid w:val="007F28EB"/>
    <w:rsid w:val="007F325E"/>
    <w:rsid w:val="007F3925"/>
    <w:rsid w:val="007F3AD9"/>
    <w:rsid w:val="007F3F77"/>
    <w:rsid w:val="007F428B"/>
    <w:rsid w:val="007F556D"/>
    <w:rsid w:val="007F666C"/>
    <w:rsid w:val="007F7F6B"/>
    <w:rsid w:val="008003A8"/>
    <w:rsid w:val="00801F6E"/>
    <w:rsid w:val="00802A86"/>
    <w:rsid w:val="008034D7"/>
    <w:rsid w:val="008039DF"/>
    <w:rsid w:val="008054E3"/>
    <w:rsid w:val="0080556E"/>
    <w:rsid w:val="0080602D"/>
    <w:rsid w:val="008067A2"/>
    <w:rsid w:val="00806FCB"/>
    <w:rsid w:val="0080756A"/>
    <w:rsid w:val="00807B90"/>
    <w:rsid w:val="00810105"/>
    <w:rsid w:val="008141F8"/>
    <w:rsid w:val="00814AFA"/>
    <w:rsid w:val="00814EAB"/>
    <w:rsid w:val="008165D1"/>
    <w:rsid w:val="00821AD2"/>
    <w:rsid w:val="00821C31"/>
    <w:rsid w:val="00823389"/>
    <w:rsid w:val="00823D38"/>
    <w:rsid w:val="00824239"/>
    <w:rsid w:val="0082489D"/>
    <w:rsid w:val="0082620D"/>
    <w:rsid w:val="00826D0A"/>
    <w:rsid w:val="00826DD0"/>
    <w:rsid w:val="00827C4E"/>
    <w:rsid w:val="008300BF"/>
    <w:rsid w:val="00831324"/>
    <w:rsid w:val="00831AC8"/>
    <w:rsid w:val="00831ADF"/>
    <w:rsid w:val="00832355"/>
    <w:rsid w:val="0083311E"/>
    <w:rsid w:val="00833F58"/>
    <w:rsid w:val="008341F3"/>
    <w:rsid w:val="008349CC"/>
    <w:rsid w:val="00840124"/>
    <w:rsid w:val="00841288"/>
    <w:rsid w:val="008415D6"/>
    <w:rsid w:val="00842EC9"/>
    <w:rsid w:val="008441B7"/>
    <w:rsid w:val="00846D9A"/>
    <w:rsid w:val="00850785"/>
    <w:rsid w:val="00851BA9"/>
    <w:rsid w:val="0085376A"/>
    <w:rsid w:val="0085380E"/>
    <w:rsid w:val="0085457A"/>
    <w:rsid w:val="00855211"/>
    <w:rsid w:val="0085549C"/>
    <w:rsid w:val="0085620B"/>
    <w:rsid w:val="00857185"/>
    <w:rsid w:val="00857972"/>
    <w:rsid w:val="00860743"/>
    <w:rsid w:val="008627F5"/>
    <w:rsid w:val="00863655"/>
    <w:rsid w:val="00863AA8"/>
    <w:rsid w:val="0086409C"/>
    <w:rsid w:val="008648A5"/>
    <w:rsid w:val="00866A9F"/>
    <w:rsid w:val="00866CFA"/>
    <w:rsid w:val="00867E80"/>
    <w:rsid w:val="008707C3"/>
    <w:rsid w:val="008713AC"/>
    <w:rsid w:val="0087170F"/>
    <w:rsid w:val="00872BB7"/>
    <w:rsid w:val="00874533"/>
    <w:rsid w:val="008758F7"/>
    <w:rsid w:val="00875975"/>
    <w:rsid w:val="00876EA7"/>
    <w:rsid w:val="00877EAC"/>
    <w:rsid w:val="0088178B"/>
    <w:rsid w:val="00881F83"/>
    <w:rsid w:val="00882FCC"/>
    <w:rsid w:val="008832E0"/>
    <w:rsid w:val="0088353C"/>
    <w:rsid w:val="008844A1"/>
    <w:rsid w:val="00885108"/>
    <w:rsid w:val="00885663"/>
    <w:rsid w:val="008860AB"/>
    <w:rsid w:val="00887ED0"/>
    <w:rsid w:val="0089129C"/>
    <w:rsid w:val="008924AE"/>
    <w:rsid w:val="00893A90"/>
    <w:rsid w:val="008940C5"/>
    <w:rsid w:val="00894D6F"/>
    <w:rsid w:val="008962C9"/>
    <w:rsid w:val="008978D3"/>
    <w:rsid w:val="008A2BA5"/>
    <w:rsid w:val="008A38E8"/>
    <w:rsid w:val="008A4AC0"/>
    <w:rsid w:val="008A55E2"/>
    <w:rsid w:val="008A56A8"/>
    <w:rsid w:val="008A5AB8"/>
    <w:rsid w:val="008A6242"/>
    <w:rsid w:val="008A745F"/>
    <w:rsid w:val="008B08BA"/>
    <w:rsid w:val="008B0DBB"/>
    <w:rsid w:val="008B21DA"/>
    <w:rsid w:val="008B3B4F"/>
    <w:rsid w:val="008B450A"/>
    <w:rsid w:val="008B607F"/>
    <w:rsid w:val="008B6518"/>
    <w:rsid w:val="008B68FD"/>
    <w:rsid w:val="008B6AEE"/>
    <w:rsid w:val="008C0746"/>
    <w:rsid w:val="008C20B8"/>
    <w:rsid w:val="008C2115"/>
    <w:rsid w:val="008C302C"/>
    <w:rsid w:val="008C3214"/>
    <w:rsid w:val="008C34EC"/>
    <w:rsid w:val="008C45AD"/>
    <w:rsid w:val="008C63EC"/>
    <w:rsid w:val="008C6CBC"/>
    <w:rsid w:val="008D2F92"/>
    <w:rsid w:val="008D3712"/>
    <w:rsid w:val="008D6320"/>
    <w:rsid w:val="008D643E"/>
    <w:rsid w:val="008D69DE"/>
    <w:rsid w:val="008D733D"/>
    <w:rsid w:val="008E034A"/>
    <w:rsid w:val="008E0BA2"/>
    <w:rsid w:val="008E0BF1"/>
    <w:rsid w:val="008E0D25"/>
    <w:rsid w:val="008E117C"/>
    <w:rsid w:val="008E3722"/>
    <w:rsid w:val="008E428D"/>
    <w:rsid w:val="008E4943"/>
    <w:rsid w:val="008E5518"/>
    <w:rsid w:val="008F0CCF"/>
    <w:rsid w:val="008F1BE7"/>
    <w:rsid w:val="008F1CC7"/>
    <w:rsid w:val="008F23F2"/>
    <w:rsid w:val="008F3393"/>
    <w:rsid w:val="008F3A30"/>
    <w:rsid w:val="008F4DFC"/>
    <w:rsid w:val="008F5C32"/>
    <w:rsid w:val="008F6118"/>
    <w:rsid w:val="008F7662"/>
    <w:rsid w:val="008F7833"/>
    <w:rsid w:val="00900020"/>
    <w:rsid w:val="00902660"/>
    <w:rsid w:val="00905304"/>
    <w:rsid w:val="00905DFD"/>
    <w:rsid w:val="00905EB3"/>
    <w:rsid w:val="00907411"/>
    <w:rsid w:val="00912B37"/>
    <w:rsid w:val="00912EE5"/>
    <w:rsid w:val="00913523"/>
    <w:rsid w:val="00915BEE"/>
    <w:rsid w:val="009163B9"/>
    <w:rsid w:val="00917627"/>
    <w:rsid w:val="00917663"/>
    <w:rsid w:val="009210D5"/>
    <w:rsid w:val="00921C37"/>
    <w:rsid w:val="00923D70"/>
    <w:rsid w:val="00924155"/>
    <w:rsid w:val="00924546"/>
    <w:rsid w:val="00924D31"/>
    <w:rsid w:val="00926E6C"/>
    <w:rsid w:val="009272F8"/>
    <w:rsid w:val="00927333"/>
    <w:rsid w:val="009279E4"/>
    <w:rsid w:val="0093213B"/>
    <w:rsid w:val="0093524A"/>
    <w:rsid w:val="00936051"/>
    <w:rsid w:val="00936BA2"/>
    <w:rsid w:val="00937A73"/>
    <w:rsid w:val="009400CD"/>
    <w:rsid w:val="009402EE"/>
    <w:rsid w:val="00940D6D"/>
    <w:rsid w:val="00940F10"/>
    <w:rsid w:val="009421C7"/>
    <w:rsid w:val="00943460"/>
    <w:rsid w:val="00943F2E"/>
    <w:rsid w:val="009456A3"/>
    <w:rsid w:val="00946571"/>
    <w:rsid w:val="00947630"/>
    <w:rsid w:val="00951EB6"/>
    <w:rsid w:val="009539BF"/>
    <w:rsid w:val="00955C08"/>
    <w:rsid w:val="0096391F"/>
    <w:rsid w:val="0096392B"/>
    <w:rsid w:val="00964A05"/>
    <w:rsid w:val="00964DC3"/>
    <w:rsid w:val="0096731F"/>
    <w:rsid w:val="00967A24"/>
    <w:rsid w:val="00967DB8"/>
    <w:rsid w:val="00967E08"/>
    <w:rsid w:val="00970537"/>
    <w:rsid w:val="00970A06"/>
    <w:rsid w:val="00973729"/>
    <w:rsid w:val="00973EC9"/>
    <w:rsid w:val="00973ECC"/>
    <w:rsid w:val="00976617"/>
    <w:rsid w:val="0097696C"/>
    <w:rsid w:val="00976FF6"/>
    <w:rsid w:val="00977DEB"/>
    <w:rsid w:val="00982062"/>
    <w:rsid w:val="009835C7"/>
    <w:rsid w:val="00984A1B"/>
    <w:rsid w:val="00985F59"/>
    <w:rsid w:val="0098759A"/>
    <w:rsid w:val="00987962"/>
    <w:rsid w:val="00991AB7"/>
    <w:rsid w:val="009932CF"/>
    <w:rsid w:val="0099457D"/>
    <w:rsid w:val="00995937"/>
    <w:rsid w:val="00996DA1"/>
    <w:rsid w:val="009A0717"/>
    <w:rsid w:val="009A1028"/>
    <w:rsid w:val="009A2940"/>
    <w:rsid w:val="009A359A"/>
    <w:rsid w:val="009A3CF4"/>
    <w:rsid w:val="009A6046"/>
    <w:rsid w:val="009A6F7E"/>
    <w:rsid w:val="009A6F9F"/>
    <w:rsid w:val="009B2DA0"/>
    <w:rsid w:val="009B410A"/>
    <w:rsid w:val="009B48D1"/>
    <w:rsid w:val="009B4B81"/>
    <w:rsid w:val="009B570D"/>
    <w:rsid w:val="009C032D"/>
    <w:rsid w:val="009C17F3"/>
    <w:rsid w:val="009C28B8"/>
    <w:rsid w:val="009C28C6"/>
    <w:rsid w:val="009C2C51"/>
    <w:rsid w:val="009C3939"/>
    <w:rsid w:val="009C4EB5"/>
    <w:rsid w:val="009C592E"/>
    <w:rsid w:val="009C5A28"/>
    <w:rsid w:val="009C5B9E"/>
    <w:rsid w:val="009C5EA5"/>
    <w:rsid w:val="009D0E34"/>
    <w:rsid w:val="009D1458"/>
    <w:rsid w:val="009D2053"/>
    <w:rsid w:val="009D23FE"/>
    <w:rsid w:val="009D2E19"/>
    <w:rsid w:val="009D2EC8"/>
    <w:rsid w:val="009D53DE"/>
    <w:rsid w:val="009D582D"/>
    <w:rsid w:val="009D5FB5"/>
    <w:rsid w:val="009D735B"/>
    <w:rsid w:val="009D7B60"/>
    <w:rsid w:val="009E013D"/>
    <w:rsid w:val="009E0312"/>
    <w:rsid w:val="009E0633"/>
    <w:rsid w:val="009E08D4"/>
    <w:rsid w:val="009E09A2"/>
    <w:rsid w:val="009E1043"/>
    <w:rsid w:val="009E1BFE"/>
    <w:rsid w:val="009E20B8"/>
    <w:rsid w:val="009E23A6"/>
    <w:rsid w:val="009E2735"/>
    <w:rsid w:val="009E4590"/>
    <w:rsid w:val="009E5576"/>
    <w:rsid w:val="009E6ABC"/>
    <w:rsid w:val="009E756B"/>
    <w:rsid w:val="009E7C0C"/>
    <w:rsid w:val="009F000C"/>
    <w:rsid w:val="009F0A57"/>
    <w:rsid w:val="009F251C"/>
    <w:rsid w:val="009F4D8E"/>
    <w:rsid w:val="009F5CFD"/>
    <w:rsid w:val="009F712B"/>
    <w:rsid w:val="00A0101D"/>
    <w:rsid w:val="00A014F4"/>
    <w:rsid w:val="00A016B4"/>
    <w:rsid w:val="00A01DAC"/>
    <w:rsid w:val="00A029FE"/>
    <w:rsid w:val="00A02F2E"/>
    <w:rsid w:val="00A0402E"/>
    <w:rsid w:val="00A04CD7"/>
    <w:rsid w:val="00A05CFD"/>
    <w:rsid w:val="00A0664E"/>
    <w:rsid w:val="00A06B53"/>
    <w:rsid w:val="00A0774B"/>
    <w:rsid w:val="00A1190A"/>
    <w:rsid w:val="00A11B9F"/>
    <w:rsid w:val="00A123DC"/>
    <w:rsid w:val="00A1256D"/>
    <w:rsid w:val="00A171B8"/>
    <w:rsid w:val="00A20502"/>
    <w:rsid w:val="00A21696"/>
    <w:rsid w:val="00A22B29"/>
    <w:rsid w:val="00A2651E"/>
    <w:rsid w:val="00A27EA8"/>
    <w:rsid w:val="00A300D6"/>
    <w:rsid w:val="00A3014A"/>
    <w:rsid w:val="00A3081A"/>
    <w:rsid w:val="00A31056"/>
    <w:rsid w:val="00A31B82"/>
    <w:rsid w:val="00A32DD7"/>
    <w:rsid w:val="00A33CC6"/>
    <w:rsid w:val="00A374C5"/>
    <w:rsid w:val="00A37B5C"/>
    <w:rsid w:val="00A415AB"/>
    <w:rsid w:val="00A43817"/>
    <w:rsid w:val="00A4532C"/>
    <w:rsid w:val="00A4597A"/>
    <w:rsid w:val="00A475A5"/>
    <w:rsid w:val="00A50224"/>
    <w:rsid w:val="00A5153F"/>
    <w:rsid w:val="00A518FD"/>
    <w:rsid w:val="00A55B32"/>
    <w:rsid w:val="00A566A0"/>
    <w:rsid w:val="00A56EA6"/>
    <w:rsid w:val="00A57972"/>
    <w:rsid w:val="00A6065B"/>
    <w:rsid w:val="00A60CC9"/>
    <w:rsid w:val="00A61DC9"/>
    <w:rsid w:val="00A62313"/>
    <w:rsid w:val="00A6471C"/>
    <w:rsid w:val="00A659E4"/>
    <w:rsid w:val="00A67516"/>
    <w:rsid w:val="00A73696"/>
    <w:rsid w:val="00A73CFC"/>
    <w:rsid w:val="00A74D74"/>
    <w:rsid w:val="00A75305"/>
    <w:rsid w:val="00A75C51"/>
    <w:rsid w:val="00A75FDF"/>
    <w:rsid w:val="00A76DC4"/>
    <w:rsid w:val="00A776A3"/>
    <w:rsid w:val="00A80703"/>
    <w:rsid w:val="00A80B39"/>
    <w:rsid w:val="00A80B84"/>
    <w:rsid w:val="00A8181E"/>
    <w:rsid w:val="00A8228B"/>
    <w:rsid w:val="00A82435"/>
    <w:rsid w:val="00A82BAB"/>
    <w:rsid w:val="00A82F7A"/>
    <w:rsid w:val="00A82FF4"/>
    <w:rsid w:val="00A839EB"/>
    <w:rsid w:val="00A8519A"/>
    <w:rsid w:val="00A852E7"/>
    <w:rsid w:val="00A86659"/>
    <w:rsid w:val="00A87654"/>
    <w:rsid w:val="00A87CB7"/>
    <w:rsid w:val="00A91D52"/>
    <w:rsid w:val="00A92AAC"/>
    <w:rsid w:val="00A92F34"/>
    <w:rsid w:val="00A9379E"/>
    <w:rsid w:val="00A940DB"/>
    <w:rsid w:val="00A94590"/>
    <w:rsid w:val="00A94B0F"/>
    <w:rsid w:val="00A94E3A"/>
    <w:rsid w:val="00A952EF"/>
    <w:rsid w:val="00A95D93"/>
    <w:rsid w:val="00AA0F88"/>
    <w:rsid w:val="00AA1044"/>
    <w:rsid w:val="00AA19F6"/>
    <w:rsid w:val="00AA34E7"/>
    <w:rsid w:val="00AA3629"/>
    <w:rsid w:val="00AA51B8"/>
    <w:rsid w:val="00AA70F0"/>
    <w:rsid w:val="00AB060C"/>
    <w:rsid w:val="00AB0EA4"/>
    <w:rsid w:val="00AB21E6"/>
    <w:rsid w:val="00AB2839"/>
    <w:rsid w:val="00AB2C6C"/>
    <w:rsid w:val="00AB304F"/>
    <w:rsid w:val="00AB4846"/>
    <w:rsid w:val="00AB4DC0"/>
    <w:rsid w:val="00AB5C07"/>
    <w:rsid w:val="00AB66DC"/>
    <w:rsid w:val="00AB789E"/>
    <w:rsid w:val="00AB7FD2"/>
    <w:rsid w:val="00AC0B82"/>
    <w:rsid w:val="00AC0BD7"/>
    <w:rsid w:val="00AC0CFD"/>
    <w:rsid w:val="00AC42F7"/>
    <w:rsid w:val="00AC63EE"/>
    <w:rsid w:val="00AC6A85"/>
    <w:rsid w:val="00AD0F7A"/>
    <w:rsid w:val="00AD1462"/>
    <w:rsid w:val="00AD214E"/>
    <w:rsid w:val="00AD42EF"/>
    <w:rsid w:val="00AD58FF"/>
    <w:rsid w:val="00AD59DD"/>
    <w:rsid w:val="00AD60A1"/>
    <w:rsid w:val="00AD7BD7"/>
    <w:rsid w:val="00AE1E99"/>
    <w:rsid w:val="00AE26B4"/>
    <w:rsid w:val="00AE2B3A"/>
    <w:rsid w:val="00AE5645"/>
    <w:rsid w:val="00AE57EF"/>
    <w:rsid w:val="00AE5C3F"/>
    <w:rsid w:val="00AE64BD"/>
    <w:rsid w:val="00AE6769"/>
    <w:rsid w:val="00AF05BE"/>
    <w:rsid w:val="00AF0AAE"/>
    <w:rsid w:val="00AF17FD"/>
    <w:rsid w:val="00AF2E1D"/>
    <w:rsid w:val="00AF3998"/>
    <w:rsid w:val="00AF45F5"/>
    <w:rsid w:val="00AF4FDB"/>
    <w:rsid w:val="00AF6EED"/>
    <w:rsid w:val="00AF749B"/>
    <w:rsid w:val="00B018DE"/>
    <w:rsid w:val="00B02381"/>
    <w:rsid w:val="00B04B7E"/>
    <w:rsid w:val="00B0533B"/>
    <w:rsid w:val="00B072AF"/>
    <w:rsid w:val="00B072B7"/>
    <w:rsid w:val="00B078D1"/>
    <w:rsid w:val="00B10363"/>
    <w:rsid w:val="00B10810"/>
    <w:rsid w:val="00B11554"/>
    <w:rsid w:val="00B11768"/>
    <w:rsid w:val="00B1248E"/>
    <w:rsid w:val="00B1268D"/>
    <w:rsid w:val="00B13F27"/>
    <w:rsid w:val="00B15757"/>
    <w:rsid w:val="00B15F0B"/>
    <w:rsid w:val="00B17489"/>
    <w:rsid w:val="00B20E5B"/>
    <w:rsid w:val="00B2153E"/>
    <w:rsid w:val="00B21730"/>
    <w:rsid w:val="00B21D2A"/>
    <w:rsid w:val="00B22491"/>
    <w:rsid w:val="00B234DE"/>
    <w:rsid w:val="00B24B56"/>
    <w:rsid w:val="00B251FE"/>
    <w:rsid w:val="00B25B1B"/>
    <w:rsid w:val="00B25E75"/>
    <w:rsid w:val="00B27FD2"/>
    <w:rsid w:val="00B301D1"/>
    <w:rsid w:val="00B3028C"/>
    <w:rsid w:val="00B30C5E"/>
    <w:rsid w:val="00B312A7"/>
    <w:rsid w:val="00B32AFF"/>
    <w:rsid w:val="00B347B7"/>
    <w:rsid w:val="00B3487B"/>
    <w:rsid w:val="00B34A26"/>
    <w:rsid w:val="00B34D33"/>
    <w:rsid w:val="00B35204"/>
    <w:rsid w:val="00B354E6"/>
    <w:rsid w:val="00B35576"/>
    <w:rsid w:val="00B36FC7"/>
    <w:rsid w:val="00B4016B"/>
    <w:rsid w:val="00B437BE"/>
    <w:rsid w:val="00B4754A"/>
    <w:rsid w:val="00B47BA8"/>
    <w:rsid w:val="00B51BE7"/>
    <w:rsid w:val="00B51D99"/>
    <w:rsid w:val="00B54646"/>
    <w:rsid w:val="00B54649"/>
    <w:rsid w:val="00B550D1"/>
    <w:rsid w:val="00B57F11"/>
    <w:rsid w:val="00B60197"/>
    <w:rsid w:val="00B61A37"/>
    <w:rsid w:val="00B62C11"/>
    <w:rsid w:val="00B662BE"/>
    <w:rsid w:val="00B672C9"/>
    <w:rsid w:val="00B67C90"/>
    <w:rsid w:val="00B70440"/>
    <w:rsid w:val="00B70811"/>
    <w:rsid w:val="00B72AD4"/>
    <w:rsid w:val="00B73378"/>
    <w:rsid w:val="00B73B87"/>
    <w:rsid w:val="00B749CF"/>
    <w:rsid w:val="00B75B2C"/>
    <w:rsid w:val="00B77577"/>
    <w:rsid w:val="00B77A63"/>
    <w:rsid w:val="00B77CA5"/>
    <w:rsid w:val="00B80351"/>
    <w:rsid w:val="00B82A7E"/>
    <w:rsid w:val="00B834FE"/>
    <w:rsid w:val="00B839D9"/>
    <w:rsid w:val="00B83AE4"/>
    <w:rsid w:val="00B905C5"/>
    <w:rsid w:val="00B90FB0"/>
    <w:rsid w:val="00B911A1"/>
    <w:rsid w:val="00B91BF6"/>
    <w:rsid w:val="00B924D5"/>
    <w:rsid w:val="00B92CF0"/>
    <w:rsid w:val="00B95AE8"/>
    <w:rsid w:val="00B9667C"/>
    <w:rsid w:val="00B96FBC"/>
    <w:rsid w:val="00B97B44"/>
    <w:rsid w:val="00B97C4D"/>
    <w:rsid w:val="00BA004F"/>
    <w:rsid w:val="00BA0672"/>
    <w:rsid w:val="00BA17A6"/>
    <w:rsid w:val="00BA3C02"/>
    <w:rsid w:val="00BA5481"/>
    <w:rsid w:val="00BA68D2"/>
    <w:rsid w:val="00BA7CF8"/>
    <w:rsid w:val="00BA7DF9"/>
    <w:rsid w:val="00BB0855"/>
    <w:rsid w:val="00BB1692"/>
    <w:rsid w:val="00BB31DD"/>
    <w:rsid w:val="00BB4009"/>
    <w:rsid w:val="00BB424B"/>
    <w:rsid w:val="00BB4640"/>
    <w:rsid w:val="00BB4B63"/>
    <w:rsid w:val="00BB59C2"/>
    <w:rsid w:val="00BB6E98"/>
    <w:rsid w:val="00BB6F2F"/>
    <w:rsid w:val="00BB7A04"/>
    <w:rsid w:val="00BB7A24"/>
    <w:rsid w:val="00BC01FC"/>
    <w:rsid w:val="00BC11D3"/>
    <w:rsid w:val="00BC31C9"/>
    <w:rsid w:val="00BC376C"/>
    <w:rsid w:val="00BC4C76"/>
    <w:rsid w:val="00BC675F"/>
    <w:rsid w:val="00BC7B48"/>
    <w:rsid w:val="00BD0478"/>
    <w:rsid w:val="00BD07CE"/>
    <w:rsid w:val="00BD1530"/>
    <w:rsid w:val="00BD16A7"/>
    <w:rsid w:val="00BD2EBC"/>
    <w:rsid w:val="00BD3052"/>
    <w:rsid w:val="00BD33DC"/>
    <w:rsid w:val="00BD3767"/>
    <w:rsid w:val="00BD4F95"/>
    <w:rsid w:val="00BD52B2"/>
    <w:rsid w:val="00BD5F92"/>
    <w:rsid w:val="00BE096B"/>
    <w:rsid w:val="00BE1538"/>
    <w:rsid w:val="00BE1A61"/>
    <w:rsid w:val="00BE3BD7"/>
    <w:rsid w:val="00BE5055"/>
    <w:rsid w:val="00BE56C6"/>
    <w:rsid w:val="00BE6D5C"/>
    <w:rsid w:val="00BE7AA6"/>
    <w:rsid w:val="00BF042B"/>
    <w:rsid w:val="00BF1C27"/>
    <w:rsid w:val="00BF2122"/>
    <w:rsid w:val="00BF262B"/>
    <w:rsid w:val="00BF2E11"/>
    <w:rsid w:val="00BF380E"/>
    <w:rsid w:val="00BF4050"/>
    <w:rsid w:val="00BF56EF"/>
    <w:rsid w:val="00BF63D2"/>
    <w:rsid w:val="00BF7F35"/>
    <w:rsid w:val="00C009FD"/>
    <w:rsid w:val="00C00D2C"/>
    <w:rsid w:val="00C018FF"/>
    <w:rsid w:val="00C01AC0"/>
    <w:rsid w:val="00C01AF0"/>
    <w:rsid w:val="00C02552"/>
    <w:rsid w:val="00C02CD5"/>
    <w:rsid w:val="00C02E05"/>
    <w:rsid w:val="00C041B5"/>
    <w:rsid w:val="00C04561"/>
    <w:rsid w:val="00C04DE0"/>
    <w:rsid w:val="00C070B5"/>
    <w:rsid w:val="00C07767"/>
    <w:rsid w:val="00C108FE"/>
    <w:rsid w:val="00C10BD1"/>
    <w:rsid w:val="00C11B9E"/>
    <w:rsid w:val="00C125F0"/>
    <w:rsid w:val="00C13273"/>
    <w:rsid w:val="00C137AD"/>
    <w:rsid w:val="00C139C2"/>
    <w:rsid w:val="00C14B8B"/>
    <w:rsid w:val="00C153E9"/>
    <w:rsid w:val="00C15B60"/>
    <w:rsid w:val="00C201E9"/>
    <w:rsid w:val="00C20216"/>
    <w:rsid w:val="00C210D4"/>
    <w:rsid w:val="00C211F2"/>
    <w:rsid w:val="00C21A20"/>
    <w:rsid w:val="00C21CC5"/>
    <w:rsid w:val="00C2353A"/>
    <w:rsid w:val="00C235AC"/>
    <w:rsid w:val="00C249FD"/>
    <w:rsid w:val="00C26C71"/>
    <w:rsid w:val="00C310A5"/>
    <w:rsid w:val="00C314AE"/>
    <w:rsid w:val="00C324E8"/>
    <w:rsid w:val="00C347AD"/>
    <w:rsid w:val="00C35C6A"/>
    <w:rsid w:val="00C35F5E"/>
    <w:rsid w:val="00C360F5"/>
    <w:rsid w:val="00C377F4"/>
    <w:rsid w:val="00C43469"/>
    <w:rsid w:val="00C43827"/>
    <w:rsid w:val="00C439C1"/>
    <w:rsid w:val="00C43B86"/>
    <w:rsid w:val="00C444CF"/>
    <w:rsid w:val="00C47085"/>
    <w:rsid w:val="00C47803"/>
    <w:rsid w:val="00C479DB"/>
    <w:rsid w:val="00C507A8"/>
    <w:rsid w:val="00C508C6"/>
    <w:rsid w:val="00C54CA1"/>
    <w:rsid w:val="00C55DCE"/>
    <w:rsid w:val="00C571B3"/>
    <w:rsid w:val="00C57B4B"/>
    <w:rsid w:val="00C606E2"/>
    <w:rsid w:val="00C61B3F"/>
    <w:rsid w:val="00C61F56"/>
    <w:rsid w:val="00C62B55"/>
    <w:rsid w:val="00C630FF"/>
    <w:rsid w:val="00C632D3"/>
    <w:rsid w:val="00C6432E"/>
    <w:rsid w:val="00C6479B"/>
    <w:rsid w:val="00C64BD8"/>
    <w:rsid w:val="00C65FE7"/>
    <w:rsid w:val="00C66549"/>
    <w:rsid w:val="00C666EF"/>
    <w:rsid w:val="00C67C4F"/>
    <w:rsid w:val="00C67C89"/>
    <w:rsid w:val="00C67E18"/>
    <w:rsid w:val="00C714DC"/>
    <w:rsid w:val="00C71827"/>
    <w:rsid w:val="00C72398"/>
    <w:rsid w:val="00C74293"/>
    <w:rsid w:val="00C7529C"/>
    <w:rsid w:val="00C75D63"/>
    <w:rsid w:val="00C75D94"/>
    <w:rsid w:val="00C776EE"/>
    <w:rsid w:val="00C827A1"/>
    <w:rsid w:val="00C83DB9"/>
    <w:rsid w:val="00C85273"/>
    <w:rsid w:val="00C87087"/>
    <w:rsid w:val="00C87AD7"/>
    <w:rsid w:val="00C90EC3"/>
    <w:rsid w:val="00C9284B"/>
    <w:rsid w:val="00C93A9F"/>
    <w:rsid w:val="00C946E4"/>
    <w:rsid w:val="00C94B09"/>
    <w:rsid w:val="00C979E4"/>
    <w:rsid w:val="00CA001D"/>
    <w:rsid w:val="00CA1663"/>
    <w:rsid w:val="00CA1E56"/>
    <w:rsid w:val="00CA1E8C"/>
    <w:rsid w:val="00CA7B07"/>
    <w:rsid w:val="00CB0110"/>
    <w:rsid w:val="00CB0B6D"/>
    <w:rsid w:val="00CB3197"/>
    <w:rsid w:val="00CB31B1"/>
    <w:rsid w:val="00CB5167"/>
    <w:rsid w:val="00CB5299"/>
    <w:rsid w:val="00CB748E"/>
    <w:rsid w:val="00CC0C60"/>
    <w:rsid w:val="00CC323B"/>
    <w:rsid w:val="00CC3B1C"/>
    <w:rsid w:val="00CC459F"/>
    <w:rsid w:val="00CC529E"/>
    <w:rsid w:val="00CC535C"/>
    <w:rsid w:val="00CC5739"/>
    <w:rsid w:val="00CC58B1"/>
    <w:rsid w:val="00CC5AF7"/>
    <w:rsid w:val="00CC6809"/>
    <w:rsid w:val="00CC78C7"/>
    <w:rsid w:val="00CC7E35"/>
    <w:rsid w:val="00CC7E7A"/>
    <w:rsid w:val="00CD0607"/>
    <w:rsid w:val="00CD0DDD"/>
    <w:rsid w:val="00CD2E67"/>
    <w:rsid w:val="00CD309A"/>
    <w:rsid w:val="00CD4B94"/>
    <w:rsid w:val="00CD60FB"/>
    <w:rsid w:val="00CD6197"/>
    <w:rsid w:val="00CD6281"/>
    <w:rsid w:val="00CD7A16"/>
    <w:rsid w:val="00CE029A"/>
    <w:rsid w:val="00CE1207"/>
    <w:rsid w:val="00CE171B"/>
    <w:rsid w:val="00CE1A33"/>
    <w:rsid w:val="00CE252A"/>
    <w:rsid w:val="00CE52C8"/>
    <w:rsid w:val="00CE59EF"/>
    <w:rsid w:val="00CE6356"/>
    <w:rsid w:val="00CF00A0"/>
    <w:rsid w:val="00CF192C"/>
    <w:rsid w:val="00CF1DCF"/>
    <w:rsid w:val="00CF42C6"/>
    <w:rsid w:val="00CF4406"/>
    <w:rsid w:val="00CF55A2"/>
    <w:rsid w:val="00CF62EA"/>
    <w:rsid w:val="00CF6AAE"/>
    <w:rsid w:val="00D0278B"/>
    <w:rsid w:val="00D027BB"/>
    <w:rsid w:val="00D02987"/>
    <w:rsid w:val="00D03020"/>
    <w:rsid w:val="00D03145"/>
    <w:rsid w:val="00D05BA6"/>
    <w:rsid w:val="00D06438"/>
    <w:rsid w:val="00D0722E"/>
    <w:rsid w:val="00D07326"/>
    <w:rsid w:val="00D078AC"/>
    <w:rsid w:val="00D10878"/>
    <w:rsid w:val="00D140B1"/>
    <w:rsid w:val="00D142FE"/>
    <w:rsid w:val="00D14311"/>
    <w:rsid w:val="00D153F1"/>
    <w:rsid w:val="00D16231"/>
    <w:rsid w:val="00D16292"/>
    <w:rsid w:val="00D16404"/>
    <w:rsid w:val="00D1664E"/>
    <w:rsid w:val="00D20B46"/>
    <w:rsid w:val="00D21D0B"/>
    <w:rsid w:val="00D2216F"/>
    <w:rsid w:val="00D2226B"/>
    <w:rsid w:val="00D26B92"/>
    <w:rsid w:val="00D27C4F"/>
    <w:rsid w:val="00D27FEC"/>
    <w:rsid w:val="00D31BE6"/>
    <w:rsid w:val="00D31CCB"/>
    <w:rsid w:val="00D31F39"/>
    <w:rsid w:val="00D32610"/>
    <w:rsid w:val="00D337FB"/>
    <w:rsid w:val="00D3451A"/>
    <w:rsid w:val="00D3476F"/>
    <w:rsid w:val="00D37182"/>
    <w:rsid w:val="00D375A6"/>
    <w:rsid w:val="00D42000"/>
    <w:rsid w:val="00D427F1"/>
    <w:rsid w:val="00D42B4E"/>
    <w:rsid w:val="00D44693"/>
    <w:rsid w:val="00D463FE"/>
    <w:rsid w:val="00D46483"/>
    <w:rsid w:val="00D5103F"/>
    <w:rsid w:val="00D51D66"/>
    <w:rsid w:val="00D52166"/>
    <w:rsid w:val="00D52C04"/>
    <w:rsid w:val="00D52F94"/>
    <w:rsid w:val="00D536C0"/>
    <w:rsid w:val="00D54D66"/>
    <w:rsid w:val="00D55A7B"/>
    <w:rsid w:val="00D56DB5"/>
    <w:rsid w:val="00D61B0C"/>
    <w:rsid w:val="00D6244F"/>
    <w:rsid w:val="00D62B93"/>
    <w:rsid w:val="00D632DF"/>
    <w:rsid w:val="00D63A60"/>
    <w:rsid w:val="00D64953"/>
    <w:rsid w:val="00D64D8F"/>
    <w:rsid w:val="00D6698B"/>
    <w:rsid w:val="00D66C02"/>
    <w:rsid w:val="00D67634"/>
    <w:rsid w:val="00D7076E"/>
    <w:rsid w:val="00D70E40"/>
    <w:rsid w:val="00D70EFD"/>
    <w:rsid w:val="00D71E6A"/>
    <w:rsid w:val="00D7410B"/>
    <w:rsid w:val="00D74B76"/>
    <w:rsid w:val="00D753DE"/>
    <w:rsid w:val="00D75B1D"/>
    <w:rsid w:val="00D762DB"/>
    <w:rsid w:val="00D77024"/>
    <w:rsid w:val="00D806F5"/>
    <w:rsid w:val="00D80F21"/>
    <w:rsid w:val="00D810C4"/>
    <w:rsid w:val="00D83009"/>
    <w:rsid w:val="00D87601"/>
    <w:rsid w:val="00D87860"/>
    <w:rsid w:val="00D915C8"/>
    <w:rsid w:val="00D969C8"/>
    <w:rsid w:val="00D96A94"/>
    <w:rsid w:val="00D96C82"/>
    <w:rsid w:val="00D97798"/>
    <w:rsid w:val="00DA2F44"/>
    <w:rsid w:val="00DA36AA"/>
    <w:rsid w:val="00DA4052"/>
    <w:rsid w:val="00DA4F37"/>
    <w:rsid w:val="00DA55AC"/>
    <w:rsid w:val="00DA6A3B"/>
    <w:rsid w:val="00DA6AF2"/>
    <w:rsid w:val="00DA73DC"/>
    <w:rsid w:val="00DB02CA"/>
    <w:rsid w:val="00DB054B"/>
    <w:rsid w:val="00DB2C38"/>
    <w:rsid w:val="00DB3ED2"/>
    <w:rsid w:val="00DB45C4"/>
    <w:rsid w:val="00DB4CDA"/>
    <w:rsid w:val="00DB6DF9"/>
    <w:rsid w:val="00DC4C12"/>
    <w:rsid w:val="00DC5FDD"/>
    <w:rsid w:val="00DC617F"/>
    <w:rsid w:val="00DC7428"/>
    <w:rsid w:val="00DD0325"/>
    <w:rsid w:val="00DD1770"/>
    <w:rsid w:val="00DD23E4"/>
    <w:rsid w:val="00DD2448"/>
    <w:rsid w:val="00DD39E6"/>
    <w:rsid w:val="00DD6BD3"/>
    <w:rsid w:val="00DD777B"/>
    <w:rsid w:val="00DE1990"/>
    <w:rsid w:val="00DE1DFA"/>
    <w:rsid w:val="00DE4432"/>
    <w:rsid w:val="00DE5C7F"/>
    <w:rsid w:val="00DF0955"/>
    <w:rsid w:val="00DF1786"/>
    <w:rsid w:val="00DF2070"/>
    <w:rsid w:val="00DF384A"/>
    <w:rsid w:val="00DF3C51"/>
    <w:rsid w:val="00DF402A"/>
    <w:rsid w:val="00DF4AB0"/>
    <w:rsid w:val="00DF5957"/>
    <w:rsid w:val="00DF74F6"/>
    <w:rsid w:val="00E0413B"/>
    <w:rsid w:val="00E04162"/>
    <w:rsid w:val="00E046AC"/>
    <w:rsid w:val="00E0588E"/>
    <w:rsid w:val="00E06C74"/>
    <w:rsid w:val="00E070AB"/>
    <w:rsid w:val="00E079F4"/>
    <w:rsid w:val="00E07C78"/>
    <w:rsid w:val="00E07E1A"/>
    <w:rsid w:val="00E11606"/>
    <w:rsid w:val="00E117C2"/>
    <w:rsid w:val="00E12571"/>
    <w:rsid w:val="00E12A37"/>
    <w:rsid w:val="00E12D7A"/>
    <w:rsid w:val="00E13404"/>
    <w:rsid w:val="00E140A6"/>
    <w:rsid w:val="00E16961"/>
    <w:rsid w:val="00E16FFE"/>
    <w:rsid w:val="00E20F07"/>
    <w:rsid w:val="00E21823"/>
    <w:rsid w:val="00E21B12"/>
    <w:rsid w:val="00E221B9"/>
    <w:rsid w:val="00E22418"/>
    <w:rsid w:val="00E22746"/>
    <w:rsid w:val="00E22DFF"/>
    <w:rsid w:val="00E23828"/>
    <w:rsid w:val="00E30EA5"/>
    <w:rsid w:val="00E317ED"/>
    <w:rsid w:val="00E31899"/>
    <w:rsid w:val="00E32753"/>
    <w:rsid w:val="00E34098"/>
    <w:rsid w:val="00E3488F"/>
    <w:rsid w:val="00E3495D"/>
    <w:rsid w:val="00E34ACF"/>
    <w:rsid w:val="00E36239"/>
    <w:rsid w:val="00E36BBF"/>
    <w:rsid w:val="00E40468"/>
    <w:rsid w:val="00E405D6"/>
    <w:rsid w:val="00E41AA9"/>
    <w:rsid w:val="00E423ED"/>
    <w:rsid w:val="00E426E8"/>
    <w:rsid w:val="00E42819"/>
    <w:rsid w:val="00E42C60"/>
    <w:rsid w:val="00E43D82"/>
    <w:rsid w:val="00E44188"/>
    <w:rsid w:val="00E45587"/>
    <w:rsid w:val="00E5131D"/>
    <w:rsid w:val="00E51F93"/>
    <w:rsid w:val="00E52703"/>
    <w:rsid w:val="00E54287"/>
    <w:rsid w:val="00E5530D"/>
    <w:rsid w:val="00E57D37"/>
    <w:rsid w:val="00E6009F"/>
    <w:rsid w:val="00E60E74"/>
    <w:rsid w:val="00E6195F"/>
    <w:rsid w:val="00E624B8"/>
    <w:rsid w:val="00E632FD"/>
    <w:rsid w:val="00E6653C"/>
    <w:rsid w:val="00E66595"/>
    <w:rsid w:val="00E669DC"/>
    <w:rsid w:val="00E70C83"/>
    <w:rsid w:val="00E7101B"/>
    <w:rsid w:val="00E7183F"/>
    <w:rsid w:val="00E71B06"/>
    <w:rsid w:val="00E7224F"/>
    <w:rsid w:val="00E725DB"/>
    <w:rsid w:val="00E72DF7"/>
    <w:rsid w:val="00E751FB"/>
    <w:rsid w:val="00E75EC0"/>
    <w:rsid w:val="00E76139"/>
    <w:rsid w:val="00E76A5B"/>
    <w:rsid w:val="00E804D9"/>
    <w:rsid w:val="00E8082E"/>
    <w:rsid w:val="00E81127"/>
    <w:rsid w:val="00E82A23"/>
    <w:rsid w:val="00E82B47"/>
    <w:rsid w:val="00E82E55"/>
    <w:rsid w:val="00E82EB0"/>
    <w:rsid w:val="00E840F6"/>
    <w:rsid w:val="00E84449"/>
    <w:rsid w:val="00E84633"/>
    <w:rsid w:val="00E84775"/>
    <w:rsid w:val="00E8532A"/>
    <w:rsid w:val="00E90032"/>
    <w:rsid w:val="00E91C42"/>
    <w:rsid w:val="00E91D64"/>
    <w:rsid w:val="00E92E15"/>
    <w:rsid w:val="00E96508"/>
    <w:rsid w:val="00E97717"/>
    <w:rsid w:val="00EA0EF0"/>
    <w:rsid w:val="00EA23F8"/>
    <w:rsid w:val="00EA2EEF"/>
    <w:rsid w:val="00EA521D"/>
    <w:rsid w:val="00EA5639"/>
    <w:rsid w:val="00EA5D8B"/>
    <w:rsid w:val="00EA75B1"/>
    <w:rsid w:val="00EB056E"/>
    <w:rsid w:val="00EB0A3C"/>
    <w:rsid w:val="00EB11CC"/>
    <w:rsid w:val="00EB192E"/>
    <w:rsid w:val="00EB1D59"/>
    <w:rsid w:val="00EB1E13"/>
    <w:rsid w:val="00EB1E7B"/>
    <w:rsid w:val="00EB297F"/>
    <w:rsid w:val="00EB3193"/>
    <w:rsid w:val="00EB3510"/>
    <w:rsid w:val="00EB3EE5"/>
    <w:rsid w:val="00EB40B1"/>
    <w:rsid w:val="00EB5203"/>
    <w:rsid w:val="00EB6792"/>
    <w:rsid w:val="00EB6DF1"/>
    <w:rsid w:val="00EB73FA"/>
    <w:rsid w:val="00EB7DF8"/>
    <w:rsid w:val="00EC1CB7"/>
    <w:rsid w:val="00EC22CF"/>
    <w:rsid w:val="00EC4C67"/>
    <w:rsid w:val="00EC5A5B"/>
    <w:rsid w:val="00EC62EE"/>
    <w:rsid w:val="00EC6332"/>
    <w:rsid w:val="00EC684F"/>
    <w:rsid w:val="00EC76C8"/>
    <w:rsid w:val="00EC7E54"/>
    <w:rsid w:val="00ED04E0"/>
    <w:rsid w:val="00ED04F0"/>
    <w:rsid w:val="00ED11FF"/>
    <w:rsid w:val="00ED1530"/>
    <w:rsid w:val="00ED4198"/>
    <w:rsid w:val="00ED6446"/>
    <w:rsid w:val="00EE0C5A"/>
    <w:rsid w:val="00EE268B"/>
    <w:rsid w:val="00EE2C3A"/>
    <w:rsid w:val="00EE4259"/>
    <w:rsid w:val="00EE5588"/>
    <w:rsid w:val="00EE6152"/>
    <w:rsid w:val="00EE6E7B"/>
    <w:rsid w:val="00EE7818"/>
    <w:rsid w:val="00EE7A82"/>
    <w:rsid w:val="00EF0453"/>
    <w:rsid w:val="00EF11B0"/>
    <w:rsid w:val="00EF20AD"/>
    <w:rsid w:val="00EF3236"/>
    <w:rsid w:val="00EF364A"/>
    <w:rsid w:val="00EF4B7D"/>
    <w:rsid w:val="00EF55A6"/>
    <w:rsid w:val="00EF644B"/>
    <w:rsid w:val="00EF7AC1"/>
    <w:rsid w:val="00F0006C"/>
    <w:rsid w:val="00F0062B"/>
    <w:rsid w:val="00F009E9"/>
    <w:rsid w:val="00F018AF"/>
    <w:rsid w:val="00F038B7"/>
    <w:rsid w:val="00F0454F"/>
    <w:rsid w:val="00F06DD6"/>
    <w:rsid w:val="00F07B0D"/>
    <w:rsid w:val="00F108A5"/>
    <w:rsid w:val="00F112B4"/>
    <w:rsid w:val="00F1209C"/>
    <w:rsid w:val="00F12CAE"/>
    <w:rsid w:val="00F13B49"/>
    <w:rsid w:val="00F15B54"/>
    <w:rsid w:val="00F160F7"/>
    <w:rsid w:val="00F164D0"/>
    <w:rsid w:val="00F17732"/>
    <w:rsid w:val="00F17887"/>
    <w:rsid w:val="00F17AEA"/>
    <w:rsid w:val="00F21595"/>
    <w:rsid w:val="00F21AC7"/>
    <w:rsid w:val="00F21BFE"/>
    <w:rsid w:val="00F233A4"/>
    <w:rsid w:val="00F24364"/>
    <w:rsid w:val="00F245CD"/>
    <w:rsid w:val="00F2536C"/>
    <w:rsid w:val="00F2576E"/>
    <w:rsid w:val="00F25D1D"/>
    <w:rsid w:val="00F2667A"/>
    <w:rsid w:val="00F30784"/>
    <w:rsid w:val="00F32924"/>
    <w:rsid w:val="00F32D19"/>
    <w:rsid w:val="00F33035"/>
    <w:rsid w:val="00F33CBC"/>
    <w:rsid w:val="00F34FE4"/>
    <w:rsid w:val="00F351EF"/>
    <w:rsid w:val="00F353EC"/>
    <w:rsid w:val="00F354DE"/>
    <w:rsid w:val="00F35A58"/>
    <w:rsid w:val="00F35C9E"/>
    <w:rsid w:val="00F35E8D"/>
    <w:rsid w:val="00F3613B"/>
    <w:rsid w:val="00F36720"/>
    <w:rsid w:val="00F376D6"/>
    <w:rsid w:val="00F3774B"/>
    <w:rsid w:val="00F37932"/>
    <w:rsid w:val="00F3796C"/>
    <w:rsid w:val="00F4053A"/>
    <w:rsid w:val="00F42F8F"/>
    <w:rsid w:val="00F451CF"/>
    <w:rsid w:val="00F451FE"/>
    <w:rsid w:val="00F45FF9"/>
    <w:rsid w:val="00F47A1E"/>
    <w:rsid w:val="00F47B43"/>
    <w:rsid w:val="00F50890"/>
    <w:rsid w:val="00F5284A"/>
    <w:rsid w:val="00F529B6"/>
    <w:rsid w:val="00F52F71"/>
    <w:rsid w:val="00F531CE"/>
    <w:rsid w:val="00F53DA7"/>
    <w:rsid w:val="00F53EE7"/>
    <w:rsid w:val="00F5434D"/>
    <w:rsid w:val="00F55342"/>
    <w:rsid w:val="00F556B3"/>
    <w:rsid w:val="00F55C5D"/>
    <w:rsid w:val="00F55EC0"/>
    <w:rsid w:val="00F5600C"/>
    <w:rsid w:val="00F563BF"/>
    <w:rsid w:val="00F576AD"/>
    <w:rsid w:val="00F60A47"/>
    <w:rsid w:val="00F61291"/>
    <w:rsid w:val="00F628C2"/>
    <w:rsid w:val="00F6290B"/>
    <w:rsid w:val="00F6383E"/>
    <w:rsid w:val="00F64073"/>
    <w:rsid w:val="00F668ED"/>
    <w:rsid w:val="00F6781F"/>
    <w:rsid w:val="00F67C5A"/>
    <w:rsid w:val="00F71CE6"/>
    <w:rsid w:val="00F74A5C"/>
    <w:rsid w:val="00F74DC1"/>
    <w:rsid w:val="00F757D7"/>
    <w:rsid w:val="00F8103A"/>
    <w:rsid w:val="00F8135B"/>
    <w:rsid w:val="00F82408"/>
    <w:rsid w:val="00F82721"/>
    <w:rsid w:val="00F82D5D"/>
    <w:rsid w:val="00F82F07"/>
    <w:rsid w:val="00F84058"/>
    <w:rsid w:val="00F84321"/>
    <w:rsid w:val="00F8500B"/>
    <w:rsid w:val="00F85D08"/>
    <w:rsid w:val="00F85F54"/>
    <w:rsid w:val="00F90542"/>
    <w:rsid w:val="00F905A9"/>
    <w:rsid w:val="00F90BA5"/>
    <w:rsid w:val="00F90FB5"/>
    <w:rsid w:val="00F91526"/>
    <w:rsid w:val="00F91607"/>
    <w:rsid w:val="00F91B20"/>
    <w:rsid w:val="00F94731"/>
    <w:rsid w:val="00F96778"/>
    <w:rsid w:val="00FA0FA0"/>
    <w:rsid w:val="00FA1AB4"/>
    <w:rsid w:val="00FA25CD"/>
    <w:rsid w:val="00FA2663"/>
    <w:rsid w:val="00FA5212"/>
    <w:rsid w:val="00FA6323"/>
    <w:rsid w:val="00FA64DE"/>
    <w:rsid w:val="00FB1E89"/>
    <w:rsid w:val="00FB3E6F"/>
    <w:rsid w:val="00FB45D1"/>
    <w:rsid w:val="00FB60CF"/>
    <w:rsid w:val="00FB7822"/>
    <w:rsid w:val="00FB7D7B"/>
    <w:rsid w:val="00FC020B"/>
    <w:rsid w:val="00FC0390"/>
    <w:rsid w:val="00FC0E16"/>
    <w:rsid w:val="00FC17C3"/>
    <w:rsid w:val="00FC273B"/>
    <w:rsid w:val="00FC2ADC"/>
    <w:rsid w:val="00FC2CC6"/>
    <w:rsid w:val="00FC3676"/>
    <w:rsid w:val="00FC470F"/>
    <w:rsid w:val="00FC4AD3"/>
    <w:rsid w:val="00FC56D7"/>
    <w:rsid w:val="00FC5F03"/>
    <w:rsid w:val="00FC6202"/>
    <w:rsid w:val="00FC758A"/>
    <w:rsid w:val="00FC78A2"/>
    <w:rsid w:val="00FD0DB2"/>
    <w:rsid w:val="00FD1C57"/>
    <w:rsid w:val="00FD2D92"/>
    <w:rsid w:val="00FD2F22"/>
    <w:rsid w:val="00FD3754"/>
    <w:rsid w:val="00FD5074"/>
    <w:rsid w:val="00FD733E"/>
    <w:rsid w:val="00FE04C2"/>
    <w:rsid w:val="00FE0A2A"/>
    <w:rsid w:val="00FE0E9D"/>
    <w:rsid w:val="00FE107F"/>
    <w:rsid w:val="00FE1B4C"/>
    <w:rsid w:val="00FE22CB"/>
    <w:rsid w:val="00FE2CBF"/>
    <w:rsid w:val="00FE418D"/>
    <w:rsid w:val="00FE5C22"/>
    <w:rsid w:val="00FE60C8"/>
    <w:rsid w:val="00FE64F7"/>
    <w:rsid w:val="00FE6B2C"/>
    <w:rsid w:val="00FE7C7A"/>
    <w:rsid w:val="00FE7CBB"/>
    <w:rsid w:val="00FF097D"/>
    <w:rsid w:val="00FF2709"/>
    <w:rsid w:val="00FF34F9"/>
    <w:rsid w:val="00FF3CC5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8F5B1"/>
  <w15:chartTrackingRefBased/>
  <w15:docId w15:val="{047E5534-69F4-534B-A810-AD6E16F8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CD7"/>
    <w:rPr>
      <w:rFonts w:ascii="新細明體" w:eastAsia="新細明體" w:hAnsi="新細明體" w:cs="新細明體"/>
      <w:kern w:val="0"/>
    </w:rPr>
  </w:style>
  <w:style w:type="paragraph" w:styleId="1">
    <w:name w:val="heading 1"/>
    <w:basedOn w:val="a"/>
    <w:next w:val="a"/>
    <w:link w:val="10"/>
    <w:uiPriority w:val="9"/>
    <w:qFormat/>
    <w:rsid w:val="00F71C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C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CE6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1CE6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1C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1CE6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1CE6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1CE6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1CE6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D59DD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a"/>
    <w:link w:val="EndNoteBibliographyTitle0"/>
    <w:rsid w:val="009D0E34"/>
    <w:pPr>
      <w:jc w:val="center"/>
    </w:pPr>
    <w:rPr>
      <w:rFonts w:ascii="Calibri" w:hAnsi="Calibri" w:cs="Calibri"/>
    </w:rPr>
  </w:style>
  <w:style w:type="character" w:customStyle="1" w:styleId="EndNoteBibliographyTitle0">
    <w:name w:val="EndNote Bibliography Title 字元"/>
    <w:basedOn w:val="a0"/>
    <w:link w:val="EndNoteBibliographyTitle"/>
    <w:rsid w:val="009D0E34"/>
    <w:rPr>
      <w:rFonts w:ascii="Calibri" w:eastAsia="新細明體" w:hAnsi="Calibri" w:cs="Calibri"/>
      <w:kern w:val="0"/>
    </w:rPr>
  </w:style>
  <w:style w:type="paragraph" w:customStyle="1" w:styleId="EndNoteBibliography">
    <w:name w:val="EndNote Bibliography"/>
    <w:basedOn w:val="a"/>
    <w:link w:val="EndNoteBibliography0"/>
    <w:rsid w:val="009D0E34"/>
    <w:rPr>
      <w:rFonts w:ascii="Calibri" w:hAnsi="Calibri" w:cs="Calibri"/>
    </w:rPr>
  </w:style>
  <w:style w:type="character" w:customStyle="1" w:styleId="EndNoteBibliography0">
    <w:name w:val="EndNote Bibliography 字元"/>
    <w:basedOn w:val="a0"/>
    <w:link w:val="EndNoteBibliography"/>
    <w:rsid w:val="009D0E34"/>
    <w:rPr>
      <w:rFonts w:ascii="Calibri" w:eastAsia="新細明體" w:hAnsi="Calibri" w:cs="Calibri"/>
      <w:kern w:val="0"/>
    </w:rPr>
  </w:style>
  <w:style w:type="character" w:styleId="a3">
    <w:name w:val="Hyperlink"/>
    <w:basedOn w:val="a0"/>
    <w:uiPriority w:val="99"/>
    <w:unhideWhenUsed/>
    <w:rsid w:val="009D0E34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9D0E3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A47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475A5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47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475A5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Revision"/>
    <w:hidden/>
    <w:uiPriority w:val="99"/>
    <w:semiHidden/>
    <w:rsid w:val="006A6968"/>
    <w:rPr>
      <w:rFonts w:ascii="新細明體" w:eastAsia="新細明體" w:hAnsi="新細明體" w:cs="新細明體"/>
      <w:kern w:val="0"/>
    </w:rPr>
  </w:style>
  <w:style w:type="character" w:styleId="a9">
    <w:name w:val="annotation reference"/>
    <w:basedOn w:val="a0"/>
    <w:uiPriority w:val="99"/>
    <w:semiHidden/>
    <w:unhideWhenUsed/>
    <w:rsid w:val="0037294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72946"/>
  </w:style>
  <w:style w:type="character" w:customStyle="1" w:styleId="ab">
    <w:name w:val="註解文字 字元"/>
    <w:basedOn w:val="a0"/>
    <w:link w:val="aa"/>
    <w:uiPriority w:val="99"/>
    <w:semiHidden/>
    <w:rsid w:val="00372946"/>
    <w:rPr>
      <w:rFonts w:ascii="新細明體" w:eastAsia="新細明體" w:hAnsi="新細明體" w:cs="新細明體"/>
      <w:kern w:val="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7294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72946"/>
    <w:rPr>
      <w:rFonts w:ascii="新細明體" w:eastAsia="新細明體" w:hAnsi="新細明體" w:cs="新細明體"/>
      <w:b/>
      <w:bCs/>
      <w:kern w:val="0"/>
    </w:rPr>
  </w:style>
  <w:style w:type="paragraph" w:styleId="ae">
    <w:name w:val="List Paragraph"/>
    <w:basedOn w:val="a"/>
    <w:uiPriority w:val="34"/>
    <w:qFormat/>
    <w:rsid w:val="00BF2E11"/>
    <w:pPr>
      <w:ind w:leftChars="200" w:left="480"/>
    </w:pPr>
  </w:style>
  <w:style w:type="table" w:styleId="2-4">
    <w:name w:val="List Table 2 Accent 4"/>
    <w:basedOn w:val="a1"/>
    <w:uiPriority w:val="47"/>
    <w:rsid w:val="000F1D14"/>
    <w:rPr>
      <w:rFonts w:asciiTheme="minorHAnsi" w:eastAsia="新細明體" w:hAnsiTheme="minorHAnsi" w:cstheme="minorBidi"/>
      <w:kern w:val="0"/>
      <w:lang w:eastAsia="en-US"/>
    </w:r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af">
    <w:name w:val="Table Grid"/>
    <w:basedOn w:val="a1"/>
    <w:uiPriority w:val="39"/>
    <w:rsid w:val="000F1D14"/>
    <w:rPr>
      <w:rFonts w:asciiTheme="minorHAnsi" w:eastAsia="新細明體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024C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024C19"/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F71CE6"/>
    <w:rPr>
      <w:rFonts w:asciiTheme="majorHAnsi" w:eastAsiaTheme="majorEastAsia" w:hAnsiTheme="majorHAnsi" w:cstheme="majorBidi"/>
      <w:color w:val="2F5496" w:themeColor="accent1" w:themeShade="BF"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71CE6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71CE6"/>
    <w:rPr>
      <w:rFonts w:ascii="新細明體" w:eastAsiaTheme="majorEastAsia" w:hAnsi="新細明體" w:cstheme="majorBidi"/>
      <w:color w:val="2F5496" w:themeColor="accent1" w:themeShade="BF"/>
      <w:kern w:val="0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71CE6"/>
    <w:rPr>
      <w:rFonts w:ascii="新細明體" w:eastAsiaTheme="majorEastAsia" w:hAnsi="新細明體" w:cstheme="majorBidi"/>
      <w:color w:val="2F5496" w:themeColor="accent1" w:themeShade="BF"/>
      <w:kern w:val="0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71CE6"/>
    <w:rPr>
      <w:rFonts w:ascii="新細明體" w:eastAsiaTheme="majorEastAsia" w:hAnsi="新細明體" w:cstheme="majorBidi"/>
      <w:color w:val="2F5496" w:themeColor="accent1" w:themeShade="BF"/>
      <w:kern w:val="0"/>
    </w:rPr>
  </w:style>
  <w:style w:type="character" w:customStyle="1" w:styleId="60">
    <w:name w:val="標題 6 字元"/>
    <w:basedOn w:val="a0"/>
    <w:link w:val="6"/>
    <w:uiPriority w:val="9"/>
    <w:semiHidden/>
    <w:rsid w:val="00F71CE6"/>
    <w:rPr>
      <w:rFonts w:ascii="新細明體" w:eastAsiaTheme="majorEastAsia" w:hAnsi="新細明體" w:cstheme="majorBidi"/>
      <w:color w:val="595959" w:themeColor="text1" w:themeTint="A6"/>
      <w:kern w:val="0"/>
    </w:rPr>
  </w:style>
  <w:style w:type="character" w:customStyle="1" w:styleId="70">
    <w:name w:val="標題 7 字元"/>
    <w:basedOn w:val="a0"/>
    <w:link w:val="7"/>
    <w:uiPriority w:val="9"/>
    <w:semiHidden/>
    <w:rsid w:val="00F71CE6"/>
    <w:rPr>
      <w:rFonts w:ascii="新細明體" w:eastAsiaTheme="majorEastAsia" w:hAnsi="新細明體" w:cstheme="majorBidi"/>
      <w:color w:val="595959" w:themeColor="text1" w:themeTint="A6"/>
      <w:kern w:val="0"/>
    </w:rPr>
  </w:style>
  <w:style w:type="character" w:customStyle="1" w:styleId="80">
    <w:name w:val="標題 8 字元"/>
    <w:basedOn w:val="a0"/>
    <w:link w:val="8"/>
    <w:uiPriority w:val="9"/>
    <w:semiHidden/>
    <w:rsid w:val="00F71CE6"/>
    <w:rPr>
      <w:rFonts w:ascii="新細明體" w:eastAsiaTheme="majorEastAsia" w:hAnsi="新細明體" w:cstheme="majorBidi"/>
      <w:color w:val="272727" w:themeColor="text1" w:themeTint="D8"/>
      <w:kern w:val="0"/>
    </w:rPr>
  </w:style>
  <w:style w:type="character" w:customStyle="1" w:styleId="90">
    <w:name w:val="標題 9 字元"/>
    <w:basedOn w:val="a0"/>
    <w:link w:val="9"/>
    <w:uiPriority w:val="9"/>
    <w:semiHidden/>
    <w:rsid w:val="00F71CE6"/>
    <w:rPr>
      <w:rFonts w:ascii="新細明體" w:eastAsiaTheme="majorEastAsia" w:hAnsi="新細明體" w:cstheme="majorBidi"/>
      <w:color w:val="272727" w:themeColor="text1" w:themeTint="D8"/>
      <w:kern w:val="0"/>
    </w:rPr>
  </w:style>
  <w:style w:type="paragraph" w:styleId="af2">
    <w:name w:val="Title"/>
    <w:basedOn w:val="a"/>
    <w:next w:val="a"/>
    <w:link w:val="af3"/>
    <w:uiPriority w:val="10"/>
    <w:qFormat/>
    <w:rsid w:val="00F71CE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標題 字元"/>
    <w:basedOn w:val="a0"/>
    <w:link w:val="af2"/>
    <w:uiPriority w:val="10"/>
    <w:rsid w:val="00F71C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4">
    <w:name w:val="Subtitle"/>
    <w:basedOn w:val="a"/>
    <w:next w:val="a"/>
    <w:link w:val="af5"/>
    <w:uiPriority w:val="11"/>
    <w:qFormat/>
    <w:rsid w:val="00F71C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5">
    <w:name w:val="副標題 字元"/>
    <w:basedOn w:val="a0"/>
    <w:link w:val="af4"/>
    <w:uiPriority w:val="11"/>
    <w:rsid w:val="00F71CE6"/>
    <w:rPr>
      <w:rFonts w:asciiTheme="majorHAnsi" w:eastAsiaTheme="majorEastAsia" w:hAnsiTheme="majorHAnsi" w:cstheme="majorBidi"/>
      <w:color w:val="595959" w:themeColor="text1" w:themeTint="A6"/>
      <w:spacing w:val="15"/>
      <w:kern w:val="0"/>
      <w:sz w:val="28"/>
      <w:szCs w:val="28"/>
    </w:rPr>
  </w:style>
  <w:style w:type="paragraph" w:styleId="af6">
    <w:name w:val="Quote"/>
    <w:basedOn w:val="a"/>
    <w:next w:val="a"/>
    <w:link w:val="af7"/>
    <w:uiPriority w:val="29"/>
    <w:qFormat/>
    <w:rsid w:val="00F71C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7">
    <w:name w:val="引文 字元"/>
    <w:basedOn w:val="a0"/>
    <w:link w:val="af6"/>
    <w:uiPriority w:val="29"/>
    <w:rsid w:val="00F71CE6"/>
    <w:rPr>
      <w:rFonts w:ascii="新細明體" w:eastAsia="新細明體" w:hAnsi="新細明體" w:cs="新細明體"/>
      <w:i/>
      <w:iCs/>
      <w:color w:val="404040" w:themeColor="text1" w:themeTint="BF"/>
      <w:kern w:val="0"/>
    </w:rPr>
  </w:style>
  <w:style w:type="character" w:styleId="af8">
    <w:name w:val="Intense Emphasis"/>
    <w:basedOn w:val="a0"/>
    <w:uiPriority w:val="21"/>
    <w:qFormat/>
    <w:rsid w:val="00F71CE6"/>
    <w:rPr>
      <w:i/>
      <w:iCs/>
      <w:color w:val="2F5496" w:themeColor="accent1" w:themeShade="BF"/>
    </w:rPr>
  </w:style>
  <w:style w:type="paragraph" w:styleId="af9">
    <w:name w:val="Intense Quote"/>
    <w:basedOn w:val="a"/>
    <w:next w:val="a"/>
    <w:link w:val="afa"/>
    <w:uiPriority w:val="30"/>
    <w:qFormat/>
    <w:rsid w:val="00F71C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a">
    <w:name w:val="鮮明引文 字元"/>
    <w:basedOn w:val="a0"/>
    <w:link w:val="af9"/>
    <w:uiPriority w:val="30"/>
    <w:rsid w:val="00F71CE6"/>
    <w:rPr>
      <w:rFonts w:ascii="新細明體" w:eastAsia="新細明體" w:hAnsi="新細明體" w:cs="新細明體"/>
      <w:i/>
      <w:iCs/>
      <w:color w:val="2F5496" w:themeColor="accent1" w:themeShade="BF"/>
      <w:kern w:val="0"/>
    </w:rPr>
  </w:style>
  <w:style w:type="character" w:styleId="afb">
    <w:name w:val="Intense Reference"/>
    <w:basedOn w:val="a0"/>
    <w:uiPriority w:val="32"/>
    <w:qFormat/>
    <w:rsid w:val="00F71CE6"/>
    <w:rPr>
      <w:b/>
      <w:bCs/>
      <w:smallCaps/>
      <w:color w:val="2F5496" w:themeColor="accent1" w:themeShade="BF"/>
      <w:spacing w:val="5"/>
    </w:rPr>
  </w:style>
  <w:style w:type="paragraph" w:customStyle="1" w:styleId="TableNote">
    <w:name w:val="TableNote"/>
    <w:basedOn w:val="a"/>
    <w:rsid w:val="001A6E7B"/>
    <w:pPr>
      <w:spacing w:line="300" w:lineRule="exact"/>
    </w:pPr>
    <w:rPr>
      <w:rFonts w:ascii="Times New Roman" w:eastAsia="Times New Roman" w:hAnsi="Times New Roman" w:cs="Times New Roman"/>
      <w:szCs w:val="20"/>
      <w:lang w:val="en-GB" w:eastAsia="en-US"/>
    </w:rPr>
  </w:style>
  <w:style w:type="paragraph" w:customStyle="1" w:styleId="TableTitle">
    <w:name w:val="TableTitle"/>
    <w:basedOn w:val="a"/>
    <w:rsid w:val="001A6E7B"/>
    <w:pPr>
      <w:spacing w:line="300" w:lineRule="exact"/>
    </w:pPr>
    <w:rPr>
      <w:rFonts w:ascii="Times New Roman" w:eastAsia="Times New Roman" w:hAnsi="Times New Roman" w:cs="Times New Roman"/>
      <w:szCs w:val="20"/>
      <w:lang w:val="en-GB" w:eastAsia="en-US"/>
    </w:rPr>
  </w:style>
  <w:style w:type="paragraph" w:customStyle="1" w:styleId="TableHeader">
    <w:name w:val="TableHeader"/>
    <w:basedOn w:val="a"/>
    <w:rsid w:val="001A6E7B"/>
    <w:pPr>
      <w:spacing w:before="120"/>
    </w:pPr>
    <w:rPr>
      <w:rFonts w:ascii="Times New Roman" w:eastAsia="Times New Roman" w:hAnsi="Times New Roman" w:cs="Times New Roman"/>
      <w:b/>
      <w:szCs w:val="20"/>
      <w:lang w:val="en-GB" w:eastAsia="en-US"/>
    </w:rPr>
  </w:style>
  <w:style w:type="paragraph" w:customStyle="1" w:styleId="TableSubHead">
    <w:name w:val="TableSubHead"/>
    <w:basedOn w:val="TableHeader"/>
    <w:rsid w:val="001A6E7B"/>
  </w:style>
  <w:style w:type="paragraph" w:customStyle="1" w:styleId="Default">
    <w:name w:val="Default"/>
    <w:rsid w:val="00440F25"/>
    <w:pPr>
      <w:widowControl w:val="0"/>
      <w:autoSpaceDE w:val="0"/>
      <w:autoSpaceDN w:val="0"/>
      <w:adjustRightInd w:val="0"/>
    </w:pPr>
    <w:rPr>
      <w:rFonts w:ascii="CFYQIT+Arial-BoldMT" w:hAnsi="CFYQIT+Arial-BoldMT" w:cs="CFYQIT+Arial-BoldMT"/>
      <w:color w:val="000000"/>
      <w:kern w:val="0"/>
      <w14:ligatures w14:val="standardContextual"/>
    </w:rPr>
  </w:style>
  <w:style w:type="character" w:styleId="afc">
    <w:name w:val="Strong"/>
    <w:basedOn w:val="a0"/>
    <w:uiPriority w:val="22"/>
    <w:qFormat/>
    <w:rsid w:val="00D75B1D"/>
    <w:rPr>
      <w:b/>
      <w:bCs/>
    </w:rPr>
  </w:style>
  <w:style w:type="character" w:styleId="afd">
    <w:name w:val="FollowedHyperlink"/>
    <w:basedOn w:val="a0"/>
    <w:uiPriority w:val="99"/>
    <w:semiHidden/>
    <w:unhideWhenUsed/>
    <w:rsid w:val="001B3CC6"/>
    <w:rPr>
      <w:color w:val="96607D"/>
      <w:u w:val="single"/>
    </w:rPr>
  </w:style>
  <w:style w:type="paragraph" w:customStyle="1" w:styleId="msonormal0">
    <w:name w:val="msonormal"/>
    <w:basedOn w:val="a"/>
    <w:rsid w:val="001B3CC6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1B3CC6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"/>
    <w:rsid w:val="001B3CC6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font7">
    <w:name w:val="font7"/>
    <w:basedOn w:val="a"/>
    <w:rsid w:val="001B3CC6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font8">
    <w:name w:val="font8"/>
    <w:basedOn w:val="a"/>
    <w:rsid w:val="001B3CC6"/>
    <w:pPr>
      <w:spacing w:before="100" w:beforeAutospacing="1" w:after="100" w:afterAutospacing="1"/>
    </w:pPr>
    <w:rPr>
      <w:rFonts w:ascii="Arial" w:hAnsi="Arial" w:cs="Arial"/>
      <w:i/>
      <w:iCs/>
      <w:color w:val="000000"/>
      <w:sz w:val="20"/>
      <w:szCs w:val="20"/>
    </w:rPr>
  </w:style>
  <w:style w:type="paragraph" w:customStyle="1" w:styleId="font9">
    <w:name w:val="font9"/>
    <w:basedOn w:val="a"/>
    <w:rsid w:val="001B3CC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65">
    <w:name w:val="xl65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66">
    <w:name w:val="xl66"/>
    <w:basedOn w:val="a"/>
    <w:rsid w:val="001B3CC6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1">
    <w:name w:val="xl71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2">
    <w:name w:val="xl72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3">
    <w:name w:val="xl73"/>
    <w:basedOn w:val="a"/>
    <w:rsid w:val="001B3CC6"/>
    <w:pPr>
      <w:shd w:val="clear" w:color="000000" w:fill="FFFFFF"/>
      <w:spacing w:before="100" w:beforeAutospacing="1" w:after="100" w:afterAutospacing="1"/>
      <w:jc w:val="center"/>
      <w:textAlignment w:val="bottom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a"/>
    <w:rsid w:val="001B3CC6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75">
    <w:name w:val="xl75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6">
    <w:name w:val="xl76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7">
    <w:name w:val="xl77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8">
    <w:name w:val="xl78"/>
    <w:basedOn w:val="a"/>
    <w:rsid w:val="001B3CC6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1B3CC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80">
    <w:name w:val="xl80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1">
    <w:name w:val="xl81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2">
    <w:name w:val="xl82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3">
    <w:name w:val="xl83"/>
    <w:basedOn w:val="a"/>
    <w:rsid w:val="001B3CC6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84">
    <w:name w:val="xl84"/>
    <w:basedOn w:val="a"/>
    <w:rsid w:val="001B3CC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Arial" w:hAnsi="Arial" w:cs="Arial"/>
      <w:sz w:val="20"/>
      <w:szCs w:val="20"/>
    </w:rPr>
  </w:style>
  <w:style w:type="paragraph" w:customStyle="1" w:styleId="xl85">
    <w:name w:val="xl85"/>
    <w:basedOn w:val="a"/>
    <w:rsid w:val="001B3CC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86">
    <w:name w:val="xl86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87">
    <w:name w:val="xl87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88">
    <w:name w:val="xl88"/>
    <w:basedOn w:val="a"/>
    <w:rsid w:val="001B3CC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a"/>
    <w:rsid w:val="001B3CC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90">
    <w:name w:val="xl90"/>
    <w:basedOn w:val="a"/>
    <w:rsid w:val="001B3CC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91">
    <w:name w:val="xl91"/>
    <w:basedOn w:val="a"/>
    <w:rsid w:val="001B3CC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2">
    <w:name w:val="xl92"/>
    <w:basedOn w:val="a"/>
    <w:rsid w:val="001B3CC6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3">
    <w:name w:val="xl93"/>
    <w:basedOn w:val="a"/>
    <w:rsid w:val="001B3CC6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09009A"/>
  </w:style>
  <w:style w:type="paragraph" w:styleId="afe">
    <w:name w:val="No Spacing"/>
    <w:uiPriority w:val="1"/>
    <w:qFormat/>
    <w:rsid w:val="005947F0"/>
    <w:pPr>
      <w:widowControl w:val="0"/>
    </w:pPr>
    <w:rPr>
      <w:rFonts w:asciiTheme="minorHAnsi" w:hAnsiTheme="minorHAnsi" w:cstheme="minorBidi"/>
      <w14:ligatures w14:val="standardContextual"/>
    </w:rPr>
  </w:style>
  <w:style w:type="paragraph" w:customStyle="1" w:styleId="p1">
    <w:name w:val="p1"/>
    <w:basedOn w:val="a"/>
    <w:rsid w:val="00676B1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7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1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0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2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6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1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6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0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4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2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phsu@gmail.com" TargetMode="External"/><Relationship Id="rId13" Type="http://schemas.openxmlformats.org/officeDocument/2006/relationships/image" Target="media/image5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5D2F1-E9DD-4BDD-A19C-4FE1C0308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5473</Words>
  <Characters>35792</Characters>
  <Application>Microsoft Office Word</Application>
  <DocSecurity>0</DocSecurity>
  <Lines>1991</Lines>
  <Paragraphs>1368</Paragraphs>
  <ScaleCrop>false</ScaleCrop>
  <Company/>
  <LinksUpToDate>false</LinksUpToDate>
  <CharactersWithSpaces>39890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閔翔 莊</dc:creator>
  <cp:keywords/>
  <dc:description/>
  <cp:lastModifiedBy>Yunan Huang</cp:lastModifiedBy>
  <cp:revision>2</cp:revision>
  <cp:lastPrinted>2024-10-24T05:23:00Z</cp:lastPrinted>
  <dcterms:created xsi:type="dcterms:W3CDTF">2026-03-03T11:05:00Z</dcterms:created>
  <dcterms:modified xsi:type="dcterms:W3CDTF">2026-03-03T11:05:00Z</dcterms:modified>
</cp:coreProperties>
</file>