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9B7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185" w:lineRule="auto"/>
        <w:ind w:left="0"/>
        <w:jc w:val="center"/>
        <w:textAlignment w:val="baseline"/>
        <w:outlineLvl w:val="0"/>
        <w:rPr>
          <w:rFonts w:hint="default" w:ascii="Calibri" w:hAnsi="Calibri" w:cs="Calibri"/>
          <w:b/>
          <w:bCs/>
          <w:sz w:val="36"/>
          <w:szCs w:val="36"/>
        </w:rPr>
      </w:pPr>
    </w:p>
    <w:p w14:paraId="07B2C0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185" w:lineRule="auto"/>
        <w:ind w:left="0"/>
        <w:jc w:val="center"/>
        <w:textAlignment w:val="baseline"/>
        <w:outlineLvl w:val="0"/>
        <w:rPr>
          <w:rFonts w:hint="default" w:ascii="Calibri" w:hAnsi="Calibri" w:cs="Calibri"/>
          <w:b/>
          <w:bCs/>
          <w:spacing w:val="-1"/>
          <w:sz w:val="36"/>
          <w:szCs w:val="36"/>
        </w:rPr>
      </w:pPr>
      <w:r>
        <w:rPr>
          <w:rFonts w:hint="default" w:ascii="Calibri" w:hAnsi="Calibri" w:cs="Calibri"/>
          <w:b/>
          <w:bCs/>
          <w:sz w:val="36"/>
          <w:szCs w:val="36"/>
        </w:rPr>
        <w:t>Supporting</w:t>
      </w:r>
      <w:r>
        <w:rPr>
          <w:rFonts w:hint="default" w:ascii="Calibri" w:hAnsi="Calibri" w:cs="Calibri"/>
          <w:b/>
          <w:bCs/>
          <w:spacing w:val="-1"/>
          <w:sz w:val="36"/>
          <w:szCs w:val="36"/>
        </w:rPr>
        <w:t xml:space="preserve"> Information</w:t>
      </w:r>
    </w:p>
    <w:p w14:paraId="016EB7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185" w:lineRule="auto"/>
        <w:ind w:left="0"/>
        <w:jc w:val="center"/>
        <w:textAlignment w:val="baseline"/>
        <w:outlineLvl w:val="0"/>
        <w:rPr>
          <w:rFonts w:hint="default" w:ascii="Calibri" w:hAnsi="Calibri" w:cs="Calibri"/>
          <w:b/>
          <w:bCs/>
          <w:spacing w:val="-1"/>
          <w:sz w:val="36"/>
          <w:szCs w:val="36"/>
        </w:rPr>
      </w:pPr>
    </w:p>
    <w:p w14:paraId="73FBF44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160" w:line="240" w:lineRule="auto"/>
        <w:jc w:val="center"/>
        <w:textAlignment w:val="auto"/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</w:pP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One-Step Electrodeposition of a Nanoflower-like FeOOH/Ti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vertAlign w:val="subscript"/>
          <w:lang w:val="en-US" w:eastAsia="en-US" w:bidi="ar-SA"/>
        </w:rPr>
        <w:t>3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C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vertAlign w:val="subscript"/>
          <w:lang w:val="en-US" w:eastAsia="en-US" w:bidi="ar-SA"/>
        </w:rPr>
        <w:t>2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T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vertAlign w:val="subscript"/>
          <w:lang w:val="en-US" w:eastAsia="en-US" w:bidi="ar-SA"/>
        </w:rPr>
        <w:t>x</w:t>
      </w:r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 xml:space="preserve"> Composite for Enhanced S</w:t>
      </w:r>
      <w:bookmarkStart w:id="0" w:name="_GoBack"/>
      <w:bookmarkEnd w:id="0"/>
      <w:r>
        <w:rPr>
          <w:rFonts w:hint="default" w:ascii="Calibri" w:hAnsi="Calibri" w:eastAsia="Arial" w:cs="Calibri"/>
          <w:b/>
          <w:bCs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upercapacitor Performance</w:t>
      </w:r>
    </w:p>
    <w:p w14:paraId="2114C2D8">
      <w:pPr>
        <w:pStyle w:val="10"/>
        <w:rPr>
          <w:rFonts w:hint="default" w:ascii="Calibri" w:hAnsi="Calibri" w:cs="Calibri"/>
          <w:b/>
          <w:bCs/>
          <w:sz w:val="32"/>
          <w:szCs w:val="32"/>
        </w:rPr>
      </w:pPr>
    </w:p>
    <w:p w14:paraId="380B894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9" w:after="0" w:line="236" w:lineRule="auto"/>
        <w:ind w:left="0"/>
        <w:jc w:val="center"/>
        <w:textAlignment w:val="auto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Shisen Bo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b/>
          <w:bCs/>
          <w:sz w:val="24"/>
          <w:szCs w:val="24"/>
        </w:rPr>
        <w:t>, Ruifeng Liu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b/>
          <w:bCs/>
          <w:sz w:val="24"/>
          <w:szCs w:val="24"/>
        </w:rPr>
        <w:t>, Fang Lei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b/>
          <w:bCs/>
          <w:sz w:val="24"/>
          <w:szCs w:val="24"/>
        </w:rPr>
        <w:t>, Mei Wang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b/>
          <w:bCs/>
          <w:sz w:val="24"/>
          <w:szCs w:val="24"/>
        </w:rPr>
        <w:t>, Tantan Liu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b/>
          <w:bCs/>
          <w:sz w:val="24"/>
          <w:szCs w:val="24"/>
        </w:rPr>
        <w:t>, Yu</w:t>
      </w:r>
      <w:r>
        <w:rPr>
          <w:rFonts w:hint="eastAsia" w:ascii="Calibri" w:hAnsi="Calibri" w:eastAsia="宋体" w:cs="Calibri"/>
          <w:b/>
          <w:bCs/>
          <w:sz w:val="24"/>
          <w:szCs w:val="24"/>
          <w:lang w:val="en-US" w:eastAsia="zh-CN"/>
        </w:rPr>
        <w:t>-T</w:t>
      </w:r>
      <w:r>
        <w:rPr>
          <w:rFonts w:hint="default" w:ascii="Calibri" w:hAnsi="Calibri" w:cs="Calibri"/>
          <w:b/>
          <w:bCs/>
          <w:sz w:val="24"/>
          <w:szCs w:val="24"/>
        </w:rPr>
        <w:t>ing Liu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‡,*</w:t>
      </w:r>
      <w:r>
        <w:rPr>
          <w:rFonts w:hint="default" w:ascii="Calibri" w:hAnsi="Calibri" w:cs="Calibri"/>
          <w:b/>
          <w:bCs/>
          <w:sz w:val="24"/>
          <w:szCs w:val="24"/>
        </w:rPr>
        <w:t xml:space="preserve"> and Ying Li</w:t>
      </w:r>
      <w:r>
        <w:rPr>
          <w:rFonts w:hint="default" w:ascii="Calibri" w:hAnsi="Calibri" w:cs="Calibri"/>
          <w:b/>
          <w:bCs/>
          <w:sz w:val="24"/>
          <w:szCs w:val="24"/>
          <w:vertAlign w:val="superscript"/>
        </w:rPr>
        <w:t>†,*</w:t>
      </w:r>
    </w:p>
    <w:p w14:paraId="498F901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0" w:line="236" w:lineRule="auto"/>
        <w:ind w:left="0"/>
        <w:jc w:val="center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vertAlign w:val="superscript"/>
        </w:rPr>
        <w:t>†</w:t>
      </w:r>
      <w:r>
        <w:rPr>
          <w:rFonts w:hint="default" w:ascii="Calibri" w:hAnsi="Calibri" w:cs="Calibri"/>
          <w:sz w:val="24"/>
          <w:szCs w:val="24"/>
        </w:rPr>
        <w:t>School of Materials Science and Engineering, North University of China, Taiyuan 030051, China</w:t>
      </w:r>
    </w:p>
    <w:p w14:paraId="0242FA6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0" w:line="236" w:lineRule="auto"/>
        <w:ind w:left="0"/>
        <w:jc w:val="center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vertAlign w:val="superscript"/>
        </w:rPr>
        <w:t>‡</w:t>
      </w:r>
      <w:r>
        <w:rPr>
          <w:rFonts w:hint="default" w:ascii="Calibri" w:hAnsi="Calibri" w:cs="Calibri"/>
          <w:sz w:val="24"/>
          <w:szCs w:val="24"/>
        </w:rPr>
        <w:t>Shanxi Key Laboratory of Carbon Materials, Institute of Coal Chemistry, Chinese Academy of Sciences, Taiyuan 030001, China</w:t>
      </w:r>
    </w:p>
    <w:p w14:paraId="2A499F95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0" w:line="236" w:lineRule="auto"/>
        <w:ind w:left="0"/>
        <w:jc w:val="center"/>
        <w:textAlignment w:val="auto"/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vertAlign w:val="superscript"/>
          <w:lang w:val="en-US" w:eastAsia="en-US" w:bidi="ar-SA"/>
        </w:rPr>
        <w:t>*</w:t>
      </w:r>
      <w:r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lang w:val="en-US" w:eastAsia="en-US" w:bidi="ar-SA"/>
        </w:rPr>
        <w:t xml:space="preserve">Corresponding author(s). E-mail(s): </w:t>
      </w:r>
      <w:r>
        <w:rPr>
          <w:rFonts w:hint="default" w:ascii="Calibri" w:hAnsi="Calibri" w:cs="Calibri" w:eastAsiaTheme="minorHAnsi"/>
          <w:color w:val="0000FF"/>
          <w:spacing w:val="0"/>
          <w:w w:val="105"/>
          <w:sz w:val="24"/>
          <w:szCs w:val="24"/>
          <w:lang w:val="en-US" w:eastAsia="en-US" w:bidi="ar-SA"/>
        </w:rPr>
        <w:t xml:space="preserve">liyingmt@nuc.edu.cn; </w:t>
      </w:r>
      <w:r>
        <w:rPr>
          <w:rFonts w:hint="default" w:ascii="Calibri" w:hAnsi="Calibri" w:cs="Calibri" w:eastAsiaTheme="minorHAnsi"/>
          <w:color w:val="0000FF"/>
          <w:spacing w:val="0"/>
          <w:w w:val="105"/>
          <w:sz w:val="24"/>
          <w:szCs w:val="24"/>
          <w:lang w:val="en-US" w:eastAsia="en-US" w:bidi="ar-SA"/>
        </w:rPr>
        <w:fldChar w:fldCharType="begin"/>
      </w:r>
      <w:r>
        <w:rPr>
          <w:rFonts w:hint="default" w:ascii="Calibri" w:hAnsi="Calibri" w:cs="Calibri" w:eastAsiaTheme="minorHAnsi"/>
          <w:color w:val="0000FF"/>
          <w:spacing w:val="0"/>
          <w:w w:val="105"/>
          <w:sz w:val="24"/>
          <w:szCs w:val="24"/>
          <w:lang w:val="en-US" w:eastAsia="en-US" w:bidi="ar-SA"/>
        </w:rPr>
        <w:instrText xml:space="preserve"> HYPERLINK "mailto:liuyuting@sxicc.ac.cn;" </w:instrText>
      </w:r>
      <w:r>
        <w:rPr>
          <w:rFonts w:hint="default" w:ascii="Calibri" w:hAnsi="Calibri" w:cs="Calibri" w:eastAsiaTheme="minorHAnsi"/>
          <w:color w:val="0000FF"/>
          <w:spacing w:val="0"/>
          <w:w w:val="105"/>
          <w:sz w:val="24"/>
          <w:szCs w:val="24"/>
          <w:lang w:val="en-US" w:eastAsia="en-US" w:bidi="ar-SA"/>
        </w:rPr>
        <w:fldChar w:fldCharType="separate"/>
      </w:r>
      <w:r>
        <w:rPr>
          <w:rStyle w:val="5"/>
          <w:rFonts w:hint="default" w:ascii="Calibri" w:hAnsi="Calibri" w:cs="Calibri" w:eastAsiaTheme="minorHAnsi"/>
          <w:spacing w:val="0"/>
          <w:w w:val="105"/>
          <w:sz w:val="24"/>
          <w:szCs w:val="24"/>
          <w:lang w:val="en-US" w:eastAsia="en-US" w:bidi="ar-SA"/>
        </w:rPr>
        <w:t>liuyuting@sxicc.ac.cn</w:t>
      </w:r>
      <w:r>
        <w:rPr>
          <w:rStyle w:val="5"/>
          <w:rFonts w:hint="default" w:ascii="Calibri" w:hAnsi="Calibri" w:eastAsia="Arial" w:cs="Calibri"/>
          <w:snapToGrid w:val="0"/>
          <w:spacing w:val="-1"/>
          <w:kern w:val="0"/>
          <w:sz w:val="24"/>
          <w:szCs w:val="24"/>
          <w:lang w:val="en-US" w:eastAsia="en-US" w:bidi="ar-SA"/>
        </w:rPr>
        <w:t>;</w:t>
      </w:r>
      <w:r>
        <w:rPr>
          <w:rFonts w:hint="default" w:ascii="Calibri" w:hAnsi="Calibri" w:cs="Calibri" w:eastAsiaTheme="minorHAnsi"/>
          <w:color w:val="0000FF"/>
          <w:spacing w:val="0"/>
          <w:w w:val="105"/>
          <w:sz w:val="24"/>
          <w:szCs w:val="24"/>
          <w:lang w:val="en-US" w:eastAsia="en-US" w:bidi="ar-SA"/>
        </w:rPr>
        <w:fldChar w:fldCharType="end"/>
      </w:r>
    </w:p>
    <w:p w14:paraId="22FDCF0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0" w:line="236" w:lineRule="auto"/>
        <w:ind w:left="0"/>
        <w:jc w:val="center"/>
        <w:textAlignment w:val="auto"/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vertAlign w:val="superscript"/>
          <w:lang w:val="en-US" w:eastAsia="en-US" w:bidi="ar-SA"/>
        </w:rPr>
        <w:t xml:space="preserve">† </w:t>
      </w:r>
      <w:r>
        <w:rPr>
          <w:rFonts w:hint="default" w:ascii="Calibri" w:hAnsi="Calibri" w:eastAsia="Arial" w:cs="Calibri"/>
          <w:snapToGrid w:val="0"/>
          <w:color w:val="000000"/>
          <w:spacing w:val="-1"/>
          <w:kern w:val="0"/>
          <w:sz w:val="24"/>
          <w:szCs w:val="24"/>
          <w:lang w:val="en-US" w:eastAsia="en-US" w:bidi="ar-SA"/>
        </w:rPr>
        <w:t>These authors contributed equally to this work.</w:t>
      </w:r>
    </w:p>
    <w:p w14:paraId="618CC7BB">
      <w:pPr>
        <w:pStyle w:val="2"/>
        <w:spacing w:before="70" w:line="190" w:lineRule="auto"/>
        <w:rPr>
          <w:rFonts w:hint="default" w:ascii="Calibri" w:hAnsi="Calibri" w:cs="Calibri"/>
          <w:bCs/>
          <w:i/>
          <w:iCs/>
          <w:sz w:val="24"/>
          <w:szCs w:val="24"/>
        </w:rPr>
      </w:pPr>
    </w:p>
    <w:p w14:paraId="439A47DF">
      <w:pPr>
        <w:pStyle w:val="2"/>
        <w:spacing w:before="70" w:line="190" w:lineRule="auto"/>
        <w:rPr>
          <w:rFonts w:hint="default" w:ascii="Calibri" w:hAnsi="Calibri" w:cs="Calibri"/>
          <w:bCs/>
          <w:i/>
          <w:iCs/>
          <w:sz w:val="24"/>
          <w:szCs w:val="24"/>
        </w:rPr>
        <w:sectPr>
          <w:headerReference r:id="rId5" w:type="default"/>
          <w:pgSz w:w="11906" w:h="16839"/>
          <w:pgMar w:top="1440" w:right="1800" w:bottom="1440" w:left="1800" w:header="0" w:footer="0" w:gutter="0"/>
          <w:cols w:space="720" w:num="1"/>
        </w:sectPr>
      </w:pPr>
    </w:p>
    <w:p w14:paraId="4E6EFC64">
      <w:pPr>
        <w:pStyle w:val="2"/>
        <w:spacing w:before="98" w:line="19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31390" cy="1506855"/>
            <wp:effectExtent l="0" t="0" r="3810" b="4445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9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1" w:firstLine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S1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 xml:space="preserve"> SEM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mage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Ti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vertAlign w:val="subscript"/>
          <w:lang w:eastAsia="zh-CN"/>
        </w:rPr>
        <w:t>3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vertAlign w:val="subscript"/>
          <w:lang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T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vertAlign w:val="subscript"/>
          <w:lang w:eastAsia="zh-CN"/>
        </w:rPr>
        <w:t>x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on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AAO.</w:t>
      </w:r>
    </w:p>
    <w:p w14:paraId="06243113">
      <w:pPr>
        <w:pStyle w:val="2"/>
        <w:spacing w:before="98" w:line="190" w:lineRule="auto"/>
        <w:jc w:val="center"/>
        <w:rPr>
          <w:rFonts w:hint="eastAsia" w:eastAsiaTheme="minorEastAsia"/>
          <w:lang w:eastAsia="zh-CN"/>
        </w:rPr>
      </w:pPr>
    </w:p>
    <w:p w14:paraId="110CC1F1">
      <w:pPr>
        <w:pStyle w:val="2"/>
        <w:spacing w:before="98" w:line="190" w:lineRule="auto"/>
        <w:jc w:val="center"/>
        <w:rPr>
          <w:rFonts w:hint="eastAsia" w:eastAsiaTheme="minorEastAsia"/>
          <w:lang w:eastAsia="zh-CN"/>
        </w:rPr>
      </w:pPr>
    </w:p>
    <w:p w14:paraId="6A0435E2">
      <w:pPr>
        <w:pStyle w:val="2"/>
        <w:spacing w:before="98" w:line="190" w:lineRule="auto"/>
        <w:jc w:val="center"/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  <w:drawing>
          <wp:inline distT="0" distB="0" distL="114300" distR="114300">
            <wp:extent cx="5269230" cy="1271905"/>
            <wp:effectExtent l="0" t="0" r="1270" b="10795"/>
            <wp:docPr id="3" name="图片 3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F8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eastAsia="微软雅黑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18"/>
          <w:szCs w:val="18"/>
          <w:lang w:eastAsia="zh-CN"/>
        </w:rPr>
        <w:t>S2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 xml:space="preserve"> CV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>urves of F-1200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>(a), FT-800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>(b) and FT-1600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>(c)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 at different scan rates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eastAsia="zh-CN"/>
        </w:rPr>
        <w:t>.</w:t>
      </w:r>
    </w:p>
    <w:p w14:paraId="41FD1317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p w14:paraId="70570AAF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p w14:paraId="3760E055">
      <w:pPr>
        <w:pStyle w:val="2"/>
        <w:spacing w:before="98" w:line="190" w:lineRule="auto"/>
        <w:jc w:val="center"/>
        <w:rPr>
          <w:rFonts w:hint="default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  <w:drawing>
          <wp:inline distT="0" distB="0" distL="114300" distR="114300">
            <wp:extent cx="5348605" cy="1235075"/>
            <wp:effectExtent l="0" t="0" r="10795" b="9525"/>
            <wp:docPr id="4" name="图片 4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D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1" w:firstLine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S3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 xml:space="preserve"> GCD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urves of F-1200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(a), FT-800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(b) and FT-1600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(c)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at different current densities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.</w:t>
      </w:r>
    </w:p>
    <w:p w14:paraId="193AC0CA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</w:pPr>
    </w:p>
    <w:p w14:paraId="1A4E6D98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</w:pPr>
    </w:p>
    <w:p w14:paraId="236D192E">
      <w:pPr>
        <w:pStyle w:val="2"/>
        <w:spacing w:before="98" w:line="190" w:lineRule="auto"/>
        <w:jc w:val="center"/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  <w:drawing>
          <wp:inline distT="0" distB="0" distL="114300" distR="114300">
            <wp:extent cx="1616710" cy="1301750"/>
            <wp:effectExtent l="0" t="0" r="8890" b="6350"/>
            <wp:docPr id="5" name="图片 5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1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1" w:firstLine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S4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 xml:space="preserve"> Peak current vs. scan rate with linear fitting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.</w:t>
      </w:r>
    </w:p>
    <w:p w14:paraId="66103070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p w14:paraId="72C73960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p w14:paraId="39D0E157">
      <w:pPr>
        <w:pStyle w:val="2"/>
        <w:spacing w:before="98" w:line="190" w:lineRule="auto"/>
        <w:jc w:val="center"/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  <w:drawing>
          <wp:inline distT="0" distB="0" distL="114300" distR="114300">
            <wp:extent cx="4128135" cy="1562100"/>
            <wp:effectExtent l="0" t="0" r="12065" b="0"/>
            <wp:docPr id="6" name="图片 6" descr="C:/Users/b1560/Desktop/组图/总/S5.tif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b1560/Desktop/组图/总/S5.tifS5"/>
                    <pic:cNvPicPr>
                      <a:picLocks noChangeAspect="1"/>
                    </pic:cNvPicPr>
                  </pic:nvPicPr>
                  <pic:blipFill>
                    <a:blip r:embed="rId11"/>
                    <a:srcRect t="-1761" r="2733" b="-541"/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B4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1" w:firstLine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S5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SEM images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>MC.</w:t>
      </w:r>
    </w:p>
    <w:p w14:paraId="5E6BC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center"/>
        <w:textAlignment w:val="auto"/>
        <w:rPr>
          <w:rFonts w:hint="default" w:ascii="Calibri" w:hAnsi="Calibri" w:cs="Calibri" w:eastAsiaTheme="minorEastAsia"/>
          <w:b w:val="0"/>
          <w:bCs w:val="0"/>
          <w:sz w:val="16"/>
          <w:szCs w:val="16"/>
          <w:lang w:eastAsia="zh-CN"/>
        </w:rPr>
      </w:pPr>
    </w:p>
    <w:p w14:paraId="4DFE4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center"/>
        <w:textAlignment w:val="auto"/>
        <w:rPr>
          <w:rFonts w:hint="default" w:ascii="Calibri" w:hAnsi="Calibri" w:cs="Calibri" w:eastAsiaTheme="minorEastAsia"/>
          <w:b w:val="0"/>
          <w:bCs w:val="0"/>
          <w:sz w:val="16"/>
          <w:szCs w:val="16"/>
          <w:lang w:eastAsia="zh-CN"/>
        </w:rPr>
      </w:pPr>
    </w:p>
    <w:p w14:paraId="1CA92CF3">
      <w:pPr>
        <w:pStyle w:val="2"/>
        <w:spacing w:before="98" w:line="190" w:lineRule="auto"/>
        <w:jc w:val="center"/>
        <w:rPr>
          <w:rFonts w:hint="default" w:ascii="Calibri" w:hAnsi="Calibri" w:cs="Calibri" w:eastAsiaTheme="minorEastAsia"/>
          <w:b w:val="0"/>
          <w:bCs w:val="0"/>
          <w:sz w:val="16"/>
          <w:szCs w:val="16"/>
          <w:lang w:eastAsia="zh-CN"/>
        </w:rPr>
      </w:pPr>
      <w:r>
        <w:rPr>
          <w:rFonts w:hint="default" w:ascii="Calibri" w:hAnsi="Calibri" w:cs="Calibri" w:eastAsiaTheme="minorEastAsia"/>
          <w:b w:val="0"/>
          <w:bCs w:val="0"/>
          <w:sz w:val="16"/>
          <w:szCs w:val="16"/>
          <w:lang w:eastAsia="zh-CN"/>
        </w:rPr>
        <w:drawing>
          <wp:inline distT="0" distB="0" distL="114300" distR="114300">
            <wp:extent cx="3718560" cy="2383790"/>
            <wp:effectExtent l="0" t="0" r="2540" b="3810"/>
            <wp:docPr id="7" name="图片 7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47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1" w:firstLineChars="20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Fig.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S6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eastAsia="zh-CN"/>
        </w:rPr>
        <w:t xml:space="preserve"> (a) CV curves and (b) GCD curves of the MC cathode; (c) areal specific capacitance of the FT-1200//MC ASC at various current densities; (d) photograph of an LED light bulb successfully powered by the ASC.</w:t>
      </w:r>
    </w:p>
    <w:p w14:paraId="5D1A8E59">
      <w:pPr>
        <w:pStyle w:val="2"/>
        <w:spacing w:before="98" w:line="190" w:lineRule="auto"/>
        <w:jc w:val="center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p w14:paraId="66A014C1">
      <w:pPr>
        <w:pStyle w:val="2"/>
        <w:spacing w:before="98" w:line="190" w:lineRule="auto"/>
        <w:jc w:val="both"/>
        <w:rPr>
          <w:rFonts w:hint="eastAsia" w:ascii="Times New Roman" w:hAnsi="Times New Roman" w:cs="Times New Roman" w:eastAsiaTheme="minorEastAsia"/>
          <w:b w:val="0"/>
          <w:bCs w:val="0"/>
          <w:sz w:val="16"/>
          <w:szCs w:val="16"/>
          <w:lang w:eastAsia="zh-CN"/>
        </w:rPr>
      </w:pPr>
    </w:p>
    <w:sectPr>
      <w:pgSz w:w="11906" w:h="16839"/>
      <w:pgMar w:top="1440" w:right="1080" w:bottom="144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242F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FFE377F"/>
    <w:rsid w:val="2D8803E1"/>
    <w:rsid w:val="34752C4C"/>
    <w:rsid w:val="3CF417AE"/>
    <w:rsid w:val="43A31ED3"/>
    <w:rsid w:val="5B2B71EB"/>
    <w:rsid w:val="5F1B09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8">
    <w:name w:val="Author"/>
    <w:basedOn w:val="1"/>
    <w:qFormat/>
    <w:uiPriority w:val="0"/>
    <w:pPr>
      <w:spacing w:line="260" w:lineRule="exact"/>
      <w:jc w:val="center"/>
    </w:pPr>
    <w:rPr>
      <w:snapToGrid w:val="0"/>
    </w:rPr>
  </w:style>
  <w:style w:type="paragraph" w:customStyle="1" w:styleId="9">
    <w:name w:val="Affiliation"/>
    <w:basedOn w:val="1"/>
    <w:qFormat/>
    <w:uiPriority w:val="0"/>
    <w:pPr>
      <w:spacing w:after="240" w:line="220" w:lineRule="exact"/>
      <w:jc w:val="center"/>
    </w:pPr>
    <w:rPr>
      <w:i/>
      <w:snapToGrid w:val="0"/>
    </w:rPr>
  </w:style>
  <w:style w:type="paragraph" w:customStyle="1" w:styleId="10">
    <w:name w:val="RSC B01 ART Abstract"/>
    <w:basedOn w:val="1"/>
    <w:qFormat/>
    <w:uiPriority w:val="0"/>
    <w:pPr>
      <w:spacing w:line="240" w:lineRule="exact"/>
      <w:jc w:val="both"/>
    </w:pPr>
    <w:rPr>
      <w:sz w:val="16"/>
      <w:lang w:eastAsia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6.tiff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164</Words>
  <Characters>921</Characters>
  <TotalTime>4</TotalTime>
  <ScaleCrop>false</ScaleCrop>
  <LinksUpToDate>false</LinksUpToDate>
  <CharactersWithSpaces>1072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2025-05-19T14:10:00Z</dcterms:created>
  <dc:creator>Anush</dc:creator>
  <cp:lastModifiedBy>李莹</cp:lastModifiedBy>
  <dcterms:modified xsi:type="dcterms:W3CDTF">2026-04-14T07:16:20Z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2026-03-27T19:55:21Z</vt:filetime>
  </property>
  <property fmtid="{D5CDD505-2E9C-101B-9397-08002B2CF9AE}" pid="4" name="KSOTemplateDocerSaveRecord">
    <vt:lpwstr>eyJoZGlkIjoiNTBjZTkwMjllMDMzMWQ4MGE0NTYwYzA4NmMyZjI0NWIiLCJ1c2VySWQiOiIxNjYxMTUxMTI1In0=</vt:lpwstr>
  </property>
  <property fmtid="{D5CDD505-2E9C-101B-9397-08002B2CF9AE}" pid="5" name="KSOProductBuildVer">
    <vt:lpwstr>2052-12.1.0.25225</vt:lpwstr>
  </property>
  <property fmtid="{D5CDD505-2E9C-101B-9397-08002B2CF9AE}" pid="6" name="ICV">
    <vt:lpwstr>DECAE2120A2C4557A03CF75B09197DDF_13</vt:lpwstr>
  </property>
</Properties>
</file>