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316CD" w14:textId="77777777" w:rsidR="002F4D11" w:rsidRPr="00123075" w:rsidRDefault="002F4D11" w:rsidP="002F4D11">
      <w:pPr>
        <w:rPr>
          <w:rFonts w:ascii="Times New Roman" w:eastAsiaTheme="minorEastAsia" w:hAnsi="Times New Roman" w:cs="Times New Roman"/>
          <w:b/>
          <w:bCs/>
        </w:rPr>
      </w:pPr>
      <w:r w:rsidRPr="00123075">
        <w:rPr>
          <w:rFonts w:ascii="Times New Roman" w:hAnsi="Times New Roman" w:cs="Times New Roman"/>
          <w:b/>
          <w:bCs/>
        </w:rPr>
        <w:t>STROBE Statement — Checklist of items that should be included in reports of observational studies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7"/>
        <w:gridCol w:w="2222"/>
        <w:gridCol w:w="1943"/>
        <w:gridCol w:w="2494"/>
      </w:tblGrid>
      <w:tr w:rsidR="002F4D11" w:rsidRPr="00123075" w14:paraId="04C3E7EF" w14:textId="77777777" w:rsidTr="00123075">
        <w:trPr>
          <w:trHeight w:val="1680"/>
        </w:trPr>
        <w:tc>
          <w:tcPr>
            <w:tcW w:w="987" w:type="pct"/>
            <w:vAlign w:val="center"/>
            <w:hideMark/>
          </w:tcPr>
          <w:p w14:paraId="255B8DA4" w14:textId="77777777" w:rsidR="002F4D11" w:rsidRPr="00123075" w:rsidRDefault="002F4D11" w:rsidP="002F4D11">
            <w:pPr>
              <w:widowControl/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Item No</w:t>
            </w:r>
          </w:p>
        </w:tc>
        <w:tc>
          <w:tcPr>
            <w:tcW w:w="1339" w:type="pct"/>
            <w:vAlign w:val="center"/>
            <w:hideMark/>
          </w:tcPr>
          <w:p w14:paraId="4455A212" w14:textId="77777777" w:rsidR="002F4D11" w:rsidRPr="00123075" w:rsidRDefault="002F4D11" w:rsidP="002F4D11">
            <w:pPr>
              <w:widowControl/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Recommendation</w:t>
            </w:r>
          </w:p>
        </w:tc>
        <w:tc>
          <w:tcPr>
            <w:tcW w:w="1171" w:type="pct"/>
            <w:vAlign w:val="center"/>
            <w:hideMark/>
          </w:tcPr>
          <w:p w14:paraId="2437700C" w14:textId="77777777" w:rsidR="002F4D11" w:rsidRPr="00123075" w:rsidRDefault="002F4D11" w:rsidP="002F4D11">
            <w:pPr>
              <w:widowControl/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Reported on page / section</w:t>
            </w:r>
          </w:p>
        </w:tc>
        <w:tc>
          <w:tcPr>
            <w:tcW w:w="1503" w:type="pct"/>
            <w:vAlign w:val="center"/>
            <w:hideMark/>
          </w:tcPr>
          <w:p w14:paraId="7DD23839" w14:textId="77777777" w:rsidR="002F4D11" w:rsidRPr="00123075" w:rsidRDefault="002F4D11" w:rsidP="002F4D11">
            <w:pPr>
              <w:widowControl/>
              <w:spacing w:line="240" w:lineRule="auto"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Details / How it is addressed in the manuscript</w:t>
            </w:r>
          </w:p>
        </w:tc>
      </w:tr>
      <w:tr w:rsidR="002F4D11" w:rsidRPr="00123075" w14:paraId="04BB542F" w14:textId="77777777" w:rsidTr="00123075">
        <w:trPr>
          <w:trHeight w:val="560"/>
        </w:trPr>
        <w:tc>
          <w:tcPr>
            <w:tcW w:w="987" w:type="pct"/>
            <w:vAlign w:val="center"/>
            <w:hideMark/>
          </w:tcPr>
          <w:p w14:paraId="6AA56DCD" w14:textId="77777777" w:rsidR="002F4D11" w:rsidRPr="00123075" w:rsidRDefault="002F4D11" w:rsidP="002F4D11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Title and abstract</w:t>
            </w:r>
          </w:p>
        </w:tc>
        <w:tc>
          <w:tcPr>
            <w:tcW w:w="1339" w:type="pct"/>
            <w:vAlign w:val="center"/>
            <w:hideMark/>
          </w:tcPr>
          <w:p w14:paraId="6772313B" w14:textId="77777777" w:rsidR="002F4D11" w:rsidRPr="00123075" w:rsidRDefault="002F4D11" w:rsidP="002F4D11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1" w:type="pct"/>
            <w:vAlign w:val="center"/>
            <w:hideMark/>
          </w:tcPr>
          <w:p w14:paraId="22D78385" w14:textId="77777777" w:rsidR="002F4D11" w:rsidRPr="00123075" w:rsidRDefault="002F4D11" w:rsidP="002F4D11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3" w:type="pct"/>
            <w:vAlign w:val="center"/>
            <w:hideMark/>
          </w:tcPr>
          <w:p w14:paraId="40DD4C0D" w14:textId="77777777" w:rsidR="002F4D11" w:rsidRPr="00123075" w:rsidRDefault="002F4D11" w:rsidP="002F4D11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F4D11" w:rsidRPr="00123075" w14:paraId="14DE6BC5" w14:textId="77777777" w:rsidTr="00123075">
        <w:trPr>
          <w:trHeight w:val="2120"/>
        </w:trPr>
        <w:tc>
          <w:tcPr>
            <w:tcW w:w="987" w:type="pct"/>
            <w:vAlign w:val="center"/>
            <w:hideMark/>
          </w:tcPr>
          <w:p w14:paraId="2199512A" w14:textId="77777777" w:rsidR="002F4D11" w:rsidRPr="00123075" w:rsidRDefault="002F4D11" w:rsidP="002F4D11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(a)</w:t>
            </w:r>
          </w:p>
        </w:tc>
        <w:tc>
          <w:tcPr>
            <w:tcW w:w="1339" w:type="pct"/>
            <w:vAlign w:val="center"/>
            <w:hideMark/>
          </w:tcPr>
          <w:p w14:paraId="11CB73AE" w14:textId="77777777" w:rsidR="002F4D11" w:rsidRPr="00123075" w:rsidRDefault="002F4D11" w:rsidP="002F4D11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Indicate the study’s design with a commonly used term in the title or the abstract</w:t>
            </w:r>
          </w:p>
        </w:tc>
        <w:tc>
          <w:tcPr>
            <w:tcW w:w="1171" w:type="pct"/>
            <w:vAlign w:val="center"/>
            <w:hideMark/>
          </w:tcPr>
          <w:p w14:paraId="45218F43" w14:textId="77777777" w:rsidR="002F4D11" w:rsidRPr="00123075" w:rsidRDefault="002F4D11" w:rsidP="002F4D11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Title + Abstract</w:t>
            </w:r>
          </w:p>
        </w:tc>
        <w:tc>
          <w:tcPr>
            <w:tcW w:w="1503" w:type="pct"/>
            <w:vAlign w:val="center"/>
            <w:hideMark/>
          </w:tcPr>
          <w:p w14:paraId="3381C7E5" w14:textId="77777777" w:rsidR="002F4D11" w:rsidRPr="00123075" w:rsidRDefault="002F4D11" w:rsidP="002F4D11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Title and Abstract clearly describe it as a multicenter retrospective cohort study using machine learning for phenotypic discovery.</w:t>
            </w:r>
          </w:p>
        </w:tc>
      </w:tr>
      <w:tr w:rsidR="002F4D11" w:rsidRPr="00123075" w14:paraId="10B34C62" w14:textId="77777777" w:rsidTr="00123075">
        <w:trPr>
          <w:trHeight w:val="2464"/>
        </w:trPr>
        <w:tc>
          <w:tcPr>
            <w:tcW w:w="987" w:type="pct"/>
            <w:vAlign w:val="center"/>
            <w:hideMark/>
          </w:tcPr>
          <w:p w14:paraId="33D9144C" w14:textId="77777777" w:rsidR="002F4D11" w:rsidRPr="00123075" w:rsidRDefault="002F4D11" w:rsidP="002F4D11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 (b)</w:t>
            </w:r>
          </w:p>
        </w:tc>
        <w:tc>
          <w:tcPr>
            <w:tcW w:w="1339" w:type="pct"/>
            <w:vAlign w:val="center"/>
            <w:hideMark/>
          </w:tcPr>
          <w:p w14:paraId="29EC7623" w14:textId="77777777" w:rsidR="002F4D11" w:rsidRPr="00123075" w:rsidRDefault="002F4D11" w:rsidP="002F4D11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Provide in the abstract an informative and balanced summary of what was done and what was found</w:t>
            </w:r>
          </w:p>
        </w:tc>
        <w:tc>
          <w:tcPr>
            <w:tcW w:w="1171" w:type="pct"/>
            <w:vAlign w:val="center"/>
            <w:hideMark/>
          </w:tcPr>
          <w:p w14:paraId="6F7CDDFA" w14:textId="77777777" w:rsidR="002F4D11" w:rsidRPr="00123075" w:rsidRDefault="002F4D11" w:rsidP="002F4D11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Abstract</w:t>
            </w:r>
          </w:p>
        </w:tc>
        <w:tc>
          <w:tcPr>
            <w:tcW w:w="1503" w:type="pct"/>
            <w:vAlign w:val="center"/>
            <w:hideMark/>
          </w:tcPr>
          <w:p w14:paraId="245CA1AE" w14:textId="77777777" w:rsidR="002F4D11" w:rsidRPr="00123075" w:rsidRDefault="002F4D11" w:rsidP="002F4D11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 – Background, Methods (GMM phenotyping, MIMIC-IV derivation, eICU-CRD validation), Results (phenotypes, aHR, NRI/IDI, DCA), Conclusion.</w:t>
            </w:r>
          </w:p>
        </w:tc>
      </w:tr>
      <w:tr w:rsidR="002F4D11" w:rsidRPr="00123075" w14:paraId="78FD3016" w14:textId="77777777" w:rsidTr="00123075">
        <w:trPr>
          <w:trHeight w:val="560"/>
        </w:trPr>
        <w:tc>
          <w:tcPr>
            <w:tcW w:w="987" w:type="pct"/>
            <w:vAlign w:val="center"/>
            <w:hideMark/>
          </w:tcPr>
          <w:p w14:paraId="4985F99B" w14:textId="77777777" w:rsidR="002F4D11" w:rsidRPr="00123075" w:rsidRDefault="002F4D11" w:rsidP="002F4D11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Introduction</w:t>
            </w:r>
          </w:p>
        </w:tc>
        <w:tc>
          <w:tcPr>
            <w:tcW w:w="1339" w:type="pct"/>
            <w:vAlign w:val="center"/>
            <w:hideMark/>
          </w:tcPr>
          <w:p w14:paraId="33C59D61" w14:textId="77777777" w:rsidR="002F4D11" w:rsidRPr="00123075" w:rsidRDefault="002F4D11" w:rsidP="002F4D11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1" w:type="pct"/>
            <w:vAlign w:val="center"/>
            <w:hideMark/>
          </w:tcPr>
          <w:p w14:paraId="3F33658F" w14:textId="77777777" w:rsidR="002F4D11" w:rsidRPr="00123075" w:rsidRDefault="002F4D11" w:rsidP="002F4D11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3" w:type="pct"/>
            <w:vAlign w:val="center"/>
            <w:hideMark/>
          </w:tcPr>
          <w:p w14:paraId="31CBF831" w14:textId="77777777" w:rsidR="002F4D11" w:rsidRPr="00123075" w:rsidRDefault="002F4D11" w:rsidP="002F4D11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F4D11" w:rsidRPr="00123075" w14:paraId="267AC2F1" w14:textId="77777777" w:rsidTr="00123075">
        <w:trPr>
          <w:trHeight w:val="6160"/>
        </w:trPr>
        <w:tc>
          <w:tcPr>
            <w:tcW w:w="987" w:type="pct"/>
            <w:vAlign w:val="center"/>
            <w:hideMark/>
          </w:tcPr>
          <w:p w14:paraId="242AB65A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2</w:t>
            </w:r>
          </w:p>
        </w:tc>
        <w:tc>
          <w:tcPr>
            <w:tcW w:w="1339" w:type="pct"/>
            <w:vAlign w:val="center"/>
            <w:hideMark/>
          </w:tcPr>
          <w:p w14:paraId="15A26600" w14:textId="77777777" w:rsidR="002F4D11" w:rsidRPr="00123075" w:rsidRDefault="002F4D11" w:rsidP="002F4D11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Explain the scientific background and rationale for the investigation being reported</w:t>
            </w:r>
          </w:p>
        </w:tc>
        <w:tc>
          <w:tcPr>
            <w:tcW w:w="1171" w:type="pct"/>
            <w:vAlign w:val="center"/>
            <w:hideMark/>
          </w:tcPr>
          <w:p w14:paraId="122FD689" w14:textId="77777777" w:rsidR="002F4D11" w:rsidRPr="00123075" w:rsidRDefault="002F4D11" w:rsidP="002F4D11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Section 1 (Introduction)</w:t>
            </w:r>
          </w:p>
        </w:tc>
        <w:tc>
          <w:tcPr>
            <w:tcW w:w="1503" w:type="pct"/>
            <w:vAlign w:val="center"/>
            <w:hideMark/>
          </w:tcPr>
          <w:p w14:paraId="5045F2A7" w14:textId="77777777" w:rsidR="002F4D11" w:rsidRPr="00123075" w:rsidRDefault="002F4D11" w:rsidP="002F4D11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Detailed explanation of cryptic shock / occult hypoperfusion in elderly MV patients, limitations of traditional SOFA score, and rationale for unsupervised ML phenotyping.</w:t>
            </w:r>
          </w:p>
        </w:tc>
      </w:tr>
      <w:tr w:rsidR="002F4D11" w:rsidRPr="00123075" w14:paraId="3FC481CE" w14:textId="77777777" w:rsidTr="00123075">
        <w:trPr>
          <w:trHeight w:val="6794"/>
        </w:trPr>
        <w:tc>
          <w:tcPr>
            <w:tcW w:w="987" w:type="pct"/>
            <w:vAlign w:val="center"/>
            <w:hideMark/>
          </w:tcPr>
          <w:p w14:paraId="4E955BF6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1339" w:type="pct"/>
            <w:vAlign w:val="center"/>
            <w:hideMark/>
          </w:tcPr>
          <w:p w14:paraId="52F5BFFD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State specific objectives, including any prespecified hypotheses</w:t>
            </w:r>
          </w:p>
        </w:tc>
        <w:tc>
          <w:tcPr>
            <w:tcW w:w="1171" w:type="pct"/>
            <w:vAlign w:val="center"/>
            <w:hideMark/>
          </w:tcPr>
          <w:p w14:paraId="38D31BA9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Section 1 (last paragraph)</w:t>
            </w:r>
          </w:p>
        </w:tc>
        <w:tc>
          <w:tcPr>
            <w:tcW w:w="1503" w:type="pct"/>
            <w:vAlign w:val="center"/>
            <w:hideMark/>
          </w:tcPr>
          <w:p w14:paraId="15D8F891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Hypothesis: unsupervised ML can identify a distinct “cryptic shock” phenotype; objectives include phenotype identification, external validation, independent prognostic value, incremental utility over SOFA, and robustness via sensitivity analyses.</w:t>
            </w:r>
          </w:p>
        </w:tc>
      </w:tr>
      <w:tr w:rsidR="002F4D11" w:rsidRPr="00123075" w14:paraId="556E0C6D" w14:textId="77777777" w:rsidTr="00123075">
        <w:trPr>
          <w:trHeight w:val="280"/>
        </w:trPr>
        <w:tc>
          <w:tcPr>
            <w:tcW w:w="987" w:type="pct"/>
            <w:vAlign w:val="center"/>
            <w:hideMark/>
          </w:tcPr>
          <w:p w14:paraId="70B49F57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Methods</w:t>
            </w:r>
          </w:p>
        </w:tc>
        <w:tc>
          <w:tcPr>
            <w:tcW w:w="1339" w:type="pct"/>
            <w:vAlign w:val="center"/>
            <w:hideMark/>
          </w:tcPr>
          <w:p w14:paraId="5C51AED6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1" w:type="pct"/>
            <w:vAlign w:val="center"/>
            <w:hideMark/>
          </w:tcPr>
          <w:p w14:paraId="44AD26AD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3" w:type="pct"/>
            <w:vAlign w:val="center"/>
            <w:hideMark/>
          </w:tcPr>
          <w:p w14:paraId="41B19A02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F4D11" w:rsidRPr="00123075" w14:paraId="6F714270" w14:textId="77777777" w:rsidTr="00123075">
        <w:trPr>
          <w:trHeight w:val="1833"/>
        </w:trPr>
        <w:tc>
          <w:tcPr>
            <w:tcW w:w="987" w:type="pct"/>
            <w:vAlign w:val="center"/>
            <w:hideMark/>
          </w:tcPr>
          <w:p w14:paraId="79DF994C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4</w:t>
            </w:r>
          </w:p>
        </w:tc>
        <w:tc>
          <w:tcPr>
            <w:tcW w:w="1339" w:type="pct"/>
            <w:vAlign w:val="center"/>
            <w:hideMark/>
          </w:tcPr>
          <w:p w14:paraId="1208E170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Present key elements of study design early in the paper</w:t>
            </w:r>
          </w:p>
        </w:tc>
        <w:tc>
          <w:tcPr>
            <w:tcW w:w="1171" w:type="pct"/>
            <w:vAlign w:val="center"/>
            <w:hideMark/>
          </w:tcPr>
          <w:p w14:paraId="79BD3DA8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Section 2.1</w:t>
            </w:r>
          </w:p>
        </w:tc>
        <w:tc>
          <w:tcPr>
            <w:tcW w:w="1503" w:type="pct"/>
            <w:vAlign w:val="center"/>
            <w:hideMark/>
          </w:tcPr>
          <w:p w14:paraId="6BF34A2B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“This retrospective cohort study utilized two large-scale clinical databases: MIMIC-IV … and eICU-CRD”.</w:t>
            </w:r>
          </w:p>
        </w:tc>
      </w:tr>
      <w:tr w:rsidR="002F4D11" w:rsidRPr="00123075" w14:paraId="3C8008B3" w14:textId="77777777" w:rsidTr="00123075">
        <w:trPr>
          <w:trHeight w:val="2158"/>
        </w:trPr>
        <w:tc>
          <w:tcPr>
            <w:tcW w:w="987" w:type="pct"/>
            <w:vAlign w:val="center"/>
            <w:hideMark/>
          </w:tcPr>
          <w:p w14:paraId="670EB567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1339" w:type="pct"/>
            <w:vAlign w:val="center"/>
            <w:hideMark/>
          </w:tcPr>
          <w:p w14:paraId="3A520DDB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Describe the setting, locations, and relevant dates, including periods of recruitment, exposure, follow-up, and data collection</w:t>
            </w:r>
          </w:p>
        </w:tc>
        <w:tc>
          <w:tcPr>
            <w:tcW w:w="1171" w:type="pct"/>
            <w:vAlign w:val="center"/>
            <w:hideMark/>
          </w:tcPr>
          <w:p w14:paraId="78EA5170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Section 2.1</w:t>
            </w:r>
          </w:p>
        </w:tc>
        <w:tc>
          <w:tcPr>
            <w:tcW w:w="1503" w:type="pct"/>
            <w:vAlign w:val="center"/>
            <w:hideMark/>
          </w:tcPr>
          <w:p w14:paraId="50432F72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MIMIC-IV (Beth Israel Deaconess Medical Center, 2008–2022); eICU-CRD (208 U.S. hospitals). Baseline data from first ICU admission.</w:t>
            </w:r>
          </w:p>
        </w:tc>
      </w:tr>
      <w:tr w:rsidR="002F4D11" w:rsidRPr="00123075" w14:paraId="3D0E4123" w14:textId="77777777" w:rsidTr="00123075">
        <w:trPr>
          <w:trHeight w:val="5040"/>
        </w:trPr>
        <w:tc>
          <w:tcPr>
            <w:tcW w:w="987" w:type="pct"/>
            <w:vAlign w:val="center"/>
            <w:hideMark/>
          </w:tcPr>
          <w:p w14:paraId="16DA7E2A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 (a)</w:t>
            </w:r>
          </w:p>
        </w:tc>
        <w:tc>
          <w:tcPr>
            <w:tcW w:w="1339" w:type="pct"/>
            <w:vAlign w:val="center"/>
            <w:hideMark/>
          </w:tcPr>
          <w:p w14:paraId="5726E181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Cohort study — Give the eligibility criteria, and the sources and methods of selection of participants. Describe methods of follow-up</w:t>
            </w:r>
          </w:p>
        </w:tc>
        <w:tc>
          <w:tcPr>
            <w:tcW w:w="1171" w:type="pct"/>
            <w:vAlign w:val="center"/>
            <w:hideMark/>
          </w:tcPr>
          <w:p w14:paraId="09A60050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Section 2.2 + Figure 1</w:t>
            </w:r>
          </w:p>
        </w:tc>
        <w:tc>
          <w:tcPr>
            <w:tcW w:w="1503" w:type="pct"/>
            <w:vAlign w:val="center"/>
            <w:hideMark/>
          </w:tcPr>
          <w:p w14:paraId="4066A680" w14:textId="3EA5C309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Eligibility: age </w:t>
            </w:r>
            <w:r w:rsidR="00123075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≥</w:t>
            </w: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75 years, first ICU admission, ICU LOS </w:t>
            </w:r>
            <w:r w:rsidR="00123075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≥</w:t>
            </w:r>
            <w:r w:rsidR="00123075">
              <w:rPr>
                <w:rFonts w:ascii="Times New Roman" w:eastAsia="等线" w:hAnsi="Times New Roman" w:cs="Times New Roman" w:hint="eastAsia"/>
                <w:color w:val="000000"/>
                <w:kern w:val="0"/>
                <w:sz w:val="22"/>
              </w:rPr>
              <w:t>2</w:t>
            </w: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 h, invasive mechanical ventilation. Detailed screening and flow diagram in Figure 1.</w:t>
            </w:r>
          </w:p>
        </w:tc>
      </w:tr>
      <w:tr w:rsidR="002F4D11" w:rsidRPr="00123075" w14:paraId="281FD107" w14:textId="77777777" w:rsidTr="00123075">
        <w:trPr>
          <w:trHeight w:val="3818"/>
        </w:trPr>
        <w:tc>
          <w:tcPr>
            <w:tcW w:w="987" w:type="pct"/>
            <w:vAlign w:val="center"/>
            <w:hideMark/>
          </w:tcPr>
          <w:p w14:paraId="66E59DE0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1339" w:type="pct"/>
            <w:vAlign w:val="center"/>
            <w:hideMark/>
          </w:tcPr>
          <w:p w14:paraId="11E68321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Clearly define all outcomes, exposures, predictors, potential confounders, and effect modifiers. Give diagnostic criteria, if applicable</w:t>
            </w:r>
          </w:p>
        </w:tc>
        <w:tc>
          <w:tcPr>
            <w:tcW w:w="1171" w:type="pct"/>
            <w:vAlign w:val="center"/>
            <w:hideMark/>
          </w:tcPr>
          <w:p w14:paraId="534139EA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Section 2.6 (endpoints), 2.3 (variables), 2.5 (phenotyping)</w:t>
            </w:r>
          </w:p>
        </w:tc>
        <w:tc>
          <w:tcPr>
            <w:tcW w:w="1503" w:type="pct"/>
            <w:vAlign w:val="center"/>
            <w:hideMark/>
          </w:tcPr>
          <w:p w14:paraId="0857B74E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Primary outcome: in-hospital mortality. Predictors: 33 baseline variables (Supp Table S2). Confounders: age, gender, comorbidities, SOFA/APS III.</w:t>
            </w:r>
          </w:p>
        </w:tc>
      </w:tr>
      <w:tr w:rsidR="002F4D11" w:rsidRPr="00123075" w14:paraId="225DE4C9" w14:textId="77777777" w:rsidTr="00123075">
        <w:trPr>
          <w:trHeight w:val="2967"/>
        </w:trPr>
        <w:tc>
          <w:tcPr>
            <w:tcW w:w="987" w:type="pct"/>
            <w:vAlign w:val="center"/>
            <w:hideMark/>
          </w:tcPr>
          <w:p w14:paraId="67A2BB07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8*</w:t>
            </w:r>
          </w:p>
        </w:tc>
        <w:tc>
          <w:tcPr>
            <w:tcW w:w="1339" w:type="pct"/>
            <w:vAlign w:val="center"/>
            <w:hideMark/>
          </w:tcPr>
          <w:p w14:paraId="68EDF24D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For each variable of interest, give sources of data and details of methods of assessment (measurement). Describe comparability of assessment methods if there is more than one group</w:t>
            </w:r>
          </w:p>
        </w:tc>
        <w:tc>
          <w:tcPr>
            <w:tcW w:w="1171" w:type="pct"/>
            <w:vAlign w:val="center"/>
            <w:hideMark/>
          </w:tcPr>
          <w:p w14:paraId="0B75705B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Section 2.3 + 2.5</w:t>
            </w:r>
          </w:p>
        </w:tc>
        <w:tc>
          <w:tcPr>
            <w:tcW w:w="1503" w:type="pct"/>
            <w:vAlign w:val="center"/>
            <w:hideMark/>
          </w:tcPr>
          <w:p w14:paraId="33641A9E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Data from MIMIC-IV v3.1 and eICU-CRD v2.0 via PhysioNet. First recorded values upon ICU admission. GMM details in 2.5 + Supp Table S2.</w:t>
            </w:r>
          </w:p>
        </w:tc>
      </w:tr>
      <w:tr w:rsidR="002F4D11" w:rsidRPr="00123075" w14:paraId="60CD2504" w14:textId="77777777" w:rsidTr="00123075">
        <w:trPr>
          <w:trHeight w:val="6720"/>
        </w:trPr>
        <w:tc>
          <w:tcPr>
            <w:tcW w:w="987" w:type="pct"/>
            <w:vAlign w:val="center"/>
            <w:hideMark/>
          </w:tcPr>
          <w:p w14:paraId="071EAE24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1339" w:type="pct"/>
            <w:vAlign w:val="center"/>
            <w:hideMark/>
          </w:tcPr>
          <w:p w14:paraId="3F0B5A9E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Describe any efforts to address potential sources of bias</w:t>
            </w:r>
          </w:p>
        </w:tc>
        <w:tc>
          <w:tcPr>
            <w:tcW w:w="1171" w:type="pct"/>
            <w:vAlign w:val="center"/>
            <w:hideMark/>
          </w:tcPr>
          <w:p w14:paraId="31A03A70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Section 2.5 (baseline-only variables, exclusion of treatment variables), 2.4 (MICE, </w:t>
            </w:r>
            <w:proofErr w:type="spellStart"/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winsorization</w:t>
            </w:r>
            <w:proofErr w:type="spellEnd"/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), 3.5 (sensitivity analyses)</w:t>
            </w:r>
          </w:p>
        </w:tc>
        <w:tc>
          <w:tcPr>
            <w:tcW w:w="1503" w:type="pct"/>
            <w:vAlign w:val="center"/>
            <w:hideMark/>
          </w:tcPr>
          <w:p w14:paraId="6AEEA8C3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Avoided circularity by excluding outcomes and treatment variables; external validation in independent database; multiple sensitivity analyses (alternative clustering algorithms, APS III adjustment).</w:t>
            </w:r>
          </w:p>
        </w:tc>
      </w:tr>
      <w:tr w:rsidR="002F4D11" w:rsidRPr="00123075" w14:paraId="78DA588C" w14:textId="77777777" w:rsidTr="00123075">
        <w:trPr>
          <w:trHeight w:val="3251"/>
        </w:trPr>
        <w:tc>
          <w:tcPr>
            <w:tcW w:w="987" w:type="pct"/>
            <w:vAlign w:val="center"/>
            <w:hideMark/>
          </w:tcPr>
          <w:p w14:paraId="3912051D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1339" w:type="pct"/>
            <w:vAlign w:val="center"/>
            <w:hideMark/>
          </w:tcPr>
          <w:p w14:paraId="035AEA47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Explain how the study size was arrived at</w:t>
            </w:r>
          </w:p>
        </w:tc>
        <w:tc>
          <w:tcPr>
            <w:tcW w:w="1171" w:type="pct"/>
            <w:vAlign w:val="center"/>
            <w:hideMark/>
          </w:tcPr>
          <w:p w14:paraId="51DA56DF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Section 3.1 + Figure 1</w:t>
            </w:r>
          </w:p>
        </w:tc>
        <w:tc>
          <w:tcPr>
            <w:tcW w:w="1503" w:type="pct"/>
            <w:vAlign w:val="center"/>
            <w:hideMark/>
          </w:tcPr>
          <w:p w14:paraId="404381E1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Retrospective database study; no formal sample size calculation. All eligible patients after screening were included (6,540 derivation; 1,293 validation).</w:t>
            </w:r>
          </w:p>
        </w:tc>
      </w:tr>
      <w:tr w:rsidR="002F4D11" w:rsidRPr="00123075" w14:paraId="2E36976B" w14:textId="77777777" w:rsidTr="00123075">
        <w:trPr>
          <w:trHeight w:val="2117"/>
        </w:trPr>
        <w:tc>
          <w:tcPr>
            <w:tcW w:w="987" w:type="pct"/>
            <w:vAlign w:val="center"/>
            <w:hideMark/>
          </w:tcPr>
          <w:p w14:paraId="6B83DB75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11</w:t>
            </w:r>
          </w:p>
        </w:tc>
        <w:tc>
          <w:tcPr>
            <w:tcW w:w="1339" w:type="pct"/>
            <w:vAlign w:val="center"/>
            <w:hideMark/>
          </w:tcPr>
          <w:p w14:paraId="3C870739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171" w:type="pct"/>
            <w:vAlign w:val="center"/>
            <w:hideMark/>
          </w:tcPr>
          <w:p w14:paraId="232CE8F4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Section 2.4 (</w:t>
            </w:r>
            <w:proofErr w:type="spellStart"/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winsorization</w:t>
            </w:r>
            <w:proofErr w:type="spellEnd"/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), 2.5 (Z-score standardization)</w:t>
            </w:r>
          </w:p>
        </w:tc>
        <w:tc>
          <w:tcPr>
            <w:tcW w:w="1503" w:type="pct"/>
            <w:vAlign w:val="center"/>
            <w:hideMark/>
          </w:tcPr>
          <w:p w14:paraId="0CF1AAEA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Continuous variables </w:t>
            </w:r>
            <w:proofErr w:type="spellStart"/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winsorized</w:t>
            </w:r>
            <w:proofErr w:type="spellEnd"/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at 1st/99th percentiles; Z-score standardized before GMM clustering.</w:t>
            </w:r>
          </w:p>
        </w:tc>
      </w:tr>
      <w:tr w:rsidR="002F4D11" w:rsidRPr="00123075" w14:paraId="6D71E06A" w14:textId="77777777" w:rsidTr="00123075">
        <w:trPr>
          <w:trHeight w:val="2010"/>
        </w:trPr>
        <w:tc>
          <w:tcPr>
            <w:tcW w:w="987" w:type="pct"/>
            <w:vAlign w:val="center"/>
            <w:hideMark/>
          </w:tcPr>
          <w:p w14:paraId="7F5BB77D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 (a)</w:t>
            </w:r>
          </w:p>
        </w:tc>
        <w:tc>
          <w:tcPr>
            <w:tcW w:w="1339" w:type="pct"/>
            <w:vAlign w:val="center"/>
            <w:hideMark/>
          </w:tcPr>
          <w:p w14:paraId="7C9B2B85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Describe all statistical methods, including those used to control for confounding</w:t>
            </w:r>
          </w:p>
        </w:tc>
        <w:tc>
          <w:tcPr>
            <w:tcW w:w="1171" w:type="pct"/>
            <w:vAlign w:val="center"/>
            <w:hideMark/>
          </w:tcPr>
          <w:p w14:paraId="67E189EC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Section 2.6</w:t>
            </w:r>
          </w:p>
        </w:tc>
        <w:tc>
          <w:tcPr>
            <w:tcW w:w="1503" w:type="pct"/>
            <w:vAlign w:val="center"/>
            <w:hideMark/>
          </w:tcPr>
          <w:p w14:paraId="5274FF45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Multivariable Cox proportional hazards models adjusting for age, gender, comorbidities, and SOFA (or APS III in sensitivity).</w:t>
            </w:r>
          </w:p>
        </w:tc>
      </w:tr>
      <w:tr w:rsidR="002F4D11" w:rsidRPr="00123075" w14:paraId="750D785D" w14:textId="77777777" w:rsidTr="00123075">
        <w:trPr>
          <w:trHeight w:val="1531"/>
        </w:trPr>
        <w:tc>
          <w:tcPr>
            <w:tcW w:w="987" w:type="pct"/>
            <w:vAlign w:val="center"/>
            <w:hideMark/>
          </w:tcPr>
          <w:p w14:paraId="44BB475B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 (c)</w:t>
            </w:r>
          </w:p>
        </w:tc>
        <w:tc>
          <w:tcPr>
            <w:tcW w:w="1339" w:type="pct"/>
            <w:vAlign w:val="center"/>
            <w:hideMark/>
          </w:tcPr>
          <w:p w14:paraId="5FAD49D8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Explain how missing data were addressed</w:t>
            </w:r>
          </w:p>
        </w:tc>
        <w:tc>
          <w:tcPr>
            <w:tcW w:w="1171" w:type="pct"/>
            <w:vAlign w:val="center"/>
            <w:hideMark/>
          </w:tcPr>
          <w:p w14:paraId="15F6D0DE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Section 2.4</w:t>
            </w:r>
          </w:p>
        </w:tc>
        <w:tc>
          <w:tcPr>
            <w:tcW w:w="1503" w:type="pct"/>
            <w:vAlign w:val="center"/>
            <w:hideMark/>
          </w:tcPr>
          <w:p w14:paraId="38B78F9E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Multiple Imputation by Chained Equations (MICE) assuming missing at random (MAR); raw data used for descriptive tables.</w:t>
            </w:r>
          </w:p>
        </w:tc>
      </w:tr>
      <w:tr w:rsidR="002F4D11" w:rsidRPr="00123075" w14:paraId="2460B319" w14:textId="77777777" w:rsidTr="00123075">
        <w:trPr>
          <w:trHeight w:val="1487"/>
        </w:trPr>
        <w:tc>
          <w:tcPr>
            <w:tcW w:w="987" w:type="pct"/>
            <w:vAlign w:val="center"/>
            <w:hideMark/>
          </w:tcPr>
          <w:p w14:paraId="20CF6B11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12 (e)</w:t>
            </w:r>
          </w:p>
        </w:tc>
        <w:tc>
          <w:tcPr>
            <w:tcW w:w="1339" w:type="pct"/>
            <w:vAlign w:val="center"/>
            <w:hideMark/>
          </w:tcPr>
          <w:p w14:paraId="504B3893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Describe any sensitivity analyses</w:t>
            </w:r>
          </w:p>
        </w:tc>
        <w:tc>
          <w:tcPr>
            <w:tcW w:w="1171" w:type="pct"/>
            <w:vAlign w:val="center"/>
            <w:hideMark/>
          </w:tcPr>
          <w:p w14:paraId="70C65197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Section 2.6 + 3.5 + Supp Tables S3/S4</w:t>
            </w:r>
          </w:p>
        </w:tc>
        <w:tc>
          <w:tcPr>
            <w:tcW w:w="1503" w:type="pct"/>
            <w:vAlign w:val="center"/>
            <w:hideMark/>
          </w:tcPr>
          <w:p w14:paraId="0335072B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Yes: alternative clustering (k-means, hierarchical), k=3, APS III adjustment, different imputation strategies.</w:t>
            </w:r>
          </w:p>
        </w:tc>
      </w:tr>
      <w:tr w:rsidR="002F4D11" w:rsidRPr="00123075" w14:paraId="5AADFACE" w14:textId="77777777" w:rsidTr="00123075">
        <w:trPr>
          <w:trHeight w:val="280"/>
        </w:trPr>
        <w:tc>
          <w:tcPr>
            <w:tcW w:w="987" w:type="pct"/>
            <w:vAlign w:val="center"/>
            <w:hideMark/>
          </w:tcPr>
          <w:p w14:paraId="2CC37B96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Results</w:t>
            </w:r>
          </w:p>
        </w:tc>
        <w:tc>
          <w:tcPr>
            <w:tcW w:w="1339" w:type="pct"/>
            <w:vAlign w:val="center"/>
            <w:hideMark/>
          </w:tcPr>
          <w:p w14:paraId="6268E821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1" w:type="pct"/>
            <w:vAlign w:val="center"/>
            <w:hideMark/>
          </w:tcPr>
          <w:p w14:paraId="6D9E347E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3" w:type="pct"/>
            <w:vAlign w:val="center"/>
            <w:hideMark/>
          </w:tcPr>
          <w:p w14:paraId="6950C54D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F4D11" w:rsidRPr="00123075" w14:paraId="65854215" w14:textId="77777777" w:rsidTr="00123075">
        <w:trPr>
          <w:trHeight w:val="5320"/>
        </w:trPr>
        <w:tc>
          <w:tcPr>
            <w:tcW w:w="987" w:type="pct"/>
            <w:vAlign w:val="center"/>
            <w:hideMark/>
          </w:tcPr>
          <w:p w14:paraId="5F7B96E3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13 (a)</w:t>
            </w:r>
          </w:p>
        </w:tc>
        <w:tc>
          <w:tcPr>
            <w:tcW w:w="1339" w:type="pct"/>
            <w:vAlign w:val="center"/>
            <w:hideMark/>
          </w:tcPr>
          <w:p w14:paraId="23586B71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Report numbers of individuals at each stage of study — e.g., numbers potentially eligible, examined for eligibility, confirmed eligible, included in the study…</w:t>
            </w:r>
          </w:p>
        </w:tc>
        <w:tc>
          <w:tcPr>
            <w:tcW w:w="1171" w:type="pct"/>
            <w:vAlign w:val="center"/>
            <w:hideMark/>
          </w:tcPr>
          <w:p w14:paraId="121E93E3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Section 3.1 + Figure 1</w:t>
            </w:r>
          </w:p>
        </w:tc>
        <w:tc>
          <w:tcPr>
            <w:tcW w:w="1503" w:type="pct"/>
            <w:vAlign w:val="center"/>
            <w:hideMark/>
          </w:tcPr>
          <w:p w14:paraId="3A1C2A08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Yes: detailed flow (94,458 → 16,326 → 6,540 in MIMIC-IV; similar process in eICU-CRD) with Figure 1.</w:t>
            </w:r>
          </w:p>
        </w:tc>
      </w:tr>
      <w:tr w:rsidR="002F4D11" w:rsidRPr="00123075" w14:paraId="78E9F4A3" w14:textId="77777777" w:rsidTr="00123075">
        <w:trPr>
          <w:trHeight w:val="2400"/>
        </w:trPr>
        <w:tc>
          <w:tcPr>
            <w:tcW w:w="987" w:type="pct"/>
            <w:vAlign w:val="center"/>
            <w:hideMark/>
          </w:tcPr>
          <w:p w14:paraId="4444FCEA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14 (a)</w:t>
            </w:r>
          </w:p>
        </w:tc>
        <w:tc>
          <w:tcPr>
            <w:tcW w:w="1339" w:type="pct"/>
            <w:vAlign w:val="center"/>
            <w:hideMark/>
          </w:tcPr>
          <w:p w14:paraId="25A77C52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Give characteristics of study participants (e.g., demographic, clinical, social) and information on exposures and potential confounders</w:t>
            </w:r>
          </w:p>
        </w:tc>
        <w:tc>
          <w:tcPr>
            <w:tcW w:w="1171" w:type="pct"/>
            <w:vAlign w:val="center"/>
            <w:hideMark/>
          </w:tcPr>
          <w:p w14:paraId="25590B11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Table 1 + Table 2</w:t>
            </w:r>
          </w:p>
        </w:tc>
        <w:tc>
          <w:tcPr>
            <w:tcW w:w="1503" w:type="pct"/>
            <w:vAlign w:val="center"/>
            <w:hideMark/>
          </w:tcPr>
          <w:p w14:paraId="640A4445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Yes: detailed baseline tables stratified by mortality and by phenotype.</w:t>
            </w:r>
          </w:p>
        </w:tc>
      </w:tr>
      <w:tr w:rsidR="002F4D11" w:rsidRPr="00123075" w14:paraId="73922223" w14:textId="77777777" w:rsidTr="00123075">
        <w:trPr>
          <w:trHeight w:val="1726"/>
        </w:trPr>
        <w:tc>
          <w:tcPr>
            <w:tcW w:w="987" w:type="pct"/>
            <w:vAlign w:val="center"/>
            <w:hideMark/>
          </w:tcPr>
          <w:p w14:paraId="425B0ECB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15*</w:t>
            </w:r>
          </w:p>
        </w:tc>
        <w:tc>
          <w:tcPr>
            <w:tcW w:w="1339" w:type="pct"/>
            <w:vAlign w:val="center"/>
            <w:hideMark/>
          </w:tcPr>
          <w:p w14:paraId="3A536C12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Cohort study — Report numbers of outcome events or summary measures over time</w:t>
            </w:r>
          </w:p>
        </w:tc>
        <w:tc>
          <w:tcPr>
            <w:tcW w:w="1171" w:type="pct"/>
            <w:vAlign w:val="center"/>
            <w:hideMark/>
          </w:tcPr>
          <w:p w14:paraId="2D65BEB7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Table 1 + Table 2 + Section 3.4</w:t>
            </w:r>
          </w:p>
        </w:tc>
        <w:tc>
          <w:tcPr>
            <w:tcW w:w="1503" w:type="pct"/>
            <w:vAlign w:val="center"/>
            <w:hideMark/>
          </w:tcPr>
          <w:p w14:paraId="33523398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In-hospital mortality rates clearly reported (23.5% derivation, 32.3% validation; phenotype-specific rates provided).</w:t>
            </w:r>
          </w:p>
        </w:tc>
      </w:tr>
      <w:tr w:rsidR="002F4D11" w:rsidRPr="00123075" w14:paraId="6605B98F" w14:textId="77777777" w:rsidTr="00123075">
        <w:trPr>
          <w:trHeight w:val="3976"/>
        </w:trPr>
        <w:tc>
          <w:tcPr>
            <w:tcW w:w="987" w:type="pct"/>
            <w:vAlign w:val="center"/>
            <w:hideMark/>
          </w:tcPr>
          <w:p w14:paraId="48348356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16 (a)</w:t>
            </w:r>
          </w:p>
        </w:tc>
        <w:tc>
          <w:tcPr>
            <w:tcW w:w="1339" w:type="pct"/>
            <w:vAlign w:val="center"/>
            <w:hideMark/>
          </w:tcPr>
          <w:p w14:paraId="219F665E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Give unadjusted estimates and, if applicable, confounder-adjusted estimates and their precision (e.g., 95% confidence interval). Make clear which confounders were adjusted for and why they were included</w:t>
            </w:r>
          </w:p>
        </w:tc>
        <w:tc>
          <w:tcPr>
            <w:tcW w:w="1171" w:type="pct"/>
            <w:vAlign w:val="center"/>
            <w:hideMark/>
          </w:tcPr>
          <w:p w14:paraId="7B26DBBE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Section 3.4 + Figure 4</w:t>
            </w:r>
          </w:p>
        </w:tc>
        <w:tc>
          <w:tcPr>
            <w:tcW w:w="1503" w:type="pct"/>
            <w:vAlign w:val="center"/>
            <w:hideMark/>
          </w:tcPr>
          <w:p w14:paraId="1CC8FFB0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Yes: adjusted HR (aHR 2.24 [2.02–2.48] in MIMIC-IV; 1.39 [1.13–1.71] in eICU-CRD); NRI/IDI with p-values; confounders (age, gender, comorbidities, SOFA/APS III) clearly stated.</w:t>
            </w:r>
          </w:p>
        </w:tc>
      </w:tr>
      <w:tr w:rsidR="002F4D11" w:rsidRPr="00123075" w14:paraId="496EA735" w14:textId="77777777" w:rsidTr="00123075">
        <w:trPr>
          <w:trHeight w:val="2117"/>
        </w:trPr>
        <w:tc>
          <w:tcPr>
            <w:tcW w:w="987" w:type="pct"/>
            <w:vAlign w:val="center"/>
            <w:hideMark/>
          </w:tcPr>
          <w:p w14:paraId="04AC8CC0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1339" w:type="pct"/>
            <w:vAlign w:val="center"/>
            <w:hideMark/>
          </w:tcPr>
          <w:p w14:paraId="6AA06782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Report other analyses done — e.g., analyses of subgroups and interactions, and sensitivity analyses</w:t>
            </w:r>
          </w:p>
        </w:tc>
        <w:tc>
          <w:tcPr>
            <w:tcW w:w="1171" w:type="pct"/>
            <w:vAlign w:val="center"/>
            <w:hideMark/>
          </w:tcPr>
          <w:p w14:paraId="26AFC430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Section 3.5 + Supp Tables S3/S4</w:t>
            </w:r>
          </w:p>
        </w:tc>
        <w:tc>
          <w:tcPr>
            <w:tcW w:w="1503" w:type="pct"/>
            <w:vAlign w:val="center"/>
            <w:hideMark/>
          </w:tcPr>
          <w:p w14:paraId="400636BC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Yes: extensive sensitivity analyses with alternative clustering methods and APS III adjustment.</w:t>
            </w:r>
          </w:p>
        </w:tc>
      </w:tr>
      <w:tr w:rsidR="002F4D11" w:rsidRPr="00123075" w14:paraId="24813472" w14:textId="77777777" w:rsidTr="00123075">
        <w:trPr>
          <w:trHeight w:val="560"/>
        </w:trPr>
        <w:tc>
          <w:tcPr>
            <w:tcW w:w="987" w:type="pct"/>
            <w:vAlign w:val="center"/>
            <w:hideMark/>
          </w:tcPr>
          <w:p w14:paraId="35117F16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Discussion</w:t>
            </w:r>
          </w:p>
        </w:tc>
        <w:tc>
          <w:tcPr>
            <w:tcW w:w="1339" w:type="pct"/>
            <w:vAlign w:val="center"/>
            <w:hideMark/>
          </w:tcPr>
          <w:p w14:paraId="7B4538DE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1" w:type="pct"/>
            <w:vAlign w:val="center"/>
            <w:hideMark/>
          </w:tcPr>
          <w:p w14:paraId="29A3A099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3" w:type="pct"/>
            <w:vAlign w:val="center"/>
            <w:hideMark/>
          </w:tcPr>
          <w:p w14:paraId="0554E27B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F4D11" w:rsidRPr="00123075" w14:paraId="3CE7D799" w14:textId="77777777" w:rsidTr="00123075">
        <w:trPr>
          <w:trHeight w:val="1960"/>
        </w:trPr>
        <w:tc>
          <w:tcPr>
            <w:tcW w:w="987" w:type="pct"/>
            <w:vAlign w:val="center"/>
            <w:hideMark/>
          </w:tcPr>
          <w:p w14:paraId="0BC5AFE4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1339" w:type="pct"/>
            <w:vAlign w:val="center"/>
            <w:hideMark/>
          </w:tcPr>
          <w:p w14:paraId="39F97354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Summarise</w:t>
            </w:r>
            <w:proofErr w:type="spellEnd"/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key results with reference to study objectives</w:t>
            </w:r>
          </w:p>
        </w:tc>
        <w:tc>
          <w:tcPr>
            <w:tcW w:w="1171" w:type="pct"/>
            <w:vAlign w:val="center"/>
            <w:hideMark/>
          </w:tcPr>
          <w:p w14:paraId="31CA2B84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Section 4 (first paragraph)</w:t>
            </w:r>
          </w:p>
        </w:tc>
        <w:tc>
          <w:tcPr>
            <w:tcW w:w="1503" w:type="pct"/>
            <w:vAlign w:val="center"/>
            <w:hideMark/>
          </w:tcPr>
          <w:p w14:paraId="33F4442A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Yes.</w:t>
            </w:r>
          </w:p>
        </w:tc>
      </w:tr>
      <w:tr w:rsidR="002F4D11" w:rsidRPr="00123075" w14:paraId="436F1306" w14:textId="77777777" w:rsidTr="00123075">
        <w:trPr>
          <w:trHeight w:val="2690"/>
        </w:trPr>
        <w:tc>
          <w:tcPr>
            <w:tcW w:w="987" w:type="pct"/>
            <w:vAlign w:val="center"/>
            <w:hideMark/>
          </w:tcPr>
          <w:p w14:paraId="2546E858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lastRenderedPageBreak/>
              <w:t>19</w:t>
            </w:r>
          </w:p>
        </w:tc>
        <w:tc>
          <w:tcPr>
            <w:tcW w:w="1339" w:type="pct"/>
            <w:vAlign w:val="center"/>
            <w:hideMark/>
          </w:tcPr>
          <w:p w14:paraId="2C4C30B1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1171" w:type="pct"/>
            <w:vAlign w:val="center"/>
            <w:hideMark/>
          </w:tcPr>
          <w:p w14:paraId="01F4BD0A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Section 4 (limitations paragraph)</w:t>
            </w:r>
          </w:p>
        </w:tc>
        <w:tc>
          <w:tcPr>
            <w:tcW w:w="1503" w:type="pct"/>
            <w:vAlign w:val="center"/>
            <w:hideMark/>
          </w:tcPr>
          <w:p w14:paraId="2504C7BB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Yes: retrospective design, selection/information bias, SOFA underestimation in MIMIC-IV, admission-only data, residual confounding. Addressed via sensitivity analyses.</w:t>
            </w:r>
          </w:p>
        </w:tc>
      </w:tr>
      <w:tr w:rsidR="002F4D11" w:rsidRPr="00123075" w14:paraId="13856341" w14:textId="77777777" w:rsidTr="00123075">
        <w:trPr>
          <w:trHeight w:val="3246"/>
        </w:trPr>
        <w:tc>
          <w:tcPr>
            <w:tcW w:w="987" w:type="pct"/>
            <w:vAlign w:val="center"/>
            <w:hideMark/>
          </w:tcPr>
          <w:p w14:paraId="17399F9B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1339" w:type="pct"/>
            <w:vAlign w:val="center"/>
            <w:hideMark/>
          </w:tcPr>
          <w:p w14:paraId="18ACA94B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1171" w:type="pct"/>
            <w:vAlign w:val="center"/>
            <w:hideMark/>
          </w:tcPr>
          <w:p w14:paraId="32E76DA0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Section 4</w:t>
            </w:r>
          </w:p>
        </w:tc>
        <w:tc>
          <w:tcPr>
            <w:tcW w:w="1503" w:type="pct"/>
            <w:vAlign w:val="center"/>
            <w:hideMark/>
          </w:tcPr>
          <w:p w14:paraId="7365629F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Yes, cautious interpretation with emphasis on external validation and incremental value.</w:t>
            </w:r>
          </w:p>
        </w:tc>
      </w:tr>
      <w:tr w:rsidR="002F4D11" w:rsidRPr="00123075" w14:paraId="4CF67AB4" w14:textId="77777777" w:rsidTr="00123075">
        <w:trPr>
          <w:trHeight w:val="1934"/>
        </w:trPr>
        <w:tc>
          <w:tcPr>
            <w:tcW w:w="987" w:type="pct"/>
            <w:vAlign w:val="center"/>
            <w:hideMark/>
          </w:tcPr>
          <w:p w14:paraId="7F3D60E4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1339" w:type="pct"/>
            <w:vAlign w:val="center"/>
            <w:hideMark/>
          </w:tcPr>
          <w:p w14:paraId="70BB1871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Discuss the </w:t>
            </w:r>
            <w:proofErr w:type="spellStart"/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generalisability</w:t>
            </w:r>
            <w:proofErr w:type="spellEnd"/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 (external validity) of the study results</w:t>
            </w:r>
          </w:p>
        </w:tc>
        <w:tc>
          <w:tcPr>
            <w:tcW w:w="1171" w:type="pct"/>
            <w:vAlign w:val="center"/>
            <w:hideMark/>
          </w:tcPr>
          <w:p w14:paraId="54A58C94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Section 4</w:t>
            </w:r>
          </w:p>
        </w:tc>
        <w:tc>
          <w:tcPr>
            <w:tcW w:w="1503" w:type="pct"/>
            <w:vAlign w:val="center"/>
            <w:hideMark/>
          </w:tcPr>
          <w:p w14:paraId="6E0EE866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External validation in eICU-CRD (different hospitals) supports </w:t>
            </w:r>
            <w:proofErr w:type="spellStart"/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generalisability</w:t>
            </w:r>
            <w:proofErr w:type="spellEnd"/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; limitations of Western databases noted.</w:t>
            </w:r>
          </w:p>
        </w:tc>
      </w:tr>
      <w:tr w:rsidR="002F4D11" w:rsidRPr="00123075" w14:paraId="1A2DEB02" w14:textId="77777777" w:rsidTr="00123075">
        <w:trPr>
          <w:trHeight w:val="840"/>
        </w:trPr>
        <w:tc>
          <w:tcPr>
            <w:tcW w:w="987" w:type="pct"/>
            <w:vAlign w:val="center"/>
            <w:hideMark/>
          </w:tcPr>
          <w:p w14:paraId="26CE29BA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  <w:t>Other information</w:t>
            </w:r>
          </w:p>
        </w:tc>
        <w:tc>
          <w:tcPr>
            <w:tcW w:w="1339" w:type="pct"/>
            <w:vAlign w:val="center"/>
            <w:hideMark/>
          </w:tcPr>
          <w:p w14:paraId="4E239258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71" w:type="pct"/>
            <w:vAlign w:val="center"/>
            <w:hideMark/>
          </w:tcPr>
          <w:p w14:paraId="45B228A3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03" w:type="pct"/>
            <w:vAlign w:val="center"/>
            <w:hideMark/>
          </w:tcPr>
          <w:p w14:paraId="5ECDD9EB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2F4D11" w:rsidRPr="00123075" w14:paraId="0574E0E7" w14:textId="77777777" w:rsidTr="00123075">
        <w:trPr>
          <w:trHeight w:val="2297"/>
        </w:trPr>
        <w:tc>
          <w:tcPr>
            <w:tcW w:w="987" w:type="pct"/>
            <w:vAlign w:val="center"/>
            <w:hideMark/>
          </w:tcPr>
          <w:p w14:paraId="6E9D6F02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1339" w:type="pct"/>
            <w:vAlign w:val="center"/>
            <w:hideMark/>
          </w:tcPr>
          <w:p w14:paraId="28B8A447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Give the source of funding and the role of the funders for the present study…</w:t>
            </w:r>
          </w:p>
        </w:tc>
        <w:tc>
          <w:tcPr>
            <w:tcW w:w="1171" w:type="pct"/>
            <w:vAlign w:val="center"/>
            <w:hideMark/>
          </w:tcPr>
          <w:p w14:paraId="4E82F7B5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Section 10 (Funding)</w:t>
            </w:r>
          </w:p>
        </w:tc>
        <w:tc>
          <w:tcPr>
            <w:tcW w:w="1503" w:type="pct"/>
            <w:vAlign w:val="center"/>
            <w:hideMark/>
          </w:tcPr>
          <w:p w14:paraId="1165B246" w14:textId="77777777" w:rsidR="002F4D11" w:rsidRPr="00123075" w:rsidRDefault="002F4D11" w:rsidP="00123075">
            <w:pPr>
              <w:widowControl/>
              <w:spacing w:line="24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123075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Tianjin Key Medical Discipline Construction Project (No. TJYXZDXK-3-032C). Funders had no role in study design, analysis, or publication.</w:t>
            </w:r>
          </w:p>
        </w:tc>
      </w:tr>
    </w:tbl>
    <w:p w14:paraId="576F3CD2" w14:textId="77777777" w:rsidR="00AA40D4" w:rsidRPr="00123075" w:rsidRDefault="00AA40D4" w:rsidP="00123075">
      <w:pPr>
        <w:jc w:val="left"/>
        <w:rPr>
          <w:rFonts w:ascii="Times New Roman" w:eastAsiaTheme="minorEastAsia" w:hAnsi="Times New Roman" w:cs="Times New Roman"/>
        </w:rPr>
      </w:pPr>
    </w:p>
    <w:sectPr w:rsidR="00AA40D4" w:rsidRPr="001230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9A8"/>
    <w:rsid w:val="00123075"/>
    <w:rsid w:val="002F4D11"/>
    <w:rsid w:val="005446BB"/>
    <w:rsid w:val="005D1EDE"/>
    <w:rsid w:val="007C19A8"/>
    <w:rsid w:val="007C1A5B"/>
    <w:rsid w:val="00AA40D4"/>
    <w:rsid w:val="00C04358"/>
    <w:rsid w:val="00E1731A"/>
    <w:rsid w:val="00E336CC"/>
    <w:rsid w:val="00EA17FC"/>
    <w:rsid w:val="00FE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0BA03"/>
  <w15:chartTrackingRefBased/>
  <w15:docId w15:val="{BD13977D-1E19-4A02-A42F-224462E5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17FC"/>
    <w:pPr>
      <w:widowControl w:val="0"/>
      <w:spacing w:line="360" w:lineRule="auto"/>
      <w:jc w:val="both"/>
    </w:pPr>
    <w:rPr>
      <w:rFonts w:eastAsia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C19A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1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aliases w:val="Abstract"/>
    <w:basedOn w:val="a"/>
    <w:next w:val="a"/>
    <w:link w:val="30"/>
    <w:uiPriority w:val="9"/>
    <w:unhideWhenUsed/>
    <w:qFormat/>
    <w:rsid w:val="00FE561D"/>
    <w:pPr>
      <w:keepNext/>
      <w:keepLines/>
      <w:spacing w:before="260" w:after="260" w:line="400" w:lineRule="exact"/>
      <w:jc w:val="center"/>
      <w:outlineLvl w:val="2"/>
    </w:pPr>
    <w:rPr>
      <w:b/>
      <w:bCs/>
      <w:sz w:val="32"/>
      <w:szCs w:val="32"/>
    </w:rPr>
  </w:style>
  <w:style w:type="paragraph" w:styleId="4">
    <w:name w:val="heading 4"/>
    <w:aliases w:val="Key words"/>
    <w:basedOn w:val="a"/>
    <w:next w:val="a"/>
    <w:link w:val="40"/>
    <w:uiPriority w:val="9"/>
    <w:unhideWhenUsed/>
    <w:qFormat/>
    <w:rsid w:val="00FE561D"/>
    <w:pPr>
      <w:keepNext/>
      <w:keepLines/>
      <w:spacing w:before="280" w:after="290" w:line="376" w:lineRule="auto"/>
      <w:outlineLvl w:val="3"/>
    </w:pPr>
    <w:rPr>
      <w:rFonts w:asciiTheme="majorHAnsi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C19A8"/>
    <w:pPr>
      <w:keepNext/>
      <w:keepLines/>
      <w:spacing w:before="80" w:after="40"/>
      <w:outlineLvl w:val="4"/>
    </w:pPr>
    <w:rPr>
      <w:rFonts w:eastAsiaTheme="minorEastAsia" w:cstheme="majorBidi"/>
      <w:color w:val="2F5496" w:themeColor="accent1" w:themeShade="BF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C19A8"/>
    <w:pPr>
      <w:keepNext/>
      <w:keepLines/>
      <w:spacing w:before="40"/>
      <w:outlineLvl w:val="5"/>
    </w:pPr>
    <w:rPr>
      <w:rFonts w:eastAsiaTheme="minorEastAsia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C19A8"/>
    <w:pPr>
      <w:keepNext/>
      <w:keepLines/>
      <w:spacing w:before="40"/>
      <w:outlineLvl w:val="6"/>
    </w:pPr>
    <w:rPr>
      <w:rFonts w:eastAsiaTheme="minorEastAsia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C19A8"/>
    <w:pPr>
      <w:keepNext/>
      <w:keepLines/>
      <w:outlineLvl w:val="7"/>
    </w:pPr>
    <w:rPr>
      <w:rFonts w:eastAsiaTheme="minorEastAsia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C19A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aliases w:val="Abstract 字符"/>
    <w:basedOn w:val="a0"/>
    <w:link w:val="3"/>
    <w:uiPriority w:val="9"/>
    <w:rsid w:val="00FE561D"/>
    <w:rPr>
      <w:rFonts w:eastAsia="Times New Roman"/>
      <w:b/>
      <w:bCs/>
      <w:sz w:val="32"/>
      <w:szCs w:val="32"/>
    </w:rPr>
  </w:style>
  <w:style w:type="character" w:customStyle="1" w:styleId="40">
    <w:name w:val="标题 4 字符"/>
    <w:aliases w:val="Key words 字符"/>
    <w:basedOn w:val="a0"/>
    <w:link w:val="4"/>
    <w:uiPriority w:val="9"/>
    <w:rsid w:val="00FE561D"/>
    <w:rPr>
      <w:rFonts w:asciiTheme="majorHAnsi" w:eastAsia="Times New Roman" w:hAnsiTheme="majorHAnsi" w:cstheme="majorBidi"/>
      <w:b/>
      <w:bCs/>
      <w:sz w:val="28"/>
      <w:szCs w:val="28"/>
    </w:rPr>
  </w:style>
  <w:style w:type="character" w:customStyle="1" w:styleId="10">
    <w:name w:val="标题 1 字符"/>
    <w:basedOn w:val="a0"/>
    <w:link w:val="1"/>
    <w:uiPriority w:val="9"/>
    <w:rsid w:val="007C19A8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C19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50">
    <w:name w:val="标题 5 字符"/>
    <w:basedOn w:val="a0"/>
    <w:link w:val="5"/>
    <w:uiPriority w:val="9"/>
    <w:semiHidden/>
    <w:rsid w:val="007C19A8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C19A8"/>
    <w:rPr>
      <w:rFonts w:cstheme="majorBidi"/>
      <w:b/>
      <w:bCs/>
      <w:color w:val="2F5496" w:themeColor="accent1" w:themeShade="BF"/>
      <w:sz w:val="24"/>
    </w:rPr>
  </w:style>
  <w:style w:type="character" w:customStyle="1" w:styleId="70">
    <w:name w:val="标题 7 字符"/>
    <w:basedOn w:val="a0"/>
    <w:link w:val="7"/>
    <w:uiPriority w:val="9"/>
    <w:semiHidden/>
    <w:rsid w:val="007C19A8"/>
    <w:rPr>
      <w:rFonts w:cstheme="majorBidi"/>
      <w:b/>
      <w:bCs/>
      <w:color w:val="595959" w:themeColor="text1" w:themeTint="A6"/>
      <w:sz w:val="24"/>
    </w:rPr>
  </w:style>
  <w:style w:type="character" w:customStyle="1" w:styleId="80">
    <w:name w:val="标题 8 字符"/>
    <w:basedOn w:val="a0"/>
    <w:link w:val="8"/>
    <w:uiPriority w:val="9"/>
    <w:semiHidden/>
    <w:rsid w:val="007C19A8"/>
    <w:rPr>
      <w:rFonts w:cstheme="majorBidi"/>
      <w:color w:val="595959" w:themeColor="text1" w:themeTint="A6"/>
      <w:sz w:val="24"/>
    </w:rPr>
  </w:style>
  <w:style w:type="character" w:customStyle="1" w:styleId="90">
    <w:name w:val="标题 9 字符"/>
    <w:basedOn w:val="a0"/>
    <w:link w:val="9"/>
    <w:uiPriority w:val="9"/>
    <w:semiHidden/>
    <w:rsid w:val="007C19A8"/>
    <w:rPr>
      <w:rFonts w:eastAsiaTheme="majorEastAsia" w:cstheme="majorBidi"/>
      <w:color w:val="595959" w:themeColor="text1" w:themeTint="A6"/>
      <w:sz w:val="24"/>
    </w:rPr>
  </w:style>
  <w:style w:type="paragraph" w:styleId="a3">
    <w:name w:val="Title"/>
    <w:basedOn w:val="a"/>
    <w:next w:val="a"/>
    <w:link w:val="a4"/>
    <w:uiPriority w:val="10"/>
    <w:qFormat/>
    <w:rsid w:val="007C19A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C1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C19A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C19A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C19A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C19A8"/>
    <w:rPr>
      <w:rFonts w:eastAsia="Times New Roman"/>
      <w:i/>
      <w:iCs/>
      <w:color w:val="404040" w:themeColor="text1" w:themeTint="BF"/>
      <w:sz w:val="24"/>
    </w:rPr>
  </w:style>
  <w:style w:type="paragraph" w:styleId="a9">
    <w:name w:val="List Paragraph"/>
    <w:basedOn w:val="a"/>
    <w:uiPriority w:val="34"/>
    <w:qFormat/>
    <w:rsid w:val="007C19A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C19A8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C19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C19A8"/>
    <w:rPr>
      <w:rFonts w:eastAsia="Times New Roman"/>
      <w:i/>
      <w:iCs/>
      <w:color w:val="2F5496" w:themeColor="accent1" w:themeShade="BF"/>
      <w:sz w:val="24"/>
    </w:rPr>
  </w:style>
  <w:style w:type="character" w:styleId="ad">
    <w:name w:val="Intense Reference"/>
    <w:basedOn w:val="a0"/>
    <w:uiPriority w:val="32"/>
    <w:qFormat/>
    <w:rsid w:val="007C19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1035</Words>
  <Characters>5900</Characters>
  <Application>Microsoft Office Word</Application>
  <DocSecurity>0</DocSecurity>
  <Lines>49</Lines>
  <Paragraphs>13</Paragraphs>
  <ScaleCrop>false</ScaleCrop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chenxi Wang</dc:creator>
  <cp:keywords/>
  <dc:description/>
  <cp:lastModifiedBy>chenxi Wang</cp:lastModifiedBy>
  <cp:revision>3</cp:revision>
  <dcterms:created xsi:type="dcterms:W3CDTF">2026-04-07T18:56:00Z</dcterms:created>
  <dcterms:modified xsi:type="dcterms:W3CDTF">2026-04-09T07:22:00Z</dcterms:modified>
</cp:coreProperties>
</file>