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931F2" w14:textId="77777777" w:rsidR="00F039C5" w:rsidRPr="00F039C5" w:rsidRDefault="00BC5E2C" w:rsidP="00F039C5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F039C5">
        <w:rPr>
          <w:rFonts w:ascii="Times New Roman" w:hAnsi="Times New Roman" w:cs="Times New Roman"/>
          <w:b/>
          <w:bCs/>
          <w:sz w:val="21"/>
          <w:szCs w:val="21"/>
        </w:rPr>
        <w:t xml:space="preserve">Supplementary Table S1. </w:t>
      </w:r>
      <w:r w:rsidR="00F039C5" w:rsidRPr="00F039C5">
        <w:rPr>
          <w:rFonts w:ascii="Times New Roman" w:hAnsi="Times New Roman" w:cs="Times New Roman"/>
          <w:b/>
          <w:bCs/>
          <w:sz w:val="21"/>
          <w:szCs w:val="21"/>
        </w:rPr>
        <w:t>Comparison of Multivariable Logistic Regression Coefficients and Odds Ratios Between the Primary Multiple Imputation Model and Complete-Case Sensitivity Analysis (</w:t>
      </w:r>
      <w:r w:rsidR="00F039C5" w:rsidRPr="00F039C5">
        <w:rPr>
          <w:rFonts w:ascii="Times New Roman" w:hAnsi="Times New Roman" w:cs="Times New Roman"/>
          <w:b/>
          <w:bCs/>
          <w:i/>
          <w:iCs/>
          <w:sz w:val="21"/>
          <w:szCs w:val="21"/>
        </w:rPr>
        <w:t>n</w:t>
      </w:r>
      <w:r w:rsidR="00F039C5" w:rsidRPr="00F039C5">
        <w:rPr>
          <w:rFonts w:ascii="Times New Roman" w:hAnsi="Times New Roman" w:cs="Times New Roman"/>
          <w:b/>
          <w:bCs/>
          <w:sz w:val="21"/>
          <w:szCs w:val="21"/>
        </w:rPr>
        <w:t xml:space="preserve"> = 5,941)</w:t>
      </w:r>
    </w:p>
    <w:tbl>
      <w:tblPr>
        <w:tblW w:w="5000" w:type="pct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8"/>
        <w:gridCol w:w="2250"/>
        <w:gridCol w:w="2200"/>
        <w:gridCol w:w="1681"/>
        <w:gridCol w:w="1077"/>
      </w:tblGrid>
      <w:tr w:rsidR="00F039C5" w:rsidRPr="00F039C5" w14:paraId="504E2C6B" w14:textId="77777777" w:rsidTr="00F039C5">
        <w:trPr>
          <w:tblHeader/>
          <w:tblCellSpacing w:w="15" w:type="dxa"/>
        </w:trPr>
        <w:tc>
          <w:tcPr>
            <w:tcW w:w="634" w:type="pct"/>
            <w:vAlign w:val="center"/>
            <w:hideMark/>
          </w:tcPr>
          <w:p w14:paraId="20828BEF" w14:textId="77777777" w:rsidR="00F039C5" w:rsidRPr="00F039C5" w:rsidRDefault="00F039C5" w:rsidP="00F039C5">
            <w:pPr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336" w:type="pct"/>
            <w:vAlign w:val="center"/>
            <w:hideMark/>
          </w:tcPr>
          <w:p w14:paraId="1544A560" w14:textId="77777777" w:rsidR="00F039C5" w:rsidRPr="00F039C5" w:rsidRDefault="00F039C5" w:rsidP="00F039C5">
            <w:pPr>
              <w:jc w:val="lef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 xml:space="preserve">Imputed Model (Primary) Coef </w:t>
            </w:r>
          </w:p>
          <w:p w14:paraId="4B3F0519" w14:textId="532388D1" w:rsidR="00F039C5" w:rsidRPr="00F039C5" w:rsidRDefault="00F039C5" w:rsidP="00F039C5">
            <w:pPr>
              <w:jc w:val="lef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(OR, 95% CI)</w:t>
            </w:r>
          </w:p>
        </w:tc>
        <w:tc>
          <w:tcPr>
            <w:tcW w:w="1306" w:type="pct"/>
            <w:vAlign w:val="center"/>
            <w:hideMark/>
          </w:tcPr>
          <w:p w14:paraId="5AD90862" w14:textId="77777777" w:rsidR="00F039C5" w:rsidRPr="00F039C5" w:rsidRDefault="00F039C5" w:rsidP="00F039C5">
            <w:pPr>
              <w:jc w:val="lef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 xml:space="preserve">Complete-Case Analysis Coef </w:t>
            </w:r>
          </w:p>
          <w:p w14:paraId="4BB36F8A" w14:textId="1FBAC30A" w:rsidR="00F039C5" w:rsidRPr="00F039C5" w:rsidRDefault="00F039C5" w:rsidP="00F039C5">
            <w:pPr>
              <w:jc w:val="lef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(OR, 95% CI)</w:t>
            </w:r>
          </w:p>
        </w:tc>
        <w:tc>
          <w:tcPr>
            <w:tcW w:w="994" w:type="pct"/>
            <w:vAlign w:val="center"/>
            <w:hideMark/>
          </w:tcPr>
          <w:p w14:paraId="3DCAEAB5" w14:textId="77777777" w:rsidR="00F039C5" w:rsidRPr="00F039C5" w:rsidRDefault="00F039C5" w:rsidP="00F039C5">
            <w:pPr>
              <w:jc w:val="lef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Change in Coef (%)</w:t>
            </w:r>
          </w:p>
        </w:tc>
        <w:tc>
          <w:tcPr>
            <w:tcW w:w="621" w:type="pct"/>
            <w:vAlign w:val="center"/>
            <w:hideMark/>
          </w:tcPr>
          <w:p w14:paraId="2C9AF8F9" w14:textId="6B185399" w:rsidR="00F039C5" w:rsidRPr="00F039C5" w:rsidRDefault="00F039C5" w:rsidP="00F039C5">
            <w:pPr>
              <w:jc w:val="lef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 w:hint="eastAsia"/>
                <w:b/>
                <w:bCs/>
                <w:i/>
                <w:iCs/>
                <w:sz w:val="18"/>
                <w:szCs w:val="18"/>
              </w:rPr>
              <w:t>p</w:t>
            </w:r>
            <w:r w:rsidRPr="00F039C5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8"/>
                <w:szCs w:val="18"/>
              </w:rPr>
              <w:t>-</w:t>
            </w:r>
            <w:r w:rsidRPr="00F039C5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value (Complete-Case)</w:t>
            </w:r>
          </w:p>
        </w:tc>
      </w:tr>
      <w:tr w:rsidR="00F039C5" w:rsidRPr="00F039C5" w14:paraId="3728F470" w14:textId="77777777" w:rsidTr="00F039C5">
        <w:trPr>
          <w:tblCellSpacing w:w="15" w:type="dxa"/>
        </w:trPr>
        <w:tc>
          <w:tcPr>
            <w:tcW w:w="634" w:type="pct"/>
            <w:tcBorders>
              <w:top w:val="single" w:sz="4" w:space="0" w:color="auto"/>
            </w:tcBorders>
            <w:vAlign w:val="center"/>
            <w:hideMark/>
          </w:tcPr>
          <w:p w14:paraId="620AD50B" w14:textId="77777777" w:rsidR="00F039C5" w:rsidRPr="00F039C5" w:rsidRDefault="00F039C5" w:rsidP="00F039C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Age, y</w:t>
            </w:r>
          </w:p>
        </w:tc>
        <w:tc>
          <w:tcPr>
            <w:tcW w:w="1336" w:type="pct"/>
            <w:tcBorders>
              <w:top w:val="single" w:sz="4" w:space="0" w:color="auto"/>
            </w:tcBorders>
            <w:vAlign w:val="center"/>
            <w:hideMark/>
          </w:tcPr>
          <w:p w14:paraId="549BEE79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0.0523 (1.054, 1.040–1.067)</w:t>
            </w:r>
          </w:p>
        </w:tc>
        <w:tc>
          <w:tcPr>
            <w:tcW w:w="1306" w:type="pct"/>
            <w:tcBorders>
              <w:top w:val="single" w:sz="4" w:space="0" w:color="auto"/>
            </w:tcBorders>
            <w:vAlign w:val="center"/>
            <w:hideMark/>
          </w:tcPr>
          <w:p w14:paraId="7D186BE0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0.0523 (1.054, 1.040–1.067)</w:t>
            </w:r>
          </w:p>
        </w:tc>
        <w:tc>
          <w:tcPr>
            <w:tcW w:w="994" w:type="pct"/>
            <w:tcBorders>
              <w:top w:val="single" w:sz="4" w:space="0" w:color="auto"/>
            </w:tcBorders>
            <w:vAlign w:val="center"/>
            <w:hideMark/>
          </w:tcPr>
          <w:p w14:paraId="2CEF5B00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0.02%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  <w:hideMark/>
          </w:tcPr>
          <w:p w14:paraId="7582D4C1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&lt; 0.001</w:t>
            </w:r>
          </w:p>
        </w:tc>
      </w:tr>
      <w:tr w:rsidR="00F039C5" w:rsidRPr="00F039C5" w14:paraId="28B1885B" w14:textId="77777777" w:rsidTr="00F039C5">
        <w:trPr>
          <w:tblCellSpacing w:w="15" w:type="dxa"/>
        </w:trPr>
        <w:tc>
          <w:tcPr>
            <w:tcW w:w="634" w:type="pct"/>
            <w:vAlign w:val="center"/>
            <w:hideMark/>
          </w:tcPr>
          <w:p w14:paraId="39363E23" w14:textId="77777777" w:rsidR="00F039C5" w:rsidRPr="00F039C5" w:rsidRDefault="00F039C5" w:rsidP="00F039C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LAR</w:t>
            </w:r>
          </w:p>
        </w:tc>
        <w:tc>
          <w:tcPr>
            <w:tcW w:w="1336" w:type="pct"/>
            <w:vAlign w:val="center"/>
            <w:hideMark/>
          </w:tcPr>
          <w:p w14:paraId="70FA8932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0.5965 (1.816, 1.606–2.053)</w:t>
            </w:r>
          </w:p>
        </w:tc>
        <w:tc>
          <w:tcPr>
            <w:tcW w:w="1306" w:type="pct"/>
            <w:vAlign w:val="center"/>
            <w:hideMark/>
          </w:tcPr>
          <w:p w14:paraId="566E441D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0.5965 (1.816, 1.606–2.053)</w:t>
            </w:r>
          </w:p>
        </w:tc>
        <w:tc>
          <w:tcPr>
            <w:tcW w:w="994" w:type="pct"/>
            <w:vAlign w:val="center"/>
            <w:hideMark/>
          </w:tcPr>
          <w:p w14:paraId="5F37FD9A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0.00%</w:t>
            </w:r>
          </w:p>
        </w:tc>
        <w:tc>
          <w:tcPr>
            <w:tcW w:w="621" w:type="pct"/>
            <w:vAlign w:val="center"/>
            <w:hideMark/>
          </w:tcPr>
          <w:p w14:paraId="0208DA76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&lt; 0.001</w:t>
            </w:r>
          </w:p>
        </w:tc>
      </w:tr>
      <w:tr w:rsidR="00F039C5" w:rsidRPr="00F039C5" w14:paraId="25543269" w14:textId="77777777" w:rsidTr="00F039C5">
        <w:trPr>
          <w:tblCellSpacing w:w="15" w:type="dxa"/>
        </w:trPr>
        <w:tc>
          <w:tcPr>
            <w:tcW w:w="634" w:type="pct"/>
            <w:vAlign w:val="center"/>
            <w:hideMark/>
          </w:tcPr>
          <w:p w14:paraId="3DC8DA56" w14:textId="17C94723" w:rsidR="00F039C5" w:rsidRPr="00F039C5" w:rsidRDefault="00F039C5" w:rsidP="00F039C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SaO</w:t>
            </w:r>
            <w:r w:rsidRPr="00F039C5">
              <w:rPr>
                <w:rFonts w:ascii="Times New Roman" w:eastAsiaTheme="minorEastAsia" w:hAnsi="Times New Roman" w:cs="Times New Roman" w:hint="eastAsia"/>
                <w:sz w:val="18"/>
                <w:szCs w:val="18"/>
                <w:vertAlign w:val="subscript"/>
              </w:rPr>
              <w:t>2</w:t>
            </w: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1336" w:type="pct"/>
            <w:vAlign w:val="center"/>
            <w:hideMark/>
          </w:tcPr>
          <w:p w14:paraId="5D6CE677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-0.0230 (0.977, 0.971–0.983)</w:t>
            </w:r>
          </w:p>
        </w:tc>
        <w:tc>
          <w:tcPr>
            <w:tcW w:w="1306" w:type="pct"/>
            <w:vAlign w:val="center"/>
            <w:hideMark/>
          </w:tcPr>
          <w:p w14:paraId="35D2392D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-0.0230 (0.977, 0.971–0.983)</w:t>
            </w:r>
          </w:p>
        </w:tc>
        <w:tc>
          <w:tcPr>
            <w:tcW w:w="994" w:type="pct"/>
            <w:vAlign w:val="center"/>
            <w:hideMark/>
          </w:tcPr>
          <w:p w14:paraId="5CE833EF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0.09%</w:t>
            </w:r>
          </w:p>
        </w:tc>
        <w:tc>
          <w:tcPr>
            <w:tcW w:w="621" w:type="pct"/>
            <w:vAlign w:val="center"/>
            <w:hideMark/>
          </w:tcPr>
          <w:p w14:paraId="531D47B1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&lt; 0.001</w:t>
            </w:r>
          </w:p>
        </w:tc>
      </w:tr>
      <w:tr w:rsidR="00F039C5" w:rsidRPr="00F039C5" w14:paraId="5EEFB7A2" w14:textId="77777777" w:rsidTr="00F039C5">
        <w:trPr>
          <w:tblCellSpacing w:w="15" w:type="dxa"/>
        </w:trPr>
        <w:tc>
          <w:tcPr>
            <w:tcW w:w="634" w:type="pct"/>
            <w:vAlign w:val="center"/>
            <w:hideMark/>
          </w:tcPr>
          <w:p w14:paraId="2A1EA935" w14:textId="55871CE3" w:rsidR="00F039C5" w:rsidRPr="00F039C5" w:rsidRDefault="00A418E9" w:rsidP="00F039C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A418E9">
              <w:rPr>
                <w:rFonts w:ascii="Times New Roman" w:eastAsiaTheme="minorEastAsia" w:hAnsi="Times New Roman" w:cs="Times New Roman"/>
                <w:sz w:val="18"/>
                <w:szCs w:val="18"/>
              </w:rPr>
              <w:t>Glucose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 xml:space="preserve"> </w:t>
            </w:r>
            <w:r w:rsidR="00F039C5"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mg/dL</w:t>
            </w:r>
          </w:p>
        </w:tc>
        <w:tc>
          <w:tcPr>
            <w:tcW w:w="1336" w:type="pct"/>
            <w:vAlign w:val="center"/>
            <w:hideMark/>
          </w:tcPr>
          <w:p w14:paraId="754E1F88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0.0019 (1.002, 1.001–1.003)</w:t>
            </w:r>
          </w:p>
        </w:tc>
        <w:tc>
          <w:tcPr>
            <w:tcW w:w="1306" w:type="pct"/>
            <w:vAlign w:val="center"/>
            <w:hideMark/>
          </w:tcPr>
          <w:p w14:paraId="511C96F9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0.0019 (1.002, 1.001–1.003)</w:t>
            </w:r>
          </w:p>
        </w:tc>
        <w:tc>
          <w:tcPr>
            <w:tcW w:w="994" w:type="pct"/>
            <w:vAlign w:val="center"/>
            <w:hideMark/>
          </w:tcPr>
          <w:p w14:paraId="50D89DF5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2.04%</w:t>
            </w:r>
          </w:p>
        </w:tc>
        <w:tc>
          <w:tcPr>
            <w:tcW w:w="621" w:type="pct"/>
            <w:vAlign w:val="center"/>
            <w:hideMark/>
          </w:tcPr>
          <w:p w14:paraId="21308F21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&lt; 0.001</w:t>
            </w:r>
          </w:p>
        </w:tc>
      </w:tr>
      <w:tr w:rsidR="00F039C5" w:rsidRPr="00F039C5" w14:paraId="28A7BBFE" w14:textId="77777777" w:rsidTr="00F039C5">
        <w:trPr>
          <w:tblCellSpacing w:w="15" w:type="dxa"/>
        </w:trPr>
        <w:tc>
          <w:tcPr>
            <w:tcW w:w="634" w:type="pct"/>
            <w:vAlign w:val="center"/>
            <w:hideMark/>
          </w:tcPr>
          <w:p w14:paraId="2D64A91B" w14:textId="77777777" w:rsidR="00F039C5" w:rsidRPr="00F039C5" w:rsidRDefault="00F039C5" w:rsidP="00F039C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Na, mmol/L</w:t>
            </w:r>
          </w:p>
        </w:tc>
        <w:tc>
          <w:tcPr>
            <w:tcW w:w="1336" w:type="pct"/>
            <w:vAlign w:val="center"/>
            <w:hideMark/>
          </w:tcPr>
          <w:p w14:paraId="09B82FD4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-0.0124 (0.988, 0.974–1.002)</w:t>
            </w:r>
          </w:p>
        </w:tc>
        <w:tc>
          <w:tcPr>
            <w:tcW w:w="1306" w:type="pct"/>
            <w:vAlign w:val="center"/>
            <w:hideMark/>
          </w:tcPr>
          <w:p w14:paraId="7A0F8246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-0.0124 (0.988, 0.974–1.002)</w:t>
            </w:r>
          </w:p>
        </w:tc>
        <w:tc>
          <w:tcPr>
            <w:tcW w:w="994" w:type="pct"/>
            <w:vAlign w:val="center"/>
            <w:hideMark/>
          </w:tcPr>
          <w:p w14:paraId="4005A25A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0.13%</w:t>
            </w:r>
          </w:p>
        </w:tc>
        <w:tc>
          <w:tcPr>
            <w:tcW w:w="621" w:type="pct"/>
            <w:vAlign w:val="center"/>
            <w:hideMark/>
          </w:tcPr>
          <w:p w14:paraId="33323854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0.0931</w:t>
            </w:r>
          </w:p>
        </w:tc>
      </w:tr>
      <w:tr w:rsidR="00F039C5" w:rsidRPr="00F039C5" w14:paraId="3DEC6F63" w14:textId="77777777" w:rsidTr="00F039C5">
        <w:trPr>
          <w:tblCellSpacing w:w="15" w:type="dxa"/>
        </w:trPr>
        <w:tc>
          <w:tcPr>
            <w:tcW w:w="634" w:type="pct"/>
            <w:vAlign w:val="center"/>
            <w:hideMark/>
          </w:tcPr>
          <w:p w14:paraId="45E3D212" w14:textId="77777777" w:rsidR="00F039C5" w:rsidRPr="00F039C5" w:rsidRDefault="00F039C5" w:rsidP="00F039C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NE, ×10⁹/L</w:t>
            </w:r>
          </w:p>
        </w:tc>
        <w:tc>
          <w:tcPr>
            <w:tcW w:w="1336" w:type="pct"/>
            <w:vAlign w:val="center"/>
            <w:hideMark/>
          </w:tcPr>
          <w:p w14:paraId="4FFECB5D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0.0389 (1.040, 1.027–1.052)</w:t>
            </w:r>
          </w:p>
        </w:tc>
        <w:tc>
          <w:tcPr>
            <w:tcW w:w="1306" w:type="pct"/>
            <w:vAlign w:val="center"/>
            <w:hideMark/>
          </w:tcPr>
          <w:p w14:paraId="7CCC8BEB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0.0389 (1.040, 1.027–1.052)</w:t>
            </w:r>
          </w:p>
        </w:tc>
        <w:tc>
          <w:tcPr>
            <w:tcW w:w="994" w:type="pct"/>
            <w:vAlign w:val="center"/>
            <w:hideMark/>
          </w:tcPr>
          <w:p w14:paraId="4E20AE1B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0.05%</w:t>
            </w:r>
          </w:p>
        </w:tc>
        <w:tc>
          <w:tcPr>
            <w:tcW w:w="621" w:type="pct"/>
            <w:vAlign w:val="center"/>
            <w:hideMark/>
          </w:tcPr>
          <w:p w14:paraId="56C425D6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&lt; 0.001</w:t>
            </w:r>
          </w:p>
        </w:tc>
      </w:tr>
      <w:tr w:rsidR="00F039C5" w:rsidRPr="00F039C5" w14:paraId="45E28991" w14:textId="77777777" w:rsidTr="00F039C5">
        <w:trPr>
          <w:tblCellSpacing w:w="15" w:type="dxa"/>
        </w:trPr>
        <w:tc>
          <w:tcPr>
            <w:tcW w:w="634" w:type="pct"/>
            <w:vAlign w:val="center"/>
            <w:hideMark/>
          </w:tcPr>
          <w:p w14:paraId="327A1157" w14:textId="77777777" w:rsidR="00F039C5" w:rsidRPr="00F039C5" w:rsidRDefault="00F039C5" w:rsidP="00F039C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AST, U/L</w:t>
            </w:r>
          </w:p>
        </w:tc>
        <w:tc>
          <w:tcPr>
            <w:tcW w:w="1336" w:type="pct"/>
            <w:vAlign w:val="center"/>
            <w:hideMark/>
          </w:tcPr>
          <w:p w14:paraId="0FF8116C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0.0006 (1.001, 1.000–1.001)</w:t>
            </w:r>
          </w:p>
        </w:tc>
        <w:tc>
          <w:tcPr>
            <w:tcW w:w="1306" w:type="pct"/>
            <w:vAlign w:val="center"/>
            <w:hideMark/>
          </w:tcPr>
          <w:p w14:paraId="3AC11568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0.0006 (1.001, 1.000–1.001)</w:t>
            </w:r>
          </w:p>
        </w:tc>
        <w:tc>
          <w:tcPr>
            <w:tcW w:w="994" w:type="pct"/>
            <w:vAlign w:val="center"/>
            <w:hideMark/>
          </w:tcPr>
          <w:p w14:paraId="1C5F00F6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5.74%</w:t>
            </w:r>
          </w:p>
        </w:tc>
        <w:tc>
          <w:tcPr>
            <w:tcW w:w="621" w:type="pct"/>
            <w:vAlign w:val="center"/>
            <w:hideMark/>
          </w:tcPr>
          <w:p w14:paraId="03B4B077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&lt; 0.001</w:t>
            </w:r>
          </w:p>
        </w:tc>
      </w:tr>
      <w:tr w:rsidR="00F039C5" w:rsidRPr="00F039C5" w14:paraId="0E903A12" w14:textId="77777777" w:rsidTr="00F039C5">
        <w:trPr>
          <w:tblCellSpacing w:w="15" w:type="dxa"/>
        </w:trPr>
        <w:tc>
          <w:tcPr>
            <w:tcW w:w="634" w:type="pct"/>
            <w:vAlign w:val="center"/>
            <w:hideMark/>
          </w:tcPr>
          <w:p w14:paraId="1EC44C54" w14:textId="77777777" w:rsidR="00F039C5" w:rsidRPr="00F039C5" w:rsidRDefault="00F039C5" w:rsidP="00F039C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INR</w:t>
            </w:r>
          </w:p>
        </w:tc>
        <w:tc>
          <w:tcPr>
            <w:tcW w:w="1336" w:type="pct"/>
            <w:vAlign w:val="center"/>
            <w:hideMark/>
          </w:tcPr>
          <w:p w14:paraId="6BB10562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0.1203 (1.128, 1.019–1.249)</w:t>
            </w:r>
          </w:p>
        </w:tc>
        <w:tc>
          <w:tcPr>
            <w:tcW w:w="1306" w:type="pct"/>
            <w:vAlign w:val="center"/>
            <w:hideMark/>
          </w:tcPr>
          <w:p w14:paraId="01287CC3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0.1203 (1.128, 1.019–1.249)</w:t>
            </w:r>
          </w:p>
        </w:tc>
        <w:tc>
          <w:tcPr>
            <w:tcW w:w="994" w:type="pct"/>
            <w:vAlign w:val="center"/>
            <w:hideMark/>
          </w:tcPr>
          <w:p w14:paraId="0946F792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0.00%</w:t>
            </w:r>
          </w:p>
        </w:tc>
        <w:tc>
          <w:tcPr>
            <w:tcW w:w="621" w:type="pct"/>
            <w:vAlign w:val="center"/>
            <w:hideMark/>
          </w:tcPr>
          <w:p w14:paraId="02944E65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0.0204</w:t>
            </w:r>
          </w:p>
        </w:tc>
      </w:tr>
      <w:tr w:rsidR="00F039C5" w:rsidRPr="00F039C5" w14:paraId="52E6A347" w14:textId="77777777" w:rsidTr="00F039C5">
        <w:trPr>
          <w:tblCellSpacing w:w="15" w:type="dxa"/>
        </w:trPr>
        <w:tc>
          <w:tcPr>
            <w:tcW w:w="634" w:type="pct"/>
            <w:vAlign w:val="center"/>
            <w:hideMark/>
          </w:tcPr>
          <w:p w14:paraId="4E10774E" w14:textId="77777777" w:rsidR="00F039C5" w:rsidRPr="00F039C5" w:rsidRDefault="00F039C5" w:rsidP="00F039C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RR, bpm</w:t>
            </w:r>
          </w:p>
        </w:tc>
        <w:tc>
          <w:tcPr>
            <w:tcW w:w="1336" w:type="pct"/>
            <w:vAlign w:val="center"/>
            <w:hideMark/>
          </w:tcPr>
          <w:p w14:paraId="68BDCB5B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0.0628 (1.065, 1.053–1.077)</w:t>
            </w:r>
          </w:p>
        </w:tc>
        <w:tc>
          <w:tcPr>
            <w:tcW w:w="1306" w:type="pct"/>
            <w:vAlign w:val="center"/>
            <w:hideMark/>
          </w:tcPr>
          <w:p w14:paraId="542F4650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0.0628 (1.065, 1.053–1.077)</w:t>
            </w:r>
          </w:p>
        </w:tc>
        <w:tc>
          <w:tcPr>
            <w:tcW w:w="994" w:type="pct"/>
            <w:vAlign w:val="center"/>
            <w:hideMark/>
          </w:tcPr>
          <w:p w14:paraId="34A94640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0.05%</w:t>
            </w:r>
          </w:p>
        </w:tc>
        <w:tc>
          <w:tcPr>
            <w:tcW w:w="621" w:type="pct"/>
            <w:vAlign w:val="center"/>
            <w:hideMark/>
          </w:tcPr>
          <w:p w14:paraId="5CF8E143" w14:textId="77777777" w:rsidR="00F039C5" w:rsidRPr="00F039C5" w:rsidRDefault="00F039C5" w:rsidP="00F039C5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039C5">
              <w:rPr>
                <w:rFonts w:ascii="Times New Roman" w:eastAsiaTheme="minorEastAsia" w:hAnsi="Times New Roman" w:cs="Times New Roman"/>
                <w:sz w:val="18"/>
                <w:szCs w:val="18"/>
              </w:rPr>
              <w:t>&lt; 0.001</w:t>
            </w:r>
          </w:p>
        </w:tc>
      </w:tr>
    </w:tbl>
    <w:p w14:paraId="755CACD8" w14:textId="77777777" w:rsidR="00F039C5" w:rsidRPr="00F039C5" w:rsidRDefault="00F039C5" w:rsidP="00BC5E2C">
      <w:pPr>
        <w:rPr>
          <w:rFonts w:ascii="Times New Roman" w:eastAsiaTheme="minorEastAsia" w:hAnsi="Times New Roman" w:cs="Times New Roman"/>
          <w:b/>
          <w:bCs/>
          <w:sz w:val="21"/>
          <w:szCs w:val="21"/>
        </w:rPr>
      </w:pPr>
    </w:p>
    <w:p w14:paraId="4D19C01B" w14:textId="1C4DCF2C" w:rsidR="00BC5E2C" w:rsidRPr="00F039C5" w:rsidRDefault="00BC5E2C" w:rsidP="00F039C5">
      <w:pPr>
        <w:rPr>
          <w:rFonts w:ascii="Times New Roman" w:eastAsiaTheme="minorEastAsia" w:hAnsi="Times New Roman" w:cs="Times New Roman"/>
          <w:sz w:val="21"/>
          <w:szCs w:val="21"/>
        </w:rPr>
      </w:pPr>
      <w:r w:rsidRPr="00F039C5">
        <w:rPr>
          <w:rFonts w:ascii="Times New Roman" w:eastAsiaTheme="minorEastAsia" w:hAnsi="Times New Roman" w:cs="Times New Roman"/>
          <w:b/>
          <w:bCs/>
          <w:sz w:val="21"/>
          <w:szCs w:val="21"/>
        </w:rPr>
        <w:t>Notes:</w:t>
      </w:r>
      <w:r w:rsidR="007974F8">
        <w:rPr>
          <w:rFonts w:ascii="Times New Roman" w:eastAsiaTheme="minorEastAsia" w:hAnsi="Times New Roman" w:cs="Times New Roman" w:hint="eastAsia"/>
          <w:b/>
          <w:bCs/>
          <w:sz w:val="21"/>
          <w:szCs w:val="21"/>
        </w:rPr>
        <w:t xml:space="preserve"> </w:t>
      </w:r>
      <w:r w:rsidR="007974F8" w:rsidRPr="007974F8">
        <w:rPr>
          <w:rFonts w:ascii="Times New Roman" w:eastAsiaTheme="minorEastAsia" w:hAnsi="Times New Roman" w:cs="Times New Roman"/>
          <w:sz w:val="21"/>
          <w:szCs w:val="21"/>
        </w:rPr>
        <w:t>The complete-case sensitivity analysis included 5,941 patients with no missing values in the nine variables of the Ventilation-CRS model. All coefficient changes were minimal (&lt;6%), and the lactate-to-albumin ratio (LAR) remained the strongest independent predictor with identical effect size in both analyses. This demonstrates the high robustness of the Ventilation-CRS model to missing data handling</w:t>
      </w:r>
      <w:r w:rsidR="00A418E9" w:rsidRPr="00A418E9">
        <w:rPr>
          <w:rFonts w:ascii="Times New Roman" w:eastAsiaTheme="minorEastAsia" w:hAnsi="Times New Roman" w:cs="Times New Roman"/>
          <w:sz w:val="21"/>
          <w:szCs w:val="21"/>
        </w:rPr>
        <w:t>.</w:t>
      </w:r>
    </w:p>
    <w:sectPr w:rsidR="00BC5E2C" w:rsidRPr="00F03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B54C1" w14:textId="77777777" w:rsidR="00701038" w:rsidRDefault="00701038" w:rsidP="00BC5E2C">
      <w:pPr>
        <w:spacing w:line="240" w:lineRule="auto"/>
      </w:pPr>
      <w:r>
        <w:separator/>
      </w:r>
    </w:p>
  </w:endnote>
  <w:endnote w:type="continuationSeparator" w:id="0">
    <w:p w14:paraId="655C83C3" w14:textId="77777777" w:rsidR="00701038" w:rsidRDefault="00701038" w:rsidP="00BC5E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ADCA0" w14:textId="77777777" w:rsidR="00701038" w:rsidRDefault="00701038" w:rsidP="00BC5E2C">
      <w:pPr>
        <w:spacing w:line="240" w:lineRule="auto"/>
      </w:pPr>
      <w:r>
        <w:separator/>
      </w:r>
    </w:p>
  </w:footnote>
  <w:footnote w:type="continuationSeparator" w:id="0">
    <w:p w14:paraId="2F0AFA54" w14:textId="77777777" w:rsidR="00701038" w:rsidRDefault="00701038" w:rsidP="00BC5E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A75B9"/>
    <w:multiLevelType w:val="multilevel"/>
    <w:tmpl w:val="1352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055DF2"/>
    <w:multiLevelType w:val="multilevel"/>
    <w:tmpl w:val="A274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181361">
    <w:abstractNumId w:val="1"/>
  </w:num>
  <w:num w:numId="2" w16cid:durableId="204486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06"/>
    <w:rsid w:val="001F7EE2"/>
    <w:rsid w:val="0034070D"/>
    <w:rsid w:val="00572106"/>
    <w:rsid w:val="005D1EDE"/>
    <w:rsid w:val="00701038"/>
    <w:rsid w:val="007974F8"/>
    <w:rsid w:val="007C1A5B"/>
    <w:rsid w:val="007C66D0"/>
    <w:rsid w:val="00861E03"/>
    <w:rsid w:val="00A418E9"/>
    <w:rsid w:val="00AA40D4"/>
    <w:rsid w:val="00B80E46"/>
    <w:rsid w:val="00BC5E2C"/>
    <w:rsid w:val="00C97191"/>
    <w:rsid w:val="00CB2C47"/>
    <w:rsid w:val="00E1731A"/>
    <w:rsid w:val="00E336CC"/>
    <w:rsid w:val="00EA17FC"/>
    <w:rsid w:val="00F039C5"/>
    <w:rsid w:val="00FE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3890D"/>
  <w15:chartTrackingRefBased/>
  <w15:docId w15:val="{B01C479B-DB95-434A-8C2B-FFF23997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7FC"/>
    <w:pPr>
      <w:widowControl w:val="0"/>
      <w:spacing w:line="360" w:lineRule="auto"/>
      <w:jc w:val="both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721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aliases w:val="Abstract"/>
    <w:basedOn w:val="a"/>
    <w:next w:val="a"/>
    <w:link w:val="30"/>
    <w:uiPriority w:val="9"/>
    <w:unhideWhenUsed/>
    <w:qFormat/>
    <w:rsid w:val="00FE561D"/>
    <w:pPr>
      <w:keepNext/>
      <w:keepLines/>
      <w:spacing w:before="260" w:after="260" w:line="400" w:lineRule="exact"/>
      <w:jc w:val="center"/>
      <w:outlineLvl w:val="2"/>
    </w:pPr>
    <w:rPr>
      <w:b/>
      <w:bCs/>
      <w:sz w:val="32"/>
      <w:szCs w:val="32"/>
    </w:rPr>
  </w:style>
  <w:style w:type="paragraph" w:styleId="4">
    <w:name w:val="heading 4"/>
    <w:aliases w:val="Key words"/>
    <w:basedOn w:val="a"/>
    <w:next w:val="a"/>
    <w:link w:val="40"/>
    <w:uiPriority w:val="9"/>
    <w:unhideWhenUsed/>
    <w:qFormat/>
    <w:rsid w:val="00FE561D"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106"/>
    <w:pPr>
      <w:keepNext/>
      <w:keepLines/>
      <w:spacing w:before="80" w:after="40"/>
      <w:outlineLvl w:val="4"/>
    </w:pPr>
    <w:rPr>
      <w:rFonts w:eastAsiaTheme="minorEastAsia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106"/>
    <w:pPr>
      <w:keepNext/>
      <w:keepLines/>
      <w:spacing w:before="40"/>
      <w:outlineLvl w:val="5"/>
    </w:pPr>
    <w:rPr>
      <w:rFonts w:eastAsiaTheme="minorEastAsia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2106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2106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10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aliases w:val="Abstract 字符"/>
    <w:basedOn w:val="a0"/>
    <w:link w:val="3"/>
    <w:uiPriority w:val="9"/>
    <w:rsid w:val="00FE561D"/>
    <w:rPr>
      <w:rFonts w:eastAsia="Times New Roman"/>
      <w:b/>
      <w:bCs/>
      <w:sz w:val="32"/>
      <w:szCs w:val="32"/>
    </w:rPr>
  </w:style>
  <w:style w:type="character" w:customStyle="1" w:styleId="40">
    <w:name w:val="标题 4 字符"/>
    <w:aliases w:val="Key words 字符"/>
    <w:basedOn w:val="a0"/>
    <w:link w:val="4"/>
    <w:uiPriority w:val="9"/>
    <w:rsid w:val="00FE561D"/>
    <w:rPr>
      <w:rFonts w:asciiTheme="majorHAnsi" w:eastAsia="Times New Roman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57210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21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50">
    <w:name w:val="标题 5 字符"/>
    <w:basedOn w:val="a0"/>
    <w:link w:val="5"/>
    <w:uiPriority w:val="9"/>
    <w:semiHidden/>
    <w:rsid w:val="0057210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72106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572106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572106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572106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5721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2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21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21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21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2106"/>
    <w:rPr>
      <w:rFonts w:eastAsia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5721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21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2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2106"/>
    <w:rPr>
      <w:rFonts w:eastAsia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57210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C5E2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C5E2C"/>
    <w:rPr>
      <w:rFonts w:eastAsia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C5E2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C5E2C"/>
    <w:rPr>
      <w:rFonts w:eastAsia="Times New Roman"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F039C5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chenxi Wang</dc:creator>
  <cp:keywords/>
  <dc:description/>
  <cp:lastModifiedBy>chenxi Wang</cp:lastModifiedBy>
  <cp:revision>6</cp:revision>
  <dcterms:created xsi:type="dcterms:W3CDTF">2026-04-09T05:15:00Z</dcterms:created>
  <dcterms:modified xsi:type="dcterms:W3CDTF">2026-04-09T06:54:00Z</dcterms:modified>
</cp:coreProperties>
</file>