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Supplementary Document</w:t>
      </w:r>
      <w:r w:rsidDel="00000000" w:rsidR="00000000" w:rsidRPr="00000000">
        <w:rPr>
          <w:rtl w:val="0"/>
        </w:rPr>
      </w:r>
    </w:p>
    <w:p w:rsidR="00000000" w:rsidDel="00000000" w:rsidP="00000000" w:rsidRDefault="00000000" w:rsidRPr="00000000" w14:paraId="00000002">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731200" cy="5727700"/>
            <wp:effectExtent b="0" l="0" r="0" t="0"/>
            <wp:docPr id="3"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731200" cy="5727700"/>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Figure S1.</w:t>
      </w:r>
      <w:r w:rsidDel="00000000" w:rsidR="00000000" w:rsidRPr="00000000">
        <w:rPr>
          <w:rFonts w:ascii="Times New Roman" w:cs="Times New Roman" w:eastAsia="Times New Roman" w:hAnsi="Times New Roman"/>
          <w:sz w:val="24"/>
          <w:szCs w:val="24"/>
          <w:rtl w:val="0"/>
        </w:rPr>
        <w:t xml:space="preserve"> Data preprocessing, cell clusters and annotated cell types of CRC dataset; </w:t>
      </w:r>
      <w:r w:rsidDel="00000000" w:rsidR="00000000" w:rsidRPr="00000000">
        <w:rPr>
          <w:rFonts w:ascii="Times New Roman" w:cs="Times New Roman" w:eastAsia="Times New Roman" w:hAnsi="Times New Roman"/>
          <w:b w:val="1"/>
          <w:bCs w:val="1"/>
          <w:sz w:val="24"/>
          <w:szCs w:val="24"/>
          <w:rtl w:val="0"/>
        </w:rPr>
        <w:t xml:space="preserve">(A)</w:t>
      </w:r>
      <w:r w:rsidDel="00000000" w:rsidR="00000000" w:rsidRPr="00000000">
        <w:rPr>
          <w:rFonts w:ascii="Times New Roman" w:cs="Times New Roman" w:eastAsia="Times New Roman" w:hAnsi="Times New Roman"/>
          <w:sz w:val="24"/>
          <w:szCs w:val="24"/>
          <w:rtl w:val="0"/>
        </w:rPr>
        <w:t xml:space="preserve"> Data filtration violin plots showing nFeature_RNA, nCount_RNA, and percent.mt filtered reads in CRC-Tumor, CRC-Normal, LM-Tumor, and LM-Normal conditions; </w:t>
      </w:r>
      <w:r w:rsidDel="00000000" w:rsidR="00000000" w:rsidRPr="00000000">
        <w:rPr>
          <w:rFonts w:ascii="Times New Roman" w:cs="Times New Roman" w:eastAsia="Times New Roman" w:hAnsi="Times New Roman"/>
          <w:b w:val="1"/>
          <w:bCs w:val="1"/>
          <w:sz w:val="24"/>
          <w:szCs w:val="24"/>
          <w:rtl w:val="0"/>
        </w:rPr>
        <w:t xml:space="preserve">(B)</w:t>
      </w:r>
      <w:r w:rsidDel="00000000" w:rsidR="00000000" w:rsidRPr="00000000">
        <w:rPr>
          <w:rFonts w:ascii="Times New Roman" w:cs="Times New Roman" w:eastAsia="Times New Roman" w:hAnsi="Times New Roman"/>
          <w:sz w:val="24"/>
          <w:szCs w:val="24"/>
          <w:rtl w:val="0"/>
        </w:rPr>
        <w:t xml:space="preserve"> HVFs plot showing 2000 HVFs and 31538 non-variable features; </w:t>
      </w:r>
      <w:r w:rsidDel="00000000" w:rsidR="00000000" w:rsidRPr="00000000">
        <w:rPr>
          <w:rFonts w:ascii="Times New Roman" w:cs="Times New Roman" w:eastAsia="Times New Roman" w:hAnsi="Times New Roman"/>
          <w:b w:val="1"/>
          <w:bCs w:val="1"/>
          <w:sz w:val="24"/>
          <w:szCs w:val="24"/>
          <w:rtl w:val="0"/>
        </w:rPr>
        <w:t xml:space="preserve">(C)</w:t>
      </w:r>
      <w:r w:rsidDel="00000000" w:rsidR="00000000" w:rsidRPr="00000000">
        <w:rPr>
          <w:rFonts w:ascii="Times New Roman" w:cs="Times New Roman" w:eastAsia="Times New Roman" w:hAnsi="Times New Roman"/>
          <w:sz w:val="24"/>
          <w:szCs w:val="24"/>
          <w:rtl w:val="0"/>
        </w:rPr>
        <w:t xml:space="preserve"> PCA plot showing major variance in the dataset across PC_1 and PC_2. The distinct bifurcated pattern indicate the presence of two major states such as normal and diseased; </w:t>
      </w:r>
      <w:r w:rsidDel="00000000" w:rsidR="00000000" w:rsidRPr="00000000">
        <w:rPr>
          <w:rFonts w:ascii="Times New Roman" w:cs="Times New Roman" w:eastAsia="Times New Roman" w:hAnsi="Times New Roman"/>
          <w:b w:val="1"/>
          <w:bCs w:val="1"/>
          <w:sz w:val="24"/>
          <w:szCs w:val="24"/>
          <w:rtl w:val="0"/>
        </w:rPr>
        <w:t xml:space="preserve">(D)</w:t>
      </w:r>
      <w:r w:rsidDel="00000000" w:rsidR="00000000" w:rsidRPr="00000000">
        <w:rPr>
          <w:rFonts w:ascii="Times New Roman" w:cs="Times New Roman" w:eastAsia="Times New Roman" w:hAnsi="Times New Roman"/>
          <w:sz w:val="24"/>
          <w:szCs w:val="24"/>
          <w:rtl w:val="0"/>
        </w:rPr>
        <w:t xml:space="preserve"> Elbow plot showing standard deviation of the dataset across 50 PCs, indicating major standard deviation in the first 20 PCs; </w:t>
      </w:r>
      <w:r w:rsidDel="00000000" w:rsidR="00000000" w:rsidRPr="00000000">
        <w:rPr>
          <w:rFonts w:ascii="Times New Roman" w:cs="Times New Roman" w:eastAsia="Times New Roman" w:hAnsi="Times New Roman"/>
          <w:b w:val="1"/>
          <w:bCs w:val="1"/>
          <w:sz w:val="24"/>
          <w:szCs w:val="24"/>
          <w:rtl w:val="0"/>
        </w:rPr>
        <w:t xml:space="preserve">(E)</w:t>
      </w:r>
      <w:r w:rsidDel="00000000" w:rsidR="00000000" w:rsidRPr="00000000">
        <w:rPr>
          <w:rFonts w:ascii="Times New Roman" w:cs="Times New Roman" w:eastAsia="Times New Roman" w:hAnsi="Times New Roman"/>
          <w:sz w:val="24"/>
          <w:szCs w:val="24"/>
          <w:rtl w:val="0"/>
        </w:rPr>
        <w:t xml:space="preserve"> tSNE plot of cell clusters showing a total 22 cell clusters; </w:t>
      </w:r>
      <w:r w:rsidDel="00000000" w:rsidR="00000000" w:rsidRPr="00000000">
        <w:rPr>
          <w:rFonts w:ascii="Times New Roman" w:cs="Times New Roman" w:eastAsia="Times New Roman" w:hAnsi="Times New Roman"/>
          <w:b w:val="1"/>
          <w:bCs w:val="1"/>
          <w:sz w:val="24"/>
          <w:szCs w:val="24"/>
          <w:rtl w:val="0"/>
        </w:rPr>
        <w:t xml:space="preserve">(F)</w:t>
      </w:r>
      <w:r w:rsidDel="00000000" w:rsidR="00000000" w:rsidRPr="00000000">
        <w:rPr>
          <w:rFonts w:ascii="Times New Roman" w:cs="Times New Roman" w:eastAsia="Times New Roman" w:hAnsi="Times New Roman"/>
          <w:sz w:val="24"/>
          <w:szCs w:val="24"/>
          <w:rtl w:val="0"/>
        </w:rPr>
        <w:t xml:space="preserve"> Annotated cell types showing 15 cell types in CRC-Tumor, CRC-Normal, LM-Tumor, and LM-Normal conditions</w:t>
      </w:r>
    </w:p>
    <w:p w:rsidR="00000000" w:rsidDel="00000000" w:rsidP="00000000" w:rsidRDefault="00000000" w:rsidRPr="00000000" w14:paraId="00000004">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731200" cy="5727700"/>
            <wp:effectExtent b="0" l="0" r="0" t="0"/>
            <wp:docPr id="2"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5731200" cy="5727700"/>
                    </a:xfrm>
                    <a:prstGeom prst="rect"/>
                    <a:ln/>
                  </pic:spPr>
                </pic:pic>
              </a:graphicData>
            </a:graphic>
          </wp:inline>
        </w:drawing>
      </w:r>
      <w:r w:rsidDel="00000000" w:rsidR="00000000" w:rsidRPr="00000000">
        <w:rPr>
          <w:rtl w:val="0"/>
        </w:rPr>
      </w:r>
    </w:p>
    <w:p w:rsidR="00000000" w:rsidDel="00000000" w:rsidP="00000000" w:rsidRDefault="00000000" w:rsidRPr="00000000" w14:paraId="00000005">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Figure S2.</w:t>
      </w:r>
      <w:r w:rsidDel="00000000" w:rsidR="00000000" w:rsidRPr="00000000">
        <w:rPr>
          <w:rFonts w:ascii="Times New Roman" w:cs="Times New Roman" w:eastAsia="Times New Roman" w:hAnsi="Times New Roman"/>
          <w:sz w:val="24"/>
          <w:szCs w:val="24"/>
          <w:rtl w:val="0"/>
        </w:rPr>
        <w:t xml:space="preserve"> Enriched Reactome pathways of T-cells DEGs; </w:t>
      </w:r>
      <w:r w:rsidDel="00000000" w:rsidR="00000000" w:rsidRPr="00000000">
        <w:rPr>
          <w:rFonts w:ascii="Times New Roman" w:cs="Times New Roman" w:eastAsia="Times New Roman" w:hAnsi="Times New Roman"/>
          <w:b w:val="1"/>
          <w:bCs w:val="1"/>
          <w:sz w:val="24"/>
          <w:szCs w:val="24"/>
          <w:rtl w:val="0"/>
        </w:rPr>
        <w:t xml:space="preserve">(A)</w:t>
      </w:r>
      <w:r w:rsidDel="00000000" w:rsidR="00000000" w:rsidRPr="00000000">
        <w:rPr>
          <w:rFonts w:ascii="Times New Roman" w:cs="Times New Roman" w:eastAsia="Times New Roman" w:hAnsi="Times New Roman"/>
          <w:sz w:val="24"/>
          <w:szCs w:val="24"/>
          <w:rtl w:val="0"/>
        </w:rPr>
        <w:t xml:space="preserve"> Reactome pathways of CD8</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Fonts w:ascii="Times New Roman" w:cs="Times New Roman" w:eastAsia="Times New Roman" w:hAnsi="Times New Roman"/>
          <w:sz w:val="24"/>
          <w:szCs w:val="24"/>
          <w:rtl w:val="0"/>
        </w:rPr>
        <w:t xml:space="preserve"> NKT-like cells (CRC-Tumor vs CRC-Normal), including "Cytokine Signaling in Immune System", "Immune System", "Gene Expression (Transcription)", "RNA Polymerase II Transcription", "Signaling by Interleukins", "Cellular Responses to Stimuli", "Generic Transcription Pathway", "FOXO-mediated Transcription", "DARPP-32 Events", and "Basigin Interactions" to be top significant pathways; </w:t>
      </w:r>
      <w:r w:rsidDel="00000000" w:rsidR="00000000" w:rsidRPr="00000000">
        <w:rPr>
          <w:rFonts w:ascii="Times New Roman" w:cs="Times New Roman" w:eastAsia="Times New Roman" w:hAnsi="Times New Roman"/>
          <w:b w:val="1"/>
          <w:bCs w:val="1"/>
          <w:sz w:val="24"/>
          <w:szCs w:val="24"/>
          <w:rtl w:val="0"/>
        </w:rPr>
        <w:t xml:space="preserve">(B)</w:t>
      </w:r>
      <w:r w:rsidDel="00000000" w:rsidR="00000000" w:rsidRPr="00000000">
        <w:rPr>
          <w:rFonts w:ascii="Times New Roman" w:cs="Times New Roman" w:eastAsia="Times New Roman" w:hAnsi="Times New Roman"/>
          <w:sz w:val="24"/>
          <w:szCs w:val="24"/>
          <w:rtl w:val="0"/>
        </w:rPr>
        <w:t xml:space="preserve"> Reactome pathways of memory CD4</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Fonts w:ascii="Times New Roman" w:cs="Times New Roman" w:eastAsia="Times New Roman" w:hAnsi="Times New Roman"/>
          <w:sz w:val="24"/>
          <w:szCs w:val="24"/>
          <w:rtl w:val="0"/>
        </w:rPr>
        <w:t xml:space="preserve"> T-cells (CRC-Tumor vs CRC-Normal), including "Cytokine Signaling in Immune System", "Immune System", "Signaling by Interleukins", "Costimulation by the CD28 Family", "Phosphorylation of CD3 and TCR Zeta Chains", "Signaling by FLT3 ITD and TKD Mutants", "Interferon Signaling", "MHC Class II Antigen Presentation", "TCR Signaling", and "Translocation of ZAP-70 to Immunological Synapse" to be top significant pathways; </w:t>
      </w:r>
      <w:r w:rsidDel="00000000" w:rsidR="00000000" w:rsidRPr="00000000">
        <w:rPr>
          <w:rFonts w:ascii="Times New Roman" w:cs="Times New Roman" w:eastAsia="Times New Roman" w:hAnsi="Times New Roman"/>
          <w:b w:val="1"/>
          <w:bCs w:val="1"/>
          <w:sz w:val="24"/>
          <w:szCs w:val="24"/>
          <w:rtl w:val="0"/>
        </w:rPr>
        <w:t xml:space="preserve">(C)</w:t>
      </w:r>
      <w:r w:rsidDel="00000000" w:rsidR="00000000" w:rsidRPr="00000000">
        <w:rPr>
          <w:rFonts w:ascii="Times New Roman" w:cs="Times New Roman" w:eastAsia="Times New Roman" w:hAnsi="Times New Roman"/>
          <w:sz w:val="24"/>
          <w:szCs w:val="24"/>
          <w:rtl w:val="0"/>
        </w:rPr>
        <w:t xml:space="preserve"> Reactome pathways of naive CD4</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Fonts w:ascii="Times New Roman" w:cs="Times New Roman" w:eastAsia="Times New Roman" w:hAnsi="Times New Roman"/>
          <w:sz w:val="24"/>
          <w:szCs w:val="24"/>
          <w:rtl w:val="0"/>
        </w:rPr>
        <w:t xml:space="preserve"> T-cells (CRC-Tumor vs CRC-Normal), including "Cytokine Signaling in Immune System", "Immune System", and "Signaling by Interleukins" to be top significant pathways; </w:t>
      </w:r>
      <w:r w:rsidDel="00000000" w:rsidR="00000000" w:rsidRPr="00000000">
        <w:rPr>
          <w:rFonts w:ascii="Times New Roman" w:cs="Times New Roman" w:eastAsia="Times New Roman" w:hAnsi="Times New Roman"/>
          <w:b w:val="1"/>
          <w:bCs w:val="1"/>
          <w:sz w:val="24"/>
          <w:szCs w:val="24"/>
          <w:rtl w:val="0"/>
        </w:rPr>
        <w:t xml:space="preserve">(D)</w:t>
      </w:r>
      <w:r w:rsidDel="00000000" w:rsidR="00000000" w:rsidRPr="00000000">
        <w:rPr>
          <w:rFonts w:ascii="Times New Roman" w:cs="Times New Roman" w:eastAsia="Times New Roman" w:hAnsi="Times New Roman"/>
          <w:sz w:val="24"/>
          <w:szCs w:val="24"/>
          <w:rtl w:val="0"/>
        </w:rPr>
        <w:t xml:space="preserve"> Reactome pathways of memory CD4</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Fonts w:ascii="Times New Roman" w:cs="Times New Roman" w:eastAsia="Times New Roman" w:hAnsi="Times New Roman"/>
          <w:sz w:val="24"/>
          <w:szCs w:val="24"/>
          <w:rtl w:val="0"/>
        </w:rPr>
        <w:t xml:space="preserve"> T-cells (LM-Tumor vs LM-Normal), including "Attenuation Phase", "Cellular Responses to Stimuli", "HSF1 Activation", "Cellular Responses to Stress", "HSF1-dependent Transactivation", "Cellular Response to Heat Stress", "HSP90 Chaperone Cycle for Steroid Hormone Receptors (SHR) in the Presence of Ligand", "Regulation of HSF1-mediated Heat Shock Response", "Mitochondrial Unfolded Protein Response (UPRmt)", and "Transport of Mature mRNA Derived From an Intron-Containing Transcript" to be top significant pathways; </w:t>
      </w:r>
      <w:r w:rsidDel="00000000" w:rsidR="00000000" w:rsidRPr="00000000">
        <w:rPr>
          <w:rFonts w:ascii="Times New Roman" w:cs="Times New Roman" w:eastAsia="Times New Roman" w:hAnsi="Times New Roman"/>
          <w:b w:val="1"/>
          <w:bCs w:val="1"/>
          <w:sz w:val="24"/>
          <w:szCs w:val="24"/>
          <w:rtl w:val="0"/>
        </w:rPr>
        <w:t xml:space="preserve">(E)</w:t>
      </w:r>
      <w:r w:rsidDel="00000000" w:rsidR="00000000" w:rsidRPr="00000000">
        <w:rPr>
          <w:rFonts w:ascii="Times New Roman" w:cs="Times New Roman" w:eastAsia="Times New Roman" w:hAnsi="Times New Roman"/>
          <w:sz w:val="24"/>
          <w:szCs w:val="24"/>
          <w:rtl w:val="0"/>
        </w:rPr>
        <w:t xml:space="preserve"> Reactome pathways of naive CD4</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Fonts w:ascii="Times New Roman" w:cs="Times New Roman" w:eastAsia="Times New Roman" w:hAnsi="Times New Roman"/>
          <w:sz w:val="24"/>
          <w:szCs w:val="24"/>
          <w:rtl w:val="0"/>
        </w:rPr>
        <w:t xml:space="preserve"> T-cells (LM-Tumor vs LM-Normal), including "Cellular Responses to Stimuli", "Cellular Responses to Stress", "HSP90 Chaperone Cycle for Steroid Hormone Receptors (SHR) in the Presence of Ligand", "Attenuation Phase", "HSF1 Activation", "HSF1-dependent Transactivation", "Cellular Response to Heat Stress", "Regulation of HSF1-mediated Heat Shock Response", "Selective Autophagy", and "Autophagy" to be top significant pathways</w:t>
      </w:r>
      <w:r w:rsidDel="00000000" w:rsidR="00000000" w:rsidRPr="00000000">
        <w:br w:type="page"/>
      </w:r>
      <w:r w:rsidDel="00000000" w:rsidR="00000000" w:rsidRPr="00000000">
        <w:rPr>
          <w:rtl w:val="0"/>
        </w:rPr>
      </w:r>
    </w:p>
    <w:p w:rsidR="00000000" w:rsidDel="00000000" w:rsidP="00000000" w:rsidRDefault="00000000" w:rsidRPr="00000000" w14:paraId="00000006">
      <w:pPr>
        <w:spacing w:line="36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731200" cy="4356100"/>
            <wp:effectExtent b="0" l="0" r="0" t="0"/>
            <wp:docPr id="1" name="image2.png"/>
            <a:graphic>
              <a:graphicData uri="http://schemas.openxmlformats.org/drawingml/2006/picture">
                <pic:pic>
                  <pic:nvPicPr>
                    <pic:cNvPr id="0" name="image2.png"/>
                    <pic:cNvPicPr preferRelativeResize="0"/>
                  </pic:nvPicPr>
                  <pic:blipFill>
                    <a:blip r:embed="rId8"/>
                    <a:srcRect b="23960" l="0" r="0" t="0"/>
                    <a:stretch>
                      <a:fillRect/>
                    </a:stretch>
                  </pic:blipFill>
                  <pic:spPr>
                    <a:xfrm>
                      <a:off x="0" y="0"/>
                      <a:ext cx="5731200" cy="4356100"/>
                    </a:xfrm>
                    <a:prstGeom prst="rect"/>
                    <a:ln/>
                  </pic:spPr>
                </pic:pic>
              </a:graphicData>
            </a:graphic>
          </wp:inline>
        </w:drawing>
      </w:r>
      <w:r w:rsidDel="00000000" w:rsidR="00000000" w:rsidRPr="00000000">
        <w:rPr>
          <w:rtl w:val="0"/>
        </w:rPr>
      </w:r>
    </w:p>
    <w:p w:rsidR="00000000" w:rsidDel="00000000" w:rsidP="00000000" w:rsidRDefault="00000000" w:rsidRPr="00000000" w14:paraId="00000007">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Figure S3.</w:t>
      </w:r>
      <w:r w:rsidDel="00000000" w:rsidR="00000000" w:rsidRPr="00000000">
        <w:rPr>
          <w:rFonts w:ascii="Times New Roman" w:cs="Times New Roman" w:eastAsia="Times New Roman" w:hAnsi="Times New Roman"/>
          <w:sz w:val="24"/>
          <w:szCs w:val="24"/>
          <w:rtl w:val="0"/>
        </w:rPr>
        <w:t xml:space="preserve"> PPI networks of T-cells in primary CRC and LM-CRC; </w:t>
      </w:r>
      <w:r w:rsidDel="00000000" w:rsidR="00000000" w:rsidRPr="00000000">
        <w:rPr>
          <w:rFonts w:ascii="Times New Roman" w:cs="Times New Roman" w:eastAsia="Times New Roman" w:hAnsi="Times New Roman"/>
          <w:b w:val="1"/>
          <w:bCs w:val="1"/>
          <w:sz w:val="24"/>
          <w:szCs w:val="24"/>
          <w:rtl w:val="0"/>
        </w:rPr>
        <w:t xml:space="preserve">(A)</w:t>
      </w:r>
      <w:r w:rsidDel="00000000" w:rsidR="00000000" w:rsidRPr="00000000">
        <w:rPr>
          <w:rFonts w:ascii="Times New Roman" w:cs="Times New Roman" w:eastAsia="Times New Roman" w:hAnsi="Times New Roman"/>
          <w:sz w:val="24"/>
          <w:szCs w:val="24"/>
          <w:rtl w:val="0"/>
        </w:rPr>
        <w:t xml:space="preserve"> PPI network of CD8</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Fonts w:ascii="Times New Roman" w:cs="Times New Roman" w:eastAsia="Times New Roman" w:hAnsi="Times New Roman"/>
          <w:sz w:val="24"/>
          <w:szCs w:val="24"/>
          <w:rtl w:val="0"/>
        </w:rPr>
        <w:t xml:space="preserve"> NKT-like cells (CRC-Tumor vs CRC-Normal), showing a network of 132 proteins interacting with each other; </w:t>
      </w:r>
      <w:r w:rsidDel="00000000" w:rsidR="00000000" w:rsidRPr="00000000">
        <w:rPr>
          <w:rFonts w:ascii="Times New Roman" w:cs="Times New Roman" w:eastAsia="Times New Roman" w:hAnsi="Times New Roman"/>
          <w:b w:val="1"/>
          <w:bCs w:val="1"/>
          <w:sz w:val="24"/>
          <w:szCs w:val="24"/>
          <w:rtl w:val="0"/>
        </w:rPr>
        <w:t xml:space="preserve">(B)</w:t>
      </w:r>
      <w:r w:rsidDel="00000000" w:rsidR="00000000" w:rsidRPr="00000000">
        <w:rPr>
          <w:rFonts w:ascii="Times New Roman" w:cs="Times New Roman" w:eastAsia="Times New Roman" w:hAnsi="Times New Roman"/>
          <w:sz w:val="24"/>
          <w:szCs w:val="24"/>
          <w:rtl w:val="0"/>
        </w:rPr>
        <w:t xml:space="preserve"> PPI network of memory CD4</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Fonts w:ascii="Times New Roman" w:cs="Times New Roman" w:eastAsia="Times New Roman" w:hAnsi="Times New Roman"/>
          <w:sz w:val="24"/>
          <w:szCs w:val="24"/>
          <w:rtl w:val="0"/>
        </w:rPr>
        <w:t xml:space="preserve"> T-cells (CRC-Tumor vs CRC-Normal), exhibiting a network of 135 interacting proteins; </w:t>
      </w:r>
      <w:r w:rsidDel="00000000" w:rsidR="00000000" w:rsidRPr="00000000">
        <w:rPr>
          <w:rFonts w:ascii="Times New Roman" w:cs="Times New Roman" w:eastAsia="Times New Roman" w:hAnsi="Times New Roman"/>
          <w:b w:val="1"/>
          <w:bCs w:val="1"/>
          <w:sz w:val="24"/>
          <w:szCs w:val="24"/>
          <w:rtl w:val="0"/>
        </w:rPr>
        <w:t xml:space="preserve">(C)</w:t>
      </w:r>
      <w:r w:rsidDel="00000000" w:rsidR="00000000" w:rsidRPr="00000000">
        <w:rPr>
          <w:rFonts w:ascii="Times New Roman" w:cs="Times New Roman" w:eastAsia="Times New Roman" w:hAnsi="Times New Roman"/>
          <w:sz w:val="24"/>
          <w:szCs w:val="24"/>
          <w:rtl w:val="0"/>
        </w:rPr>
        <w:t xml:space="preserve"> PPI network of naive CD4</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Fonts w:ascii="Times New Roman" w:cs="Times New Roman" w:eastAsia="Times New Roman" w:hAnsi="Times New Roman"/>
          <w:sz w:val="24"/>
          <w:szCs w:val="24"/>
          <w:rtl w:val="0"/>
        </w:rPr>
        <w:t xml:space="preserve"> T-cells (CRC-Tumor cs CRC-Normal), exhibiting a network of 22 interacting proteins; </w:t>
      </w:r>
      <w:r w:rsidDel="00000000" w:rsidR="00000000" w:rsidRPr="00000000">
        <w:rPr>
          <w:rFonts w:ascii="Times New Roman" w:cs="Times New Roman" w:eastAsia="Times New Roman" w:hAnsi="Times New Roman"/>
          <w:b w:val="1"/>
          <w:bCs w:val="1"/>
          <w:sz w:val="24"/>
          <w:szCs w:val="24"/>
          <w:rtl w:val="0"/>
        </w:rPr>
        <w:t xml:space="preserve">(D)</w:t>
      </w:r>
      <w:r w:rsidDel="00000000" w:rsidR="00000000" w:rsidRPr="00000000">
        <w:rPr>
          <w:rFonts w:ascii="Times New Roman" w:cs="Times New Roman" w:eastAsia="Times New Roman" w:hAnsi="Times New Roman"/>
          <w:sz w:val="24"/>
          <w:szCs w:val="24"/>
          <w:rtl w:val="0"/>
        </w:rPr>
        <w:t xml:space="preserve"> PPI network of memory CD4</w:t>
      </w:r>
      <w:r w:rsidDel="00000000" w:rsidR="00000000" w:rsidRPr="00000000">
        <w:rPr>
          <w:rFonts w:ascii="Times New Roman" w:cs="Times New Roman" w:eastAsia="Times New Roman" w:hAnsi="Times New Roman"/>
          <w:sz w:val="24"/>
          <w:szCs w:val="24"/>
          <w:vertAlign w:val="superscript"/>
          <w:rtl w:val="0"/>
        </w:rPr>
        <w:t xml:space="preserve">+ </w:t>
      </w:r>
      <w:r w:rsidDel="00000000" w:rsidR="00000000" w:rsidRPr="00000000">
        <w:rPr>
          <w:rFonts w:ascii="Times New Roman" w:cs="Times New Roman" w:eastAsia="Times New Roman" w:hAnsi="Times New Roman"/>
          <w:sz w:val="24"/>
          <w:szCs w:val="24"/>
          <w:rtl w:val="0"/>
        </w:rPr>
        <w:t xml:space="preserve">T-cells (LM-Tumor vs LM-Normal), exhibiting a network of 40 interacting proteins; </w:t>
      </w:r>
      <w:r w:rsidDel="00000000" w:rsidR="00000000" w:rsidRPr="00000000">
        <w:rPr>
          <w:rFonts w:ascii="Times New Roman" w:cs="Times New Roman" w:eastAsia="Times New Roman" w:hAnsi="Times New Roman"/>
          <w:b w:val="1"/>
          <w:bCs w:val="1"/>
          <w:sz w:val="24"/>
          <w:szCs w:val="24"/>
          <w:rtl w:val="0"/>
        </w:rPr>
        <w:t xml:space="preserve">(E)</w:t>
      </w:r>
      <w:r w:rsidDel="00000000" w:rsidR="00000000" w:rsidRPr="00000000">
        <w:rPr>
          <w:rFonts w:ascii="Times New Roman" w:cs="Times New Roman" w:eastAsia="Times New Roman" w:hAnsi="Times New Roman"/>
          <w:sz w:val="24"/>
          <w:szCs w:val="24"/>
          <w:rtl w:val="0"/>
        </w:rPr>
        <w:t xml:space="preserve"> PPI network of naive CD4</w:t>
      </w:r>
      <w:r w:rsidDel="00000000" w:rsidR="00000000" w:rsidRPr="00000000">
        <w:rPr>
          <w:rFonts w:ascii="Times New Roman" w:cs="Times New Roman" w:eastAsia="Times New Roman" w:hAnsi="Times New Roman"/>
          <w:sz w:val="24"/>
          <w:szCs w:val="24"/>
          <w:vertAlign w:val="superscript"/>
          <w:rtl w:val="0"/>
        </w:rPr>
        <w:t xml:space="preserve">+ </w:t>
      </w:r>
      <w:r w:rsidDel="00000000" w:rsidR="00000000" w:rsidRPr="00000000">
        <w:rPr>
          <w:rFonts w:ascii="Times New Roman" w:cs="Times New Roman" w:eastAsia="Times New Roman" w:hAnsi="Times New Roman"/>
          <w:sz w:val="24"/>
          <w:szCs w:val="24"/>
          <w:rtl w:val="0"/>
        </w:rPr>
        <w:t xml:space="preserve">T-cells, exhibiting a network of 34 interacting proteins</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3.png"/><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