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9D540" w14:textId="499CEAFD" w:rsidR="007C27CF" w:rsidRPr="00FF7CE5" w:rsidRDefault="008A5492" w:rsidP="007C27CF">
      <w:pPr>
        <w:spacing w:before="12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drawing>
          <wp:inline distT="0" distB="0" distL="0" distR="0" wp14:anchorId="23EFC3CE" wp14:editId="448F5BE8">
            <wp:extent cx="6199505" cy="4667250"/>
            <wp:effectExtent l="0" t="0" r="0" b="0"/>
            <wp:docPr id="212229539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295394" name="Imagem 212229539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8" b="34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879" cy="468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7CF" w:rsidRPr="00B12E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S1</w:t>
      </w:r>
      <w:r w:rsidR="007C27CF" w:rsidRPr="00CE4AB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7C27CF" w:rsidRPr="00B12E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Pharmacological treatment with DGAT1 inhibitors </w:t>
      </w:r>
      <w:r w:rsidR="007C27C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in</w:t>
      </w:r>
      <w:r w:rsidR="007C27CF" w:rsidRPr="00CE4AB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7C27CF" w:rsidRPr="00B12E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use concentration doesn’t impair BMDC viability</w:t>
      </w:r>
      <w:r w:rsidR="007C27C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or </w:t>
      </w:r>
      <w:r w:rsidR="007C27CF" w:rsidRPr="00B12E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mycobacterial growth</w:t>
      </w:r>
      <w:r w:rsidR="007C27C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>BMDC and BCG culture were incubated with different concentrations (1-100</w:t>
      </w:r>
      <w:r w:rsidR="007C27CF" w:rsidRPr="0064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27CF" w:rsidRPr="00211E02">
        <w:rPr>
          <w:rFonts w:ascii="Times New Roman" w:eastAsia="Times New Roman" w:hAnsi="Times New Roman" w:cs="Times New Roman"/>
          <w:sz w:val="24"/>
          <w:szCs w:val="24"/>
        </w:rPr>
        <w:t>µM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of DGAT1 inhibitors. 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BMDCs' viability with (a) A922500 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>(1-100</w:t>
      </w:r>
      <w:r w:rsidR="007C27CF" w:rsidRPr="0064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27CF" w:rsidRPr="00211E02">
        <w:rPr>
          <w:rFonts w:ascii="Times New Roman" w:eastAsia="Times New Roman" w:hAnsi="Times New Roman" w:cs="Times New Roman"/>
          <w:sz w:val="24"/>
          <w:szCs w:val="24"/>
        </w:rPr>
        <w:t>µM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) and (b) PF-04620110 (6-50 </w:t>
      </w:r>
      <w:r w:rsidR="007C27CF" w:rsidRPr="00211E02">
        <w:rPr>
          <w:rFonts w:ascii="Times New Roman" w:eastAsia="Times New Roman" w:hAnsi="Times New Roman" w:cs="Times New Roman"/>
          <w:sz w:val="24"/>
          <w:szCs w:val="24"/>
        </w:rPr>
        <w:t>µM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) concentrations measured by the MTT method. 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>(c) Kinetics of bacterial growth from 0 to 7 days after treatment with A922500. Bacterial growth was measured by optical density at 600nm. (d) Optical density of BCG growth at day 7 with A922500 concentrations (1-100</w:t>
      </w:r>
      <w:r w:rsidR="007C27CF" w:rsidRPr="00641F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27CF" w:rsidRPr="00211E02">
        <w:rPr>
          <w:rFonts w:ascii="Times New Roman" w:eastAsia="Times New Roman" w:hAnsi="Times New Roman" w:cs="Times New Roman"/>
          <w:sz w:val="24"/>
          <w:szCs w:val="24"/>
        </w:rPr>
        <w:t>µM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7C2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Data 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from one representative experiment </w:t>
      </w:r>
      <w:r w:rsidR="007C2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are presented as the average ± SEM for at least 3 replicates. 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>+ indicates statistically significant differences (p</w:t>
      </w:r>
      <w:r w:rsidR="007C27CF" w:rsidRPr="00975C22">
        <w:t xml:space="preserve"> </w:t>
      </w:r>
      <w:r w:rsidR="007C27CF" w:rsidRPr="00975C22">
        <w:rPr>
          <w:rFonts w:ascii="Times New Roman" w:eastAsia="Times New Roman" w:hAnsi="Times New Roman" w:cs="Times New Roman"/>
          <w:sz w:val="24"/>
          <w:szCs w:val="24"/>
        </w:rPr>
        <w:t>≤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 0.05) between nontreated and treated groups as determined by ANOVA followed by Tukey test or Student’s t test.</w:t>
      </w:r>
    </w:p>
    <w:p w14:paraId="6709792A" w14:textId="77777777" w:rsidR="008A5492" w:rsidRDefault="008A5492">
      <w:pPr>
        <w:spacing w:after="160" w:line="27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14:paraId="0EC6BF10" w14:textId="666B69D4" w:rsidR="007C27CF" w:rsidRPr="006F5AA3" w:rsidRDefault="008A5492" w:rsidP="007C27CF">
      <w:pPr>
        <w:spacing w:before="1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41C7D46A" wp14:editId="419D2488">
            <wp:extent cx="6162040" cy="4229100"/>
            <wp:effectExtent l="0" t="0" r="0" b="0"/>
            <wp:docPr id="17448969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896902" name="Imagem 174489690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 b="37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87" cy="4230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7CF" w:rsidRPr="00B12E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S2</w:t>
      </w:r>
      <w:r w:rsidR="007C27CF" w:rsidRPr="00CE4AB9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.</w:t>
      </w:r>
      <w:r w:rsidR="007C27CF" w:rsidRPr="00B12E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 DGAT1-mediated TAG synthesis drives LD accumulation and bacterial burden in </w:t>
      </w:r>
      <w:r w:rsidR="007C27CF" w:rsidRPr="00B12E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M. bovis </w:t>
      </w:r>
      <w:r w:rsidR="007C27CF" w:rsidRPr="00B12E0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BCG-infected BMDMs</w:t>
      </w:r>
      <w:r w:rsidR="007C27C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BMDMs were 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>infected with BCG GFP and treated with DGAT1 pharmacological inhibitor A922500 at 20</w:t>
      </w:r>
      <w:r w:rsidR="007C27CF" w:rsidRPr="001569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27CF" w:rsidRPr="00211E02">
        <w:rPr>
          <w:rFonts w:ascii="Times New Roman" w:eastAsia="Times New Roman" w:hAnsi="Times New Roman" w:cs="Times New Roman"/>
          <w:sz w:val="24"/>
          <w:szCs w:val="24"/>
        </w:rPr>
        <w:t>µM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>.</w:t>
      </w:r>
      <w:r w:rsidR="007C27CF" w:rsidRPr="009B02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="007C27CF" w:rsidRPr="00874E2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Representative 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>image of high</w:t>
      </w:r>
      <w:r w:rsidR="007C27CF" w:rsidRPr="00874E2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-resolution microscopy of BCG 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GFP at MOI 3 </w:t>
      </w:r>
      <w:r w:rsidR="007C27CF" w:rsidRPr="00874E2F">
        <w:rPr>
          <w:rFonts w:ascii="Times New Roman" w:eastAsia="Times New Roman" w:hAnsi="Times New Roman" w:cs="Times New Roman"/>
          <w:sz w:val="24"/>
          <w:szCs w:val="24"/>
          <w:lang w:val="en-US"/>
        </w:rPr>
        <w:t>in BM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>DMs</w:t>
      </w:r>
      <w:r w:rsidR="007C27CF" w:rsidRPr="00874E2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stained with anti-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>plin2</w:t>
      </w:r>
      <w:r w:rsidR="007C27CF" w:rsidRPr="00874E2F">
        <w:rPr>
          <w:rFonts w:ascii="Times New Roman" w:eastAsia="Times New Roman" w:hAnsi="Times New Roman" w:cs="Times New Roman"/>
          <w:sz w:val="24"/>
          <w:szCs w:val="24"/>
          <w:lang w:val="en-US"/>
        </w:rPr>
        <w:t> (</w:t>
      </w:r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red) 24 </w:t>
      </w:r>
      <w:proofErr w:type="spellStart"/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>hpi</w:t>
      </w:r>
      <w:proofErr w:type="spellEnd"/>
      <w:r w:rsidR="007C27C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(b) 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LDs accumulation in infected with BCG at MOI 5 and treated BMDMs was measured by LDs area stained with ORO 72 </w:t>
      </w:r>
      <w:proofErr w:type="spellStart"/>
      <w:r w:rsidR="007C27CF">
        <w:rPr>
          <w:rFonts w:ascii="Times New Roman" w:eastAsia="Times New Roman" w:hAnsi="Times New Roman" w:cs="Times New Roman"/>
          <w:sz w:val="24"/>
          <w:szCs w:val="24"/>
        </w:rPr>
        <w:t>hpi</w:t>
      </w:r>
      <w:proofErr w:type="spellEnd"/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. (c) BCG growth in infected at MOI 5 and treated BMDMs measured by GFP area 72 </w:t>
      </w:r>
      <w:proofErr w:type="spellStart"/>
      <w:r w:rsidR="007C27CF">
        <w:rPr>
          <w:rFonts w:ascii="Times New Roman" w:eastAsia="Times New Roman" w:hAnsi="Times New Roman" w:cs="Times New Roman"/>
          <w:sz w:val="24"/>
          <w:szCs w:val="24"/>
        </w:rPr>
        <w:t>hpi</w:t>
      </w:r>
      <w:proofErr w:type="spellEnd"/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. (d) </w:t>
      </w:r>
      <w:r w:rsidR="007C2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Bacterial burden on infected at MOI 5 and treated BMDMs was evaluated by MFI of GFP-expressing BCG and its histogram 72 </w:t>
      </w:r>
      <w:proofErr w:type="spellStart"/>
      <w:r w:rsidR="007C27CF">
        <w:rPr>
          <w:rFonts w:ascii="Times New Roman" w:eastAsia="Times New Roman" w:hAnsi="Times New Roman" w:cs="Times New Roman"/>
          <w:color w:val="000000"/>
          <w:sz w:val="24"/>
          <w:szCs w:val="24"/>
        </w:rPr>
        <w:t>hpi</w:t>
      </w:r>
      <w:proofErr w:type="spellEnd"/>
      <w:r w:rsidR="007C2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Data 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from one representative experiment </w:t>
      </w:r>
      <w:r w:rsidR="007C27C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are presented as the average ± SEM for at least 3 replicates. 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>+ indicates statistically significant differences (p</w:t>
      </w:r>
      <w:r w:rsidR="007C27CF" w:rsidRPr="00975C22">
        <w:t xml:space="preserve"> </w:t>
      </w:r>
      <w:r w:rsidR="007C27CF" w:rsidRPr="00975C22">
        <w:rPr>
          <w:rFonts w:ascii="Times New Roman" w:eastAsia="Times New Roman" w:hAnsi="Times New Roman" w:cs="Times New Roman"/>
          <w:sz w:val="24"/>
          <w:szCs w:val="24"/>
        </w:rPr>
        <w:t>≤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 0.05) between </w:t>
      </w:r>
      <w:proofErr w:type="spellStart"/>
      <w:r w:rsidR="007C27CF">
        <w:rPr>
          <w:rFonts w:ascii="Times New Roman" w:eastAsia="Times New Roman" w:hAnsi="Times New Roman" w:cs="Times New Roman"/>
          <w:sz w:val="24"/>
          <w:szCs w:val="24"/>
        </w:rPr>
        <w:t>nonstimulated</w:t>
      </w:r>
      <w:proofErr w:type="spellEnd"/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 and infected groups; * indicates statistically significant differences (p </w:t>
      </w:r>
      <w:r w:rsidR="007C27CF" w:rsidRPr="00975C22">
        <w:rPr>
          <w:rFonts w:ascii="Times New Roman" w:eastAsia="Times New Roman" w:hAnsi="Times New Roman" w:cs="Times New Roman"/>
          <w:sz w:val="24"/>
          <w:szCs w:val="24"/>
        </w:rPr>
        <w:t>≤</w:t>
      </w:r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 0.05) between infected and treated groups, as determined by ANOVA followed by Tukey test or </w:t>
      </w:r>
      <w:proofErr w:type="gramStart"/>
      <w:r w:rsidR="007C27CF">
        <w:rPr>
          <w:rFonts w:ascii="Times New Roman" w:eastAsia="Times New Roman" w:hAnsi="Times New Roman" w:cs="Times New Roman"/>
          <w:sz w:val="24"/>
          <w:szCs w:val="24"/>
        </w:rPr>
        <w:t>Student’s t</w:t>
      </w:r>
      <w:proofErr w:type="gramEnd"/>
      <w:r w:rsidR="007C27CF">
        <w:rPr>
          <w:rFonts w:ascii="Times New Roman" w:eastAsia="Times New Roman" w:hAnsi="Times New Roman" w:cs="Times New Roman"/>
          <w:sz w:val="24"/>
          <w:szCs w:val="24"/>
        </w:rPr>
        <w:t xml:space="preserve"> test.</w:t>
      </w:r>
    </w:p>
    <w:p w14:paraId="0B9486BE" w14:textId="77777777" w:rsidR="002D3419" w:rsidRDefault="002D3419"/>
    <w:sectPr w:rsidR="002D3419" w:rsidSect="007C27CF">
      <w:footerReference w:type="default" r:id="rId8"/>
      <w:pgSz w:w="11906" w:h="16838"/>
      <w:pgMar w:top="1417" w:right="1701" w:bottom="1417" w:left="1701" w:header="708" w:footer="708" w:gutter="0"/>
      <w:lnNumType w:countBy="1" w:restart="continuous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B9311" w14:textId="77777777" w:rsidR="006D3D9B" w:rsidRDefault="006D3D9B">
      <w:pPr>
        <w:spacing w:after="0" w:line="240" w:lineRule="auto"/>
      </w:pPr>
      <w:r>
        <w:separator/>
      </w:r>
    </w:p>
  </w:endnote>
  <w:endnote w:type="continuationSeparator" w:id="0">
    <w:p w14:paraId="25392243" w14:textId="77777777" w:rsidR="006D3D9B" w:rsidRDefault="006D3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C6EDF" w14:textId="77777777" w:rsidR="007C27CF" w:rsidRDefault="007C27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01566BB5" w14:textId="77777777" w:rsidR="007C27CF" w:rsidRDefault="007C27C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78462" w14:textId="77777777" w:rsidR="006D3D9B" w:rsidRDefault="006D3D9B">
      <w:pPr>
        <w:spacing w:after="0" w:line="240" w:lineRule="auto"/>
      </w:pPr>
      <w:r>
        <w:separator/>
      </w:r>
    </w:p>
  </w:footnote>
  <w:footnote w:type="continuationSeparator" w:id="0">
    <w:p w14:paraId="19CBFF23" w14:textId="77777777" w:rsidR="006D3D9B" w:rsidRDefault="006D3D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7CF"/>
    <w:rsid w:val="00062CF3"/>
    <w:rsid w:val="002D3419"/>
    <w:rsid w:val="00593F11"/>
    <w:rsid w:val="006D3D9B"/>
    <w:rsid w:val="007C27CF"/>
    <w:rsid w:val="008A5492"/>
    <w:rsid w:val="00D70059"/>
    <w:rsid w:val="00FC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AD948"/>
  <w15:chartTrackingRefBased/>
  <w15:docId w15:val="{5A85D019-FA35-4758-BB80-5766D1969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7CF"/>
    <w:pPr>
      <w:spacing w:after="200" w:line="276" w:lineRule="auto"/>
    </w:pPr>
    <w:rPr>
      <w:rFonts w:ascii="Calibri" w:eastAsia="Calibri" w:hAnsi="Calibri" w:cs="Calibri"/>
      <w:kern w:val="0"/>
      <w:sz w:val="22"/>
      <w:szCs w:val="22"/>
      <w:lang w:val="en"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7C27C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pt-BR" w:eastAsia="en-US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C27C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pt-BR" w:eastAsia="en-US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C27C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pt-BR" w:eastAsia="en-US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C27C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pt-BR" w:eastAsia="en-US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C27C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pt-BR" w:eastAsia="en-US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C27CF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pt-BR" w:eastAsia="en-US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C27CF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pt-BR" w:eastAsia="en-US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C27CF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pt-BR" w:eastAsia="en-US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C27CF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pt-BR" w:eastAsia="en-US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C27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C27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C27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C27C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C27C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C27C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C27C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C27C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C27C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C27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pt-BR" w:eastAsia="en-US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7C27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C27C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pt-BR" w:eastAsia="en-US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7C27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C27C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pt-BR" w:eastAsia="en-US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7C27C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C27C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pt-BR" w:eastAsia="en-US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7C27C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C27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pt-BR" w:eastAsia="en-US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C27C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C27CF"/>
    <w:rPr>
      <w:b/>
      <w:bCs/>
      <w:smallCaps/>
      <w:color w:val="0F4761" w:themeColor="accent1" w:themeShade="BF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7C2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298</Words>
  <Characters>1588</Characters>
  <Application>Microsoft Office Word</Application>
  <DocSecurity>0</DocSecurity>
  <Lines>23</Lines>
  <Paragraphs>2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silva</dc:creator>
  <cp:keywords/>
  <dc:description/>
  <cp:lastModifiedBy>maria fernanda silva</cp:lastModifiedBy>
  <cp:revision>2</cp:revision>
  <dcterms:created xsi:type="dcterms:W3CDTF">2026-04-10T16:42:00Z</dcterms:created>
  <dcterms:modified xsi:type="dcterms:W3CDTF">2026-04-10T16:42:00Z</dcterms:modified>
</cp:coreProperties>
</file>