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FC1D5" w14:textId="77777777" w:rsidR="00C74F54" w:rsidRPr="00C91675" w:rsidRDefault="00C74F54" w:rsidP="00C74F54">
      <w:pPr>
        <w:jc w:val="center"/>
        <w:rPr>
          <w:rFonts w:asciiTheme="majorBidi" w:hAnsiTheme="majorBidi" w:cstheme="majorBidi"/>
          <w:b/>
          <w:bCs/>
        </w:rPr>
      </w:pPr>
      <w:r w:rsidRPr="00C91675">
        <w:rPr>
          <w:rFonts w:asciiTheme="majorBidi" w:hAnsiTheme="majorBidi" w:cstheme="majorBidi"/>
          <w:b/>
          <w:bCs/>
        </w:rPr>
        <w:t xml:space="preserve">Table 1: </w:t>
      </w:r>
      <w:r w:rsidRPr="00C91675">
        <w:rPr>
          <w:rFonts w:asciiTheme="majorBidi" w:hAnsiTheme="majorBidi" w:cstheme="majorBidi"/>
        </w:rPr>
        <w:t>Search Strategy in Databases</w:t>
      </w:r>
    </w:p>
    <w:tbl>
      <w:tblPr>
        <w:tblStyle w:val="TableGrid"/>
        <w:tblpPr w:leftFromText="180" w:rightFromText="180" w:vertAnchor="text" w:horzAnchor="margin" w:tblpXSpec="center" w:tblpY="214"/>
        <w:bidiVisual/>
        <w:tblW w:w="0" w:type="auto"/>
        <w:tblLook w:val="04A0" w:firstRow="1" w:lastRow="0" w:firstColumn="1" w:lastColumn="0" w:noHBand="0" w:noVBand="1"/>
      </w:tblPr>
      <w:tblGrid>
        <w:gridCol w:w="7276"/>
        <w:gridCol w:w="2074"/>
      </w:tblGrid>
      <w:tr w:rsidR="00C74F54" w:rsidRPr="00711D95" w14:paraId="5874E37A" w14:textId="77777777" w:rsidTr="001E07B3">
        <w:trPr>
          <w:trHeight w:val="242"/>
        </w:trPr>
        <w:tc>
          <w:tcPr>
            <w:tcW w:w="7276" w:type="dxa"/>
          </w:tcPr>
          <w:p w14:paraId="02FBD2B6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Syntax</w:t>
            </w:r>
          </w:p>
        </w:tc>
        <w:tc>
          <w:tcPr>
            <w:tcW w:w="2074" w:type="dxa"/>
          </w:tcPr>
          <w:p w14:paraId="11CF4ACA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Database</w:t>
            </w:r>
          </w:p>
        </w:tc>
      </w:tr>
      <w:tr w:rsidR="00C74F54" w:rsidRPr="00711D95" w14:paraId="487E65A6" w14:textId="77777777" w:rsidTr="001E07B3">
        <w:tc>
          <w:tcPr>
            <w:tcW w:w="7276" w:type="dxa"/>
          </w:tcPr>
          <w:p w14:paraId="1747A3BA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((((TI=(Early Intervention)) OR TI=(Intervention)) OR TI=(Education)) OR TI=(prevention Program*)) OR TI=(Program*)) OR ((((AB=(Early Intervention)) OR AB=(Intervention)) OR AB=(Education)) OR AB=(prevention Program*)) OR AB=(Program*)) AND (TI=(sexual health) OR AB=(sexual health)) AND ((((TI=(Adolescent*)) OR TI=(Teenager*)) OR TI=(Youth)) OR TI=(Teen)) OR TI=(young adult*))  OR (((AB=(Adolescent*)) OR AB=(Teenager*)) OR AB=(Youth)) OR AB=(Teen)) OR AB=(young adult</w:t>
            </w:r>
            <w:r w:rsidRPr="00711D95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*</w:t>
            </w:r>
            <w:r w:rsidRPr="00711D95">
              <w:rPr>
                <w:rFonts w:asciiTheme="majorBidi" w:hAnsiTheme="majorBidi" w:cstheme="majorBidi"/>
                <w:sz w:val="20"/>
                <w:szCs w:val="20"/>
              </w:rPr>
              <w:t>))</w:t>
            </w:r>
          </w:p>
        </w:tc>
        <w:tc>
          <w:tcPr>
            <w:tcW w:w="2074" w:type="dxa"/>
          </w:tcPr>
          <w:p w14:paraId="3260D955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Web of Science</w:t>
            </w:r>
          </w:p>
        </w:tc>
      </w:tr>
      <w:tr w:rsidR="00C74F54" w:rsidRPr="00711D95" w14:paraId="624FB5C5" w14:textId="77777777" w:rsidTr="001E07B3">
        <w:tc>
          <w:tcPr>
            <w:tcW w:w="7276" w:type="dxa"/>
          </w:tcPr>
          <w:p w14:paraId="340E6DFE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(((((((Early Intervention[Title/Abstract]) OR (Intervention[Title/Abstract])) OR (Education[Title/Abstract])) OR (prevention Program[Title/Abstract])) OR (Program[Title/Abstract])) OR ("Early Intervention, Educational"[Mesh])) AND (("Sexual Health"[Mesh]) OR (sexual health[Title/Abstract]))) AND ((("Adolescent"[Mesh]) OR (((((Adolescents[Title/Abstract]) OR (Teenagers[Title/Abstract])) OR (Youth[Title/Abstract])) OR (Teenagers[Title/Abstract])) OR (Teen[Title/Abstract]))) OR ((young adults[Title/Abstract]) OR ("Young Adult"[Mesh])))</w:t>
            </w:r>
          </w:p>
        </w:tc>
        <w:tc>
          <w:tcPr>
            <w:tcW w:w="2074" w:type="dxa"/>
          </w:tcPr>
          <w:p w14:paraId="289E7733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PubMed</w:t>
            </w:r>
          </w:p>
        </w:tc>
      </w:tr>
      <w:tr w:rsidR="00C74F54" w:rsidRPr="00711D95" w14:paraId="1CB840B5" w14:textId="77777777" w:rsidTr="001E07B3">
        <w:tc>
          <w:tcPr>
            <w:tcW w:w="7276" w:type="dxa"/>
          </w:tcPr>
          <w:p w14:paraId="26FD2308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( TITLE-ABS-KEY ( early AND intervention* ) OR title-abs KEY ( intervention* ) OR TITLE-ABS-KEY ( education ) OR title-abs KEY ( prevention AND program* ) OR TITLE-ABS-KEY ( program* ) ) AND ( TITLE-ABS-KEY ( sexual AND health ) ) AND ( TITLE-ABS-KEY ( adolescent* ) OR title-abs KEY ( teenager* ) OR TITLE-ABS-KEY ( youth ) OR title-abs KEY ( young AND adult* ) OR TITLE-ABS-KEY ( teen ) )</w:t>
            </w:r>
          </w:p>
        </w:tc>
        <w:tc>
          <w:tcPr>
            <w:tcW w:w="2074" w:type="dxa"/>
          </w:tcPr>
          <w:p w14:paraId="5835A2ED" w14:textId="77777777" w:rsidR="00C74F54" w:rsidRPr="00711D95" w:rsidRDefault="00C74F54" w:rsidP="001E07B3">
            <w:pPr>
              <w:spacing w:line="278" w:lineRule="auto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</w:p>
        </w:tc>
      </w:tr>
    </w:tbl>
    <w:p w14:paraId="35FA0412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31711369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2B1D3142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449BB361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633251E7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376F50C1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11FD78B6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3242B9FE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4BDFA639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29FA6A1E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6D882BCC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0D3927B6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14974967" w14:textId="77777777" w:rsidR="00C74F54" w:rsidRDefault="00C74F54" w:rsidP="00C74F54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</w:p>
    <w:p w14:paraId="5394049E" w14:textId="64B5269D" w:rsidR="00C74F54" w:rsidRPr="00C9263B" w:rsidRDefault="00C74F54" w:rsidP="00C74F54">
      <w:pPr>
        <w:bidi/>
        <w:jc w:val="center"/>
        <w:rPr>
          <w:rFonts w:asciiTheme="majorBidi" w:hAnsiTheme="majorBidi" w:cstheme="majorBidi"/>
          <w:rtl/>
          <w:lang w:bidi="fa-IR"/>
        </w:rPr>
      </w:pPr>
      <w:r w:rsidRPr="00C9263B">
        <w:rPr>
          <w:rFonts w:asciiTheme="majorBidi" w:hAnsiTheme="majorBidi" w:cstheme="majorBidi"/>
          <w:b/>
          <w:bCs/>
          <w:lang w:bidi="fa-IR"/>
        </w:rPr>
        <w:t xml:space="preserve">Table 2: </w:t>
      </w:r>
      <w:r w:rsidRPr="00C9263B">
        <w:rPr>
          <w:rFonts w:asciiTheme="majorBidi" w:hAnsiTheme="majorBidi" w:cstheme="majorBidi"/>
          <w:lang w:bidi="fa-IR"/>
        </w:rPr>
        <w:t>Characteristics of included reviews in the umbrella review</w:t>
      </w:r>
    </w:p>
    <w:tbl>
      <w:tblPr>
        <w:tblStyle w:val="TableGrid"/>
        <w:tblW w:w="14041" w:type="dxa"/>
        <w:jc w:val="center"/>
        <w:tblLook w:val="04A0" w:firstRow="1" w:lastRow="0" w:firstColumn="1" w:lastColumn="0" w:noHBand="0" w:noVBand="1"/>
      </w:tblPr>
      <w:tblGrid>
        <w:gridCol w:w="605"/>
        <w:gridCol w:w="1604"/>
        <w:gridCol w:w="1862"/>
        <w:gridCol w:w="2519"/>
        <w:gridCol w:w="2558"/>
        <w:gridCol w:w="1953"/>
        <w:gridCol w:w="2940"/>
      </w:tblGrid>
      <w:tr w:rsidR="00C74F54" w:rsidRPr="00711D95" w14:paraId="48CB58B7" w14:textId="77777777" w:rsidTr="001E07B3">
        <w:trPr>
          <w:jc w:val="center"/>
        </w:trPr>
        <w:tc>
          <w:tcPr>
            <w:tcW w:w="0" w:type="auto"/>
            <w:hideMark/>
          </w:tcPr>
          <w:p w14:paraId="7081F8F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Row</w:t>
            </w:r>
          </w:p>
        </w:tc>
        <w:tc>
          <w:tcPr>
            <w:tcW w:w="0" w:type="auto"/>
            <w:hideMark/>
          </w:tcPr>
          <w:p w14:paraId="4539E8B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Authors, Year</w:t>
            </w:r>
          </w:p>
        </w:tc>
        <w:tc>
          <w:tcPr>
            <w:tcW w:w="0" w:type="auto"/>
            <w:hideMark/>
          </w:tcPr>
          <w:p w14:paraId="59A1700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0" w:type="auto"/>
            <w:hideMark/>
          </w:tcPr>
          <w:p w14:paraId="215465B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Studies</w:t>
            </w:r>
          </w:p>
        </w:tc>
        <w:tc>
          <w:tcPr>
            <w:tcW w:w="0" w:type="auto"/>
            <w:hideMark/>
          </w:tcPr>
          <w:p w14:paraId="3DCEB96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Intervention</w:t>
            </w:r>
          </w:p>
        </w:tc>
        <w:tc>
          <w:tcPr>
            <w:tcW w:w="0" w:type="auto"/>
            <w:hideMark/>
          </w:tcPr>
          <w:p w14:paraId="3EAC814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0" w:type="auto"/>
            <w:hideMark/>
          </w:tcPr>
          <w:p w14:paraId="7AE89C9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Clinical and Biological Outcomes</w:t>
            </w:r>
          </w:p>
        </w:tc>
      </w:tr>
      <w:tr w:rsidR="00C74F54" w:rsidRPr="00711D95" w14:paraId="5FCD6C06" w14:textId="77777777" w:rsidTr="001E07B3">
        <w:trPr>
          <w:jc w:val="center"/>
        </w:trPr>
        <w:tc>
          <w:tcPr>
            <w:tcW w:w="0" w:type="auto"/>
            <w:hideMark/>
          </w:tcPr>
          <w:p w14:paraId="3C17500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56502F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Kim CR, et al. 2008</w:t>
            </w:r>
          </w:p>
        </w:tc>
        <w:tc>
          <w:tcPr>
            <w:tcW w:w="0" w:type="auto"/>
            <w:hideMark/>
          </w:tcPr>
          <w:p w14:paraId="6F2EA37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Adolescents (10–19 years)</w:t>
            </w:r>
          </w:p>
        </w:tc>
        <w:tc>
          <w:tcPr>
            <w:tcW w:w="0" w:type="auto"/>
            <w:hideMark/>
          </w:tcPr>
          <w:p w14:paraId="6B41730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Quasi-experimental, randomized controlled trials</w:t>
            </w:r>
          </w:p>
        </w:tc>
        <w:tc>
          <w:tcPr>
            <w:tcW w:w="0" w:type="auto"/>
            <w:hideMark/>
          </w:tcPr>
          <w:p w14:paraId="48E7B8B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Peers</w:t>
            </w:r>
          </w:p>
        </w:tc>
        <w:tc>
          <w:tcPr>
            <w:tcW w:w="0" w:type="auto"/>
            <w:hideMark/>
          </w:tcPr>
          <w:p w14:paraId="7CA68CE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School, community based</w:t>
            </w:r>
          </w:p>
        </w:tc>
        <w:tc>
          <w:tcPr>
            <w:tcW w:w="0" w:type="auto"/>
            <w:hideMark/>
          </w:tcPr>
          <w:p w14:paraId="1C78C29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Pregnancy or STI occurrence</w:t>
            </w:r>
          </w:p>
        </w:tc>
      </w:tr>
      <w:tr w:rsidR="00C74F54" w:rsidRPr="00711D95" w14:paraId="7F0768FF" w14:textId="77777777" w:rsidTr="001E07B3">
        <w:trPr>
          <w:jc w:val="center"/>
        </w:trPr>
        <w:tc>
          <w:tcPr>
            <w:tcW w:w="0" w:type="auto"/>
            <w:hideMark/>
          </w:tcPr>
          <w:p w14:paraId="66B60E3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14C9E0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Lazarus JV, et al. 2010</w:t>
            </w:r>
          </w:p>
        </w:tc>
        <w:tc>
          <w:tcPr>
            <w:tcW w:w="0" w:type="auto"/>
            <w:hideMark/>
          </w:tcPr>
          <w:p w14:paraId="2358A13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Young people (10–24 years)</w:t>
            </w:r>
          </w:p>
        </w:tc>
        <w:tc>
          <w:tcPr>
            <w:tcW w:w="0" w:type="auto"/>
            <w:hideMark/>
          </w:tcPr>
          <w:p w14:paraId="1A2E30F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 xml:space="preserve">Randomized controlled trials, quasi-experimental, </w:t>
            </w:r>
            <w:r w:rsidRPr="00711D9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pre- and post-intervention study</w:t>
            </w:r>
          </w:p>
        </w:tc>
        <w:tc>
          <w:tcPr>
            <w:tcW w:w="0" w:type="auto"/>
            <w:hideMark/>
          </w:tcPr>
          <w:p w14:paraId="7919807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Teachers, peers, health professionals</w:t>
            </w:r>
          </w:p>
        </w:tc>
        <w:tc>
          <w:tcPr>
            <w:tcW w:w="0" w:type="auto"/>
            <w:hideMark/>
          </w:tcPr>
          <w:p w14:paraId="626173E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Schools, clinics, community</w:t>
            </w:r>
          </w:p>
        </w:tc>
        <w:tc>
          <w:tcPr>
            <w:tcW w:w="0" w:type="auto"/>
            <w:hideMark/>
          </w:tcPr>
          <w:p w14:paraId="4FA81A5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Taking STI tests and/or using STI services</w:t>
            </w:r>
          </w:p>
        </w:tc>
      </w:tr>
      <w:tr w:rsidR="00C74F54" w:rsidRPr="00711D95" w14:paraId="562CBA82" w14:textId="77777777" w:rsidTr="001E07B3">
        <w:trPr>
          <w:jc w:val="center"/>
        </w:trPr>
        <w:tc>
          <w:tcPr>
            <w:tcW w:w="0" w:type="auto"/>
            <w:hideMark/>
          </w:tcPr>
          <w:p w14:paraId="5A54065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483C2E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Tolli MV. 2012</w:t>
            </w:r>
          </w:p>
        </w:tc>
        <w:tc>
          <w:tcPr>
            <w:tcW w:w="0" w:type="auto"/>
            <w:hideMark/>
          </w:tcPr>
          <w:p w14:paraId="2DD99B9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Young people (10–24 years)</w:t>
            </w:r>
          </w:p>
        </w:tc>
        <w:tc>
          <w:tcPr>
            <w:tcW w:w="0" w:type="auto"/>
            <w:hideMark/>
          </w:tcPr>
          <w:p w14:paraId="1033EBF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 controlled trials, non-randomized controlled, before-and-after study</w:t>
            </w:r>
          </w:p>
        </w:tc>
        <w:tc>
          <w:tcPr>
            <w:tcW w:w="0" w:type="auto"/>
            <w:hideMark/>
          </w:tcPr>
          <w:p w14:paraId="32F04E5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Peer educators</w:t>
            </w:r>
          </w:p>
        </w:tc>
        <w:tc>
          <w:tcPr>
            <w:tcW w:w="0" w:type="auto"/>
            <w:hideMark/>
          </w:tcPr>
          <w:p w14:paraId="47F9C00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</w:t>
            </w:r>
          </w:p>
        </w:tc>
        <w:tc>
          <w:tcPr>
            <w:tcW w:w="0" w:type="auto"/>
            <w:hideMark/>
          </w:tcPr>
          <w:p w14:paraId="5349ED9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Unintended pregnancy and STDs</w:t>
            </w:r>
          </w:p>
        </w:tc>
      </w:tr>
      <w:tr w:rsidR="00C74F54" w:rsidRPr="00711D95" w14:paraId="6F8FB296" w14:textId="77777777" w:rsidTr="001E07B3">
        <w:trPr>
          <w:jc w:val="center"/>
        </w:trPr>
        <w:tc>
          <w:tcPr>
            <w:tcW w:w="0" w:type="auto"/>
            <w:hideMark/>
          </w:tcPr>
          <w:p w14:paraId="0CFBE25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362730F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Cardoza VJ, et al. 2012</w:t>
            </w:r>
          </w:p>
        </w:tc>
        <w:tc>
          <w:tcPr>
            <w:tcW w:w="0" w:type="auto"/>
            <w:hideMark/>
          </w:tcPr>
          <w:p w14:paraId="188F771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Adolescents (11–21 years)</w:t>
            </w:r>
          </w:p>
        </w:tc>
        <w:tc>
          <w:tcPr>
            <w:tcW w:w="0" w:type="auto"/>
            <w:hideMark/>
          </w:tcPr>
          <w:p w14:paraId="52D94A2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 controlled trial design, quasi-experimental design</w:t>
            </w:r>
          </w:p>
        </w:tc>
        <w:tc>
          <w:tcPr>
            <w:tcW w:w="0" w:type="auto"/>
            <w:hideMark/>
          </w:tcPr>
          <w:p w14:paraId="74FECA5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Interventions promoting sexual abstinence, pregnancy prevention, STI prevention, and/or HIV/AIDS prevention</w:t>
            </w:r>
          </w:p>
        </w:tc>
        <w:tc>
          <w:tcPr>
            <w:tcW w:w="0" w:type="auto"/>
            <w:hideMark/>
          </w:tcPr>
          <w:p w14:paraId="6DA4E4A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Schools, community venues, homes</w:t>
            </w:r>
          </w:p>
        </w:tc>
        <w:tc>
          <w:tcPr>
            <w:tcW w:w="0" w:type="auto"/>
            <w:hideMark/>
          </w:tcPr>
          <w:p w14:paraId="69E41F3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Rates of STIs, and/or pregnancy</w:t>
            </w:r>
          </w:p>
        </w:tc>
      </w:tr>
      <w:tr w:rsidR="00C74F54" w:rsidRPr="00711D95" w14:paraId="13AB3E27" w14:textId="77777777" w:rsidTr="001E07B3">
        <w:trPr>
          <w:jc w:val="center"/>
        </w:trPr>
        <w:tc>
          <w:tcPr>
            <w:tcW w:w="0" w:type="auto"/>
            <w:hideMark/>
          </w:tcPr>
          <w:p w14:paraId="76C32A9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846A84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Salam RA, et al. 2016</w:t>
            </w:r>
          </w:p>
        </w:tc>
        <w:tc>
          <w:tcPr>
            <w:tcW w:w="0" w:type="auto"/>
            <w:hideMark/>
          </w:tcPr>
          <w:p w14:paraId="09B233D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Adolescents and youth (11–24 years)</w:t>
            </w:r>
          </w:p>
        </w:tc>
        <w:tc>
          <w:tcPr>
            <w:tcW w:w="0" w:type="auto"/>
            <w:hideMark/>
          </w:tcPr>
          <w:p w14:paraId="147A76C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Randomized, quasi-randomized, and before/after studies</w:t>
            </w:r>
          </w:p>
        </w:tc>
        <w:tc>
          <w:tcPr>
            <w:tcW w:w="0" w:type="auto"/>
            <w:hideMark/>
          </w:tcPr>
          <w:p w14:paraId="392A627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Multiple approach</w:t>
            </w:r>
          </w:p>
        </w:tc>
        <w:tc>
          <w:tcPr>
            <w:tcW w:w="0" w:type="auto"/>
            <w:hideMark/>
          </w:tcPr>
          <w:p w14:paraId="2A104A5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School, clinic, home, community, text, telephone</w:t>
            </w:r>
          </w:p>
        </w:tc>
        <w:tc>
          <w:tcPr>
            <w:tcW w:w="0" w:type="auto"/>
            <w:hideMark/>
          </w:tcPr>
          <w:p w14:paraId="4E00E70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Sexual and reproductive health outcomes</w:t>
            </w:r>
          </w:p>
        </w:tc>
      </w:tr>
      <w:tr w:rsidR="00C74F54" w:rsidRPr="00711D95" w14:paraId="5C0CAC37" w14:textId="77777777" w:rsidTr="001E07B3">
        <w:trPr>
          <w:jc w:val="center"/>
        </w:trPr>
        <w:tc>
          <w:tcPr>
            <w:tcW w:w="0" w:type="auto"/>
            <w:hideMark/>
          </w:tcPr>
          <w:p w14:paraId="2B7C0C6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50F481A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Sani AS, et al. 2016</w:t>
            </w:r>
          </w:p>
        </w:tc>
        <w:tc>
          <w:tcPr>
            <w:tcW w:w="0" w:type="auto"/>
            <w:hideMark/>
          </w:tcPr>
          <w:p w14:paraId="4F1F441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Students (below 25 years)</w:t>
            </w:r>
          </w:p>
        </w:tc>
        <w:tc>
          <w:tcPr>
            <w:tcW w:w="0" w:type="auto"/>
            <w:hideMark/>
          </w:tcPr>
          <w:p w14:paraId="7D838DA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Randomized/non-randomized controlled trials</w:t>
            </w:r>
          </w:p>
        </w:tc>
        <w:tc>
          <w:tcPr>
            <w:tcW w:w="0" w:type="auto"/>
            <w:hideMark/>
          </w:tcPr>
          <w:p w14:paraId="3ADD359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School-based</w:t>
            </w:r>
          </w:p>
        </w:tc>
        <w:tc>
          <w:tcPr>
            <w:tcW w:w="0" w:type="auto"/>
            <w:hideMark/>
          </w:tcPr>
          <w:p w14:paraId="535D2B6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School, out-of-school, community, health centers</w:t>
            </w:r>
          </w:p>
        </w:tc>
        <w:tc>
          <w:tcPr>
            <w:tcW w:w="0" w:type="auto"/>
            <w:hideMark/>
          </w:tcPr>
          <w:p w14:paraId="3856266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Preventing sexually transmitted infections</w:t>
            </w:r>
          </w:p>
        </w:tc>
      </w:tr>
      <w:tr w:rsidR="00C74F54" w:rsidRPr="00711D95" w14:paraId="1305DE00" w14:textId="77777777" w:rsidTr="001E07B3">
        <w:trPr>
          <w:jc w:val="center"/>
        </w:trPr>
        <w:tc>
          <w:tcPr>
            <w:tcW w:w="0" w:type="auto"/>
            <w:hideMark/>
          </w:tcPr>
          <w:p w14:paraId="6D378F8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078AD85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Mon Kyaw Soe N, et al. 2018</w:t>
            </w:r>
          </w:p>
        </w:tc>
        <w:tc>
          <w:tcPr>
            <w:tcW w:w="0" w:type="auto"/>
            <w:hideMark/>
          </w:tcPr>
          <w:p w14:paraId="749A131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Students</w:t>
            </w:r>
          </w:p>
        </w:tc>
        <w:tc>
          <w:tcPr>
            <w:tcW w:w="0" w:type="auto"/>
            <w:hideMark/>
          </w:tcPr>
          <w:p w14:paraId="55DA330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Pre-post control/treatment designs</w:t>
            </w:r>
          </w:p>
        </w:tc>
        <w:tc>
          <w:tcPr>
            <w:tcW w:w="0" w:type="auto"/>
            <w:hideMark/>
          </w:tcPr>
          <w:p w14:paraId="2EE3F10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Face-to-face and technology-based, peer, trained staff</w:t>
            </w:r>
          </w:p>
        </w:tc>
        <w:tc>
          <w:tcPr>
            <w:tcW w:w="0" w:type="auto"/>
            <w:hideMark/>
          </w:tcPr>
          <w:p w14:paraId="79A170F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Educational settings</w:t>
            </w:r>
          </w:p>
        </w:tc>
        <w:tc>
          <w:tcPr>
            <w:tcW w:w="0" w:type="auto"/>
            <w:hideMark/>
          </w:tcPr>
          <w:p w14:paraId="4177265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STI/HIV testing</w:t>
            </w:r>
          </w:p>
        </w:tc>
      </w:tr>
      <w:tr w:rsidR="00C74F54" w:rsidRPr="00711D95" w14:paraId="798D63A5" w14:textId="77777777" w:rsidTr="001E07B3">
        <w:trPr>
          <w:jc w:val="center"/>
        </w:trPr>
        <w:tc>
          <w:tcPr>
            <w:tcW w:w="0" w:type="auto"/>
            <w:hideMark/>
          </w:tcPr>
          <w:p w14:paraId="6322610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14:paraId="38F1C1E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Sun WH, et al. 2018</w:t>
            </w:r>
          </w:p>
        </w:tc>
        <w:tc>
          <w:tcPr>
            <w:tcW w:w="0" w:type="auto"/>
            <w:hideMark/>
          </w:tcPr>
          <w:p w14:paraId="2DA9A69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 (under 24 years)</w:t>
            </w:r>
          </w:p>
        </w:tc>
        <w:tc>
          <w:tcPr>
            <w:tcW w:w="0" w:type="auto"/>
            <w:hideMark/>
          </w:tcPr>
          <w:p w14:paraId="6069EF7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Randomized/non-randomized trials, before-after studies</w:t>
            </w:r>
          </w:p>
        </w:tc>
        <w:tc>
          <w:tcPr>
            <w:tcW w:w="0" w:type="auto"/>
            <w:hideMark/>
          </w:tcPr>
          <w:p w14:paraId="5B14699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Peer educators</w:t>
            </w:r>
          </w:p>
        </w:tc>
        <w:tc>
          <w:tcPr>
            <w:tcW w:w="0" w:type="auto"/>
            <w:hideMark/>
          </w:tcPr>
          <w:p w14:paraId="3922C88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Online, school, university, training camps, community centers</w:t>
            </w:r>
          </w:p>
        </w:tc>
        <w:tc>
          <w:tcPr>
            <w:tcW w:w="0" w:type="auto"/>
            <w:hideMark/>
          </w:tcPr>
          <w:p w14:paraId="0672B4C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HIV/STI prevention</w:t>
            </w:r>
          </w:p>
        </w:tc>
      </w:tr>
      <w:tr w:rsidR="00C74F54" w:rsidRPr="00711D95" w14:paraId="67C38768" w14:textId="77777777" w:rsidTr="001E07B3">
        <w:trPr>
          <w:jc w:val="center"/>
        </w:trPr>
        <w:tc>
          <w:tcPr>
            <w:tcW w:w="0" w:type="auto"/>
            <w:hideMark/>
          </w:tcPr>
          <w:p w14:paraId="4034A3B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14:paraId="3E7A214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Hammarström S, et al. 2018</w:t>
            </w:r>
          </w:p>
        </w:tc>
        <w:tc>
          <w:tcPr>
            <w:tcW w:w="0" w:type="auto"/>
            <w:hideMark/>
          </w:tcPr>
          <w:p w14:paraId="6E5AE97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Young people (0–20 years)</w:t>
            </w:r>
          </w:p>
        </w:tc>
        <w:tc>
          <w:tcPr>
            <w:tcW w:w="0" w:type="auto"/>
            <w:hideMark/>
          </w:tcPr>
          <w:p w14:paraId="30BC850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 controlled trials, quasi-experimental designs</w:t>
            </w:r>
          </w:p>
        </w:tc>
        <w:tc>
          <w:tcPr>
            <w:tcW w:w="0" w:type="auto"/>
            <w:hideMark/>
          </w:tcPr>
          <w:p w14:paraId="4B4839E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Group-based education, treatment foster care, individual counseling</w:t>
            </w:r>
          </w:p>
        </w:tc>
        <w:tc>
          <w:tcPr>
            <w:tcW w:w="0" w:type="auto"/>
            <w:hideMark/>
          </w:tcPr>
          <w:p w14:paraId="2CE337E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Youth detention center, correctional center, foster care, shelter</w:t>
            </w:r>
          </w:p>
        </w:tc>
        <w:tc>
          <w:tcPr>
            <w:tcW w:w="0" w:type="auto"/>
            <w:hideMark/>
          </w:tcPr>
          <w:p w14:paraId="23E3731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Changes in sexual or reproductive health</w:t>
            </w:r>
          </w:p>
        </w:tc>
      </w:tr>
      <w:tr w:rsidR="00C74F54" w:rsidRPr="00711D95" w14:paraId="1D22474E" w14:textId="77777777" w:rsidTr="001E07B3">
        <w:trPr>
          <w:jc w:val="center"/>
        </w:trPr>
        <w:tc>
          <w:tcPr>
            <w:tcW w:w="0" w:type="auto"/>
            <w:hideMark/>
          </w:tcPr>
          <w:p w14:paraId="532E8E4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14:paraId="3C14158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Ware S, et al. 2019</w:t>
            </w:r>
          </w:p>
        </w:tc>
        <w:tc>
          <w:tcPr>
            <w:tcW w:w="0" w:type="auto"/>
            <w:hideMark/>
          </w:tcPr>
          <w:p w14:paraId="698B961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Black women (over 14 years)</w:t>
            </w:r>
          </w:p>
        </w:tc>
        <w:tc>
          <w:tcPr>
            <w:tcW w:w="0" w:type="auto"/>
            <w:hideMark/>
          </w:tcPr>
          <w:p w14:paraId="2B08EDD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 controlled trial</w:t>
            </w:r>
          </w:p>
        </w:tc>
        <w:tc>
          <w:tcPr>
            <w:tcW w:w="0" w:type="auto"/>
            <w:hideMark/>
          </w:tcPr>
          <w:p w14:paraId="1098CE3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Individual-level health assets, community-level assets</w:t>
            </w:r>
          </w:p>
        </w:tc>
        <w:tc>
          <w:tcPr>
            <w:tcW w:w="0" w:type="auto"/>
            <w:hideMark/>
          </w:tcPr>
          <w:p w14:paraId="512AB7B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Individual-level, community-level assets</w:t>
            </w:r>
          </w:p>
        </w:tc>
        <w:tc>
          <w:tcPr>
            <w:tcW w:w="0" w:type="auto"/>
            <w:hideMark/>
          </w:tcPr>
          <w:p w14:paraId="6ED5DA3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Prevalence or incidence of HIV/STIs</w:t>
            </w:r>
          </w:p>
        </w:tc>
      </w:tr>
      <w:tr w:rsidR="00C74F54" w:rsidRPr="00711D95" w14:paraId="78057964" w14:textId="77777777" w:rsidTr="001E07B3">
        <w:trPr>
          <w:jc w:val="center"/>
        </w:trPr>
        <w:tc>
          <w:tcPr>
            <w:tcW w:w="0" w:type="auto"/>
            <w:hideMark/>
          </w:tcPr>
          <w:p w14:paraId="4716399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14:paraId="3AACA09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Desrosiers A, et al. 2020</w:t>
            </w:r>
          </w:p>
        </w:tc>
        <w:tc>
          <w:tcPr>
            <w:tcW w:w="0" w:type="auto"/>
            <w:hideMark/>
          </w:tcPr>
          <w:p w14:paraId="0B9A6E7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 and young adult (13–29, 10–49 years)</w:t>
            </w:r>
          </w:p>
        </w:tc>
        <w:tc>
          <w:tcPr>
            <w:tcW w:w="0" w:type="auto"/>
            <w:hideMark/>
          </w:tcPr>
          <w:p w14:paraId="3E8BC2D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 controlled trials, pilot RCTs, quasi-experimental</w:t>
            </w:r>
          </w:p>
        </w:tc>
        <w:tc>
          <w:tcPr>
            <w:tcW w:w="0" w:type="auto"/>
            <w:hideMark/>
          </w:tcPr>
          <w:p w14:paraId="12BF5BA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Effect of HPV vaccination</w:t>
            </w:r>
          </w:p>
        </w:tc>
        <w:tc>
          <w:tcPr>
            <w:tcW w:w="0" w:type="auto"/>
            <w:hideMark/>
          </w:tcPr>
          <w:p w14:paraId="522BAE1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Schools, community centers, health facilities, refugee camps, communities</w:t>
            </w:r>
          </w:p>
        </w:tc>
        <w:tc>
          <w:tcPr>
            <w:tcW w:w="0" w:type="auto"/>
            <w:hideMark/>
          </w:tcPr>
          <w:p w14:paraId="70C2B0C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Contraception and condom use skills, HIV/STI prevention and education, SRH knowledge and education, gender-based violence education, sexual self-efficacy</w:t>
            </w:r>
          </w:p>
        </w:tc>
      </w:tr>
      <w:tr w:rsidR="00C74F54" w:rsidRPr="00711D95" w14:paraId="352B26F3" w14:textId="77777777" w:rsidTr="001E07B3">
        <w:trPr>
          <w:jc w:val="center"/>
        </w:trPr>
        <w:tc>
          <w:tcPr>
            <w:tcW w:w="0" w:type="auto"/>
            <w:hideMark/>
          </w:tcPr>
          <w:p w14:paraId="050EF82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2A51B4C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Kedzior SG, et al. 2020</w:t>
            </w:r>
          </w:p>
        </w:tc>
        <w:tc>
          <w:tcPr>
            <w:tcW w:w="0" w:type="auto"/>
            <w:hideMark/>
          </w:tcPr>
          <w:p w14:paraId="1B90DEE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Adolescents (10–19 years)</w:t>
            </w:r>
          </w:p>
        </w:tc>
        <w:tc>
          <w:tcPr>
            <w:tcW w:w="0" w:type="auto"/>
            <w:hideMark/>
          </w:tcPr>
          <w:p w14:paraId="1FC42EF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RCTs, non-RCTs, controlled before-after, interrupted time series</w:t>
            </w:r>
          </w:p>
        </w:tc>
        <w:tc>
          <w:tcPr>
            <w:tcW w:w="0" w:type="auto"/>
            <w:hideMark/>
          </w:tcPr>
          <w:p w14:paraId="444B8F6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Teachers, peers, parents, mentors, out of school professionals</w:t>
            </w:r>
          </w:p>
        </w:tc>
        <w:tc>
          <w:tcPr>
            <w:tcW w:w="0" w:type="auto"/>
            <w:hideMark/>
          </w:tcPr>
          <w:p w14:paraId="21C9470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</w:t>
            </w:r>
          </w:p>
        </w:tc>
        <w:tc>
          <w:tcPr>
            <w:tcW w:w="0" w:type="auto"/>
            <w:hideMark/>
          </w:tcPr>
          <w:p w14:paraId="41B76F0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Reproductive health, sexual health, contraception use, risk of adolescent pregnancy and birth, rates of STIs</w:t>
            </w:r>
          </w:p>
        </w:tc>
      </w:tr>
      <w:tr w:rsidR="00C74F54" w:rsidRPr="00711D95" w14:paraId="3E71B8CB" w14:textId="77777777" w:rsidTr="001E07B3">
        <w:trPr>
          <w:jc w:val="center"/>
        </w:trPr>
        <w:tc>
          <w:tcPr>
            <w:tcW w:w="0" w:type="auto"/>
            <w:hideMark/>
          </w:tcPr>
          <w:p w14:paraId="5382161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14:paraId="409633B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Evans R, et al. 2020</w:t>
            </w:r>
          </w:p>
        </w:tc>
        <w:tc>
          <w:tcPr>
            <w:tcW w:w="0" w:type="auto"/>
            <w:hideMark/>
          </w:tcPr>
          <w:p w14:paraId="5D4AD8A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Adolescents (mean age ≤18 years)</w:t>
            </w:r>
          </w:p>
        </w:tc>
        <w:tc>
          <w:tcPr>
            <w:tcW w:w="0" w:type="auto"/>
            <w:hideMark/>
          </w:tcPr>
          <w:p w14:paraId="1B65A0E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Experimental/quasi-exp</w:t>
            </w:r>
          </w:p>
        </w:tc>
        <w:tc>
          <w:tcPr>
            <w:tcW w:w="0" w:type="auto"/>
            <w:hideMark/>
          </w:tcPr>
          <w:p w14:paraId="24DBC1C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Family, community, school-based interventions</w:t>
            </w:r>
          </w:p>
        </w:tc>
        <w:tc>
          <w:tcPr>
            <w:tcW w:w="0" w:type="auto"/>
            <w:hideMark/>
          </w:tcPr>
          <w:p w14:paraId="1DA49CD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Community center, school, clinic</w:t>
            </w:r>
          </w:p>
        </w:tc>
        <w:tc>
          <w:tcPr>
            <w:tcW w:w="0" w:type="auto"/>
            <w:hideMark/>
          </w:tcPr>
          <w:p w14:paraId="4F20F55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Biological outcomes: Pregnancy, STI contraction</w:t>
            </w:r>
          </w:p>
        </w:tc>
      </w:tr>
      <w:tr w:rsidR="00C74F54" w:rsidRPr="00711D95" w14:paraId="61D48F2A" w14:textId="77777777" w:rsidTr="001E07B3">
        <w:trPr>
          <w:jc w:val="center"/>
        </w:trPr>
        <w:tc>
          <w:tcPr>
            <w:tcW w:w="0" w:type="auto"/>
            <w:hideMark/>
          </w:tcPr>
          <w:p w14:paraId="2BCB0C9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14:paraId="27AE528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Laurenzi CA, et al. 2021</w:t>
            </w:r>
          </w:p>
        </w:tc>
        <w:tc>
          <w:tcPr>
            <w:tcW w:w="0" w:type="auto"/>
            <w:hideMark/>
          </w:tcPr>
          <w:p w14:paraId="65A0A07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Adolescents and young people (10–24 years)</w:t>
            </w:r>
          </w:p>
        </w:tc>
        <w:tc>
          <w:tcPr>
            <w:tcW w:w="0" w:type="auto"/>
            <w:hideMark/>
          </w:tcPr>
          <w:p w14:paraId="5E38E18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Types of randomized trials</w:t>
            </w:r>
          </w:p>
        </w:tc>
        <w:tc>
          <w:tcPr>
            <w:tcW w:w="0" w:type="auto"/>
            <w:hideMark/>
          </w:tcPr>
          <w:p w14:paraId="472FD76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Interpersonal (counselling, motivational interviewing, CBT); informational</w:t>
            </w:r>
          </w:p>
        </w:tc>
        <w:tc>
          <w:tcPr>
            <w:tcW w:w="0" w:type="auto"/>
            <w:hideMark/>
          </w:tcPr>
          <w:p w14:paraId="11672D1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Clinic, home, university, community, digital</w:t>
            </w:r>
          </w:p>
        </w:tc>
        <w:tc>
          <w:tcPr>
            <w:tcW w:w="0" w:type="auto"/>
            <w:hideMark/>
          </w:tcPr>
          <w:p w14:paraId="3E3A68D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Adherence to ART, ART knowledge, retention in care, Viral load levels, Viral suppression, Undetectable viral load</w:t>
            </w:r>
          </w:p>
        </w:tc>
      </w:tr>
      <w:tr w:rsidR="00C74F54" w:rsidRPr="00711D95" w14:paraId="25C62B63" w14:textId="77777777" w:rsidTr="001E07B3">
        <w:trPr>
          <w:jc w:val="center"/>
        </w:trPr>
        <w:tc>
          <w:tcPr>
            <w:tcW w:w="0" w:type="auto"/>
            <w:hideMark/>
          </w:tcPr>
          <w:p w14:paraId="32852BA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14:paraId="39E8870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Muheriwa Matemba SR, et al. 2021</w:t>
            </w:r>
          </w:p>
        </w:tc>
        <w:tc>
          <w:tcPr>
            <w:tcW w:w="0" w:type="auto"/>
            <w:hideMark/>
          </w:tcPr>
          <w:p w14:paraId="288FE2F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Youth (10–24 years)</w:t>
            </w:r>
          </w:p>
        </w:tc>
        <w:tc>
          <w:tcPr>
            <w:tcW w:w="0" w:type="auto"/>
            <w:hideMark/>
          </w:tcPr>
          <w:p w14:paraId="3303010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RCTs, Quasi-Experimental, Retrospective cohort, Qualitative</w:t>
            </w:r>
          </w:p>
        </w:tc>
        <w:tc>
          <w:tcPr>
            <w:tcW w:w="0" w:type="auto"/>
            <w:hideMark/>
          </w:tcPr>
          <w:p w14:paraId="154A9D6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Health-related intervention (HIV prevention/care, ART adherence, disclosure, etc.)</w:t>
            </w:r>
          </w:p>
        </w:tc>
        <w:tc>
          <w:tcPr>
            <w:tcW w:w="0" w:type="auto"/>
            <w:hideMark/>
          </w:tcPr>
          <w:p w14:paraId="6A85D6B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Clinics, home, community</w:t>
            </w:r>
          </w:p>
        </w:tc>
        <w:tc>
          <w:tcPr>
            <w:tcW w:w="0" w:type="auto"/>
            <w:hideMark/>
          </w:tcPr>
          <w:p w14:paraId="2B8B9B0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Adherence to treatment, sexual health, reproductive health, physical health</w:t>
            </w:r>
          </w:p>
        </w:tc>
      </w:tr>
      <w:tr w:rsidR="00C74F54" w:rsidRPr="00711D95" w14:paraId="5A3560C4" w14:textId="77777777" w:rsidTr="001E07B3">
        <w:trPr>
          <w:jc w:val="center"/>
        </w:trPr>
        <w:tc>
          <w:tcPr>
            <w:tcW w:w="0" w:type="auto"/>
            <w:hideMark/>
          </w:tcPr>
          <w:p w14:paraId="3E7B4D6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14:paraId="1B5468F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Jegede OE, et al. 2022</w:t>
            </w:r>
          </w:p>
        </w:tc>
        <w:tc>
          <w:tcPr>
            <w:tcW w:w="0" w:type="auto"/>
            <w:hideMark/>
          </w:tcPr>
          <w:p w14:paraId="104BA6B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Children and Adolescents (2–18 years), Young adults (18–30 years)</w:t>
            </w:r>
          </w:p>
        </w:tc>
        <w:tc>
          <w:tcPr>
            <w:tcW w:w="0" w:type="auto"/>
            <w:hideMark/>
          </w:tcPr>
          <w:p w14:paraId="4146C1C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Cross-sectional, retrospective cohort, prospective cohort</w:t>
            </w:r>
          </w:p>
        </w:tc>
        <w:tc>
          <w:tcPr>
            <w:tcW w:w="0" w:type="auto"/>
            <w:hideMark/>
          </w:tcPr>
          <w:p w14:paraId="52848AD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Community, mhealth</w:t>
            </w:r>
          </w:p>
        </w:tc>
        <w:tc>
          <w:tcPr>
            <w:tcW w:w="0" w:type="auto"/>
            <w:hideMark/>
          </w:tcPr>
          <w:p w14:paraId="41D03A7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Healthcare settings, community, school</w:t>
            </w:r>
          </w:p>
        </w:tc>
        <w:tc>
          <w:tcPr>
            <w:tcW w:w="0" w:type="auto"/>
            <w:hideMark/>
          </w:tcPr>
          <w:p w14:paraId="6C60D76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Improved adherence, better retention in care, viral load suppression</w:t>
            </w:r>
          </w:p>
        </w:tc>
      </w:tr>
      <w:tr w:rsidR="00C74F54" w:rsidRPr="00711D95" w14:paraId="26C6AB6E" w14:textId="77777777" w:rsidTr="001E07B3">
        <w:trPr>
          <w:jc w:val="center"/>
        </w:trPr>
        <w:tc>
          <w:tcPr>
            <w:tcW w:w="0" w:type="auto"/>
            <w:hideMark/>
          </w:tcPr>
          <w:p w14:paraId="4CCE15E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14:paraId="192AD21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Opara I, et al. 2022</w:t>
            </w:r>
          </w:p>
        </w:tc>
        <w:tc>
          <w:tcPr>
            <w:tcW w:w="0" w:type="auto"/>
            <w:hideMark/>
          </w:tcPr>
          <w:p w14:paraId="1ACAF61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</w:t>
            </w:r>
          </w:p>
        </w:tc>
        <w:tc>
          <w:tcPr>
            <w:tcW w:w="0" w:type="auto"/>
            <w:hideMark/>
          </w:tcPr>
          <w:p w14:paraId="7750284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Quasi experimental, RCT, longitudinal RCT, prospective cohort</w:t>
            </w:r>
          </w:p>
        </w:tc>
        <w:tc>
          <w:tcPr>
            <w:tcW w:w="0" w:type="auto"/>
            <w:hideMark/>
          </w:tcPr>
          <w:p w14:paraId="5926D82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Interventions to reduce drug use, STI, and/or pregnancy</w:t>
            </w:r>
          </w:p>
        </w:tc>
        <w:tc>
          <w:tcPr>
            <w:tcW w:w="0" w:type="auto"/>
            <w:hideMark/>
          </w:tcPr>
          <w:p w14:paraId="42403E3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 xml:space="preserve">Community-based, computer, online, </w:t>
            </w:r>
            <w:r w:rsidRPr="00711D9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clinics, schools, TV/radio</w:t>
            </w:r>
          </w:p>
        </w:tc>
        <w:tc>
          <w:tcPr>
            <w:tcW w:w="0" w:type="auto"/>
            <w:hideMark/>
          </w:tcPr>
          <w:p w14:paraId="359EC3B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Decreasing behaviors linked to STI/HIV risk</w:t>
            </w:r>
          </w:p>
        </w:tc>
      </w:tr>
      <w:tr w:rsidR="00C74F54" w:rsidRPr="00711D95" w14:paraId="04327F5C" w14:textId="77777777" w:rsidTr="001E07B3">
        <w:trPr>
          <w:jc w:val="center"/>
        </w:trPr>
        <w:tc>
          <w:tcPr>
            <w:tcW w:w="0" w:type="auto"/>
            <w:hideMark/>
          </w:tcPr>
          <w:p w14:paraId="2EAB690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00E9627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Neelan T, et al. 2023</w:t>
            </w:r>
          </w:p>
        </w:tc>
        <w:tc>
          <w:tcPr>
            <w:tcW w:w="0" w:type="auto"/>
            <w:hideMark/>
          </w:tcPr>
          <w:p w14:paraId="1472AA0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Youth (14–24 years)</w:t>
            </w:r>
          </w:p>
        </w:tc>
        <w:tc>
          <w:tcPr>
            <w:tcW w:w="0" w:type="auto"/>
            <w:hideMark/>
          </w:tcPr>
          <w:p w14:paraId="0DF07BC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Randomized controlled trials, quasi-experimental design</w:t>
            </w:r>
          </w:p>
        </w:tc>
        <w:tc>
          <w:tcPr>
            <w:tcW w:w="0" w:type="auto"/>
            <w:hideMark/>
          </w:tcPr>
          <w:p w14:paraId="5DC91BA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Educational</w:t>
            </w:r>
          </w:p>
        </w:tc>
        <w:tc>
          <w:tcPr>
            <w:tcW w:w="0" w:type="auto"/>
            <w:hideMark/>
          </w:tcPr>
          <w:p w14:paraId="0735D6A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Clinic/family planning services, colleges, universities, school</w:t>
            </w:r>
          </w:p>
        </w:tc>
        <w:tc>
          <w:tcPr>
            <w:tcW w:w="0" w:type="auto"/>
            <w:hideMark/>
          </w:tcPr>
          <w:p w14:paraId="3777A64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STI and pregnancy diagnoses</w:t>
            </w:r>
          </w:p>
        </w:tc>
      </w:tr>
      <w:tr w:rsidR="00C74F54" w:rsidRPr="00711D95" w14:paraId="79020751" w14:textId="77777777" w:rsidTr="001E07B3">
        <w:trPr>
          <w:jc w:val="center"/>
        </w:trPr>
        <w:tc>
          <w:tcPr>
            <w:tcW w:w="0" w:type="auto"/>
            <w:hideMark/>
          </w:tcPr>
          <w:p w14:paraId="204C9B2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14:paraId="35E9F46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Yang Y, et al. 2023</w:t>
            </w:r>
          </w:p>
        </w:tc>
        <w:tc>
          <w:tcPr>
            <w:tcW w:w="0" w:type="auto"/>
            <w:hideMark/>
          </w:tcPr>
          <w:p w14:paraId="6B50D75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Adolescents (10–19 years) or unmarried young adults (20–25 years)</w:t>
            </w:r>
          </w:p>
        </w:tc>
        <w:tc>
          <w:tcPr>
            <w:tcW w:w="0" w:type="auto"/>
            <w:hideMark/>
          </w:tcPr>
          <w:p w14:paraId="17624E5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Cross-sectional, multiple regression, Longitudinal</w:t>
            </w:r>
          </w:p>
        </w:tc>
        <w:tc>
          <w:tcPr>
            <w:tcW w:w="0" w:type="auto"/>
            <w:hideMark/>
          </w:tcPr>
          <w:p w14:paraId="3163634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Social processes and mechanisms within the community</w:t>
            </w:r>
          </w:p>
        </w:tc>
        <w:tc>
          <w:tcPr>
            <w:tcW w:w="0" w:type="auto"/>
            <w:hideMark/>
          </w:tcPr>
          <w:p w14:paraId="4CE54DB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Home, community, school</w:t>
            </w:r>
          </w:p>
        </w:tc>
        <w:tc>
          <w:tcPr>
            <w:tcW w:w="0" w:type="auto"/>
            <w:hideMark/>
          </w:tcPr>
          <w:p w14:paraId="13E2A5D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Risky sexual behavior, HIV risk index</w:t>
            </w:r>
          </w:p>
        </w:tc>
      </w:tr>
    </w:tbl>
    <w:p w14:paraId="5DDFAE2D" w14:textId="77777777" w:rsidR="00C74F54" w:rsidRPr="00711D95" w:rsidRDefault="00C74F54" w:rsidP="00C74F54">
      <w:pPr>
        <w:bidi/>
        <w:rPr>
          <w:rFonts w:asciiTheme="majorBidi" w:hAnsiTheme="majorBidi" w:cstheme="majorBidi"/>
          <w:sz w:val="20"/>
          <w:szCs w:val="20"/>
          <w:rtl/>
        </w:rPr>
      </w:pPr>
    </w:p>
    <w:p w14:paraId="6929E902" w14:textId="77777777" w:rsidR="00C74F54" w:rsidRPr="00711D95" w:rsidRDefault="00C74F54" w:rsidP="00C74F54">
      <w:pPr>
        <w:bidi/>
        <w:rPr>
          <w:rFonts w:asciiTheme="majorBidi" w:hAnsiTheme="majorBidi" w:cstheme="majorBidi"/>
          <w:sz w:val="20"/>
          <w:szCs w:val="20"/>
          <w:rtl/>
        </w:rPr>
      </w:pPr>
    </w:p>
    <w:p w14:paraId="07DCEAD0" w14:textId="77777777" w:rsidR="00C74F54" w:rsidRPr="00711D95" w:rsidRDefault="00C74F54" w:rsidP="00C74F54">
      <w:pPr>
        <w:bidi/>
        <w:rPr>
          <w:rFonts w:asciiTheme="majorBidi" w:hAnsiTheme="majorBidi" w:cstheme="majorBidi"/>
          <w:sz w:val="20"/>
          <w:szCs w:val="20"/>
          <w:rtl/>
        </w:rPr>
      </w:pPr>
    </w:p>
    <w:p w14:paraId="4128F56B" w14:textId="77777777" w:rsidR="00C74F54" w:rsidRPr="00711D95" w:rsidRDefault="00C74F54" w:rsidP="00C74F54">
      <w:pPr>
        <w:bidi/>
      </w:pPr>
    </w:p>
    <w:p w14:paraId="5B5BEB20" w14:textId="77777777" w:rsidR="00C74F54" w:rsidRPr="00711D95" w:rsidRDefault="00C74F54" w:rsidP="00C74F54">
      <w:pPr>
        <w:rPr>
          <w:rtl/>
        </w:rPr>
      </w:pPr>
      <w:r w:rsidRPr="00711D95">
        <w:rPr>
          <w:rtl/>
        </w:rPr>
        <w:br w:type="page"/>
      </w:r>
    </w:p>
    <w:p w14:paraId="705821FC" w14:textId="77777777" w:rsidR="00C74F54" w:rsidRPr="00077E91" w:rsidRDefault="00C74F54" w:rsidP="00C74F54">
      <w:pPr>
        <w:bidi/>
        <w:jc w:val="center"/>
        <w:rPr>
          <w:rFonts w:asciiTheme="majorBidi" w:hAnsiTheme="majorBidi" w:cstheme="majorBidi"/>
        </w:rPr>
      </w:pPr>
      <w:r w:rsidRPr="00077E91">
        <w:rPr>
          <w:rFonts w:asciiTheme="majorBidi" w:hAnsiTheme="majorBidi" w:cstheme="majorBidi"/>
          <w:b/>
          <w:bCs/>
        </w:rPr>
        <w:lastRenderedPageBreak/>
        <w:t xml:space="preserve">Table 3: </w:t>
      </w:r>
      <w:r w:rsidRPr="00077E91">
        <w:rPr>
          <w:rFonts w:asciiTheme="majorBidi" w:hAnsiTheme="majorBidi" w:cstheme="majorBidi"/>
        </w:rPr>
        <w:t>Analyzing the differential effects of various interventions on biological and clinical outcomes.</w:t>
      </w:r>
    </w:p>
    <w:tbl>
      <w:tblPr>
        <w:tblStyle w:val="TableGrid"/>
        <w:tblW w:w="14041" w:type="dxa"/>
        <w:tblLook w:val="04A0" w:firstRow="1" w:lastRow="0" w:firstColumn="1" w:lastColumn="0" w:noHBand="0" w:noVBand="1"/>
      </w:tblPr>
      <w:tblGrid>
        <w:gridCol w:w="1936"/>
        <w:gridCol w:w="3241"/>
        <w:gridCol w:w="2068"/>
        <w:gridCol w:w="1316"/>
        <w:gridCol w:w="5480"/>
      </w:tblGrid>
      <w:tr w:rsidR="00C74F54" w:rsidRPr="00711D95" w14:paraId="6663E23A" w14:textId="77777777" w:rsidTr="001E07B3">
        <w:tc>
          <w:tcPr>
            <w:tcW w:w="0" w:type="auto"/>
            <w:gridSpan w:val="5"/>
          </w:tcPr>
          <w:p w14:paraId="001CA7F4" w14:textId="77777777" w:rsidR="00C74F54" w:rsidRPr="00711D95" w:rsidRDefault="00C74F54" w:rsidP="001E07B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C74F54" w:rsidRPr="00711D95" w14:paraId="47242E9B" w14:textId="77777777" w:rsidTr="001E07B3">
        <w:tc>
          <w:tcPr>
            <w:tcW w:w="0" w:type="auto"/>
            <w:hideMark/>
          </w:tcPr>
          <w:p w14:paraId="20EAB9D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Intervention Category</w:t>
            </w:r>
          </w:p>
        </w:tc>
        <w:tc>
          <w:tcPr>
            <w:tcW w:w="0" w:type="auto"/>
            <w:hideMark/>
          </w:tcPr>
          <w:p w14:paraId="67E75A9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Specific Intervention</w:t>
            </w:r>
          </w:p>
        </w:tc>
        <w:tc>
          <w:tcPr>
            <w:tcW w:w="0" w:type="auto"/>
            <w:hideMark/>
          </w:tcPr>
          <w:p w14:paraId="318C5B7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0" w:type="auto"/>
            <w:hideMark/>
          </w:tcPr>
          <w:p w14:paraId="709E4FB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Impact</w:t>
            </w:r>
          </w:p>
        </w:tc>
        <w:tc>
          <w:tcPr>
            <w:tcW w:w="0" w:type="auto"/>
            <w:hideMark/>
          </w:tcPr>
          <w:p w14:paraId="04658EC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Notes</w:t>
            </w:r>
          </w:p>
        </w:tc>
      </w:tr>
      <w:tr w:rsidR="00C74F54" w:rsidRPr="00711D95" w14:paraId="137B0509" w14:textId="77777777" w:rsidTr="001E07B3">
        <w:tc>
          <w:tcPr>
            <w:tcW w:w="0" w:type="auto"/>
            <w:hideMark/>
          </w:tcPr>
          <w:p w14:paraId="521CCBD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Technology/Hybrid</w:t>
            </w:r>
          </w:p>
        </w:tc>
        <w:tc>
          <w:tcPr>
            <w:tcW w:w="0" w:type="auto"/>
            <w:hideMark/>
          </w:tcPr>
          <w:p w14:paraId="35C6028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Face-to-face and technology-based, peer, trained staff or psychologist</w:t>
            </w:r>
          </w:p>
        </w:tc>
        <w:tc>
          <w:tcPr>
            <w:tcW w:w="0" w:type="auto"/>
            <w:hideMark/>
          </w:tcPr>
          <w:p w14:paraId="085AD63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 xml:space="preserve">HIV/STI testing </w:t>
            </w:r>
          </w:p>
        </w:tc>
        <w:tc>
          <w:tcPr>
            <w:tcW w:w="0" w:type="auto"/>
            <w:hideMark/>
          </w:tcPr>
          <w:p w14:paraId="1FD8130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 Impact</w:t>
            </w:r>
          </w:p>
        </w:tc>
        <w:tc>
          <w:tcPr>
            <w:tcW w:w="0" w:type="auto"/>
            <w:hideMark/>
          </w:tcPr>
          <w:p w14:paraId="3F5DFB3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While testing rates</w:t>
            </w:r>
            <w:r w:rsidRPr="00711D95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711D95">
              <w:rPr>
                <w:rFonts w:asciiTheme="majorBidi" w:hAnsiTheme="majorBidi" w:cstheme="majorBidi"/>
                <w:sz w:val="20"/>
                <w:szCs w:val="20"/>
              </w:rPr>
              <w:t>(as intermediate outcome) improved, the table notes that interventions generally had a stronger effect on knowledge and motivation than on biological endpoints.</w:t>
            </w:r>
          </w:p>
        </w:tc>
      </w:tr>
      <w:tr w:rsidR="00C74F54" w:rsidRPr="00711D95" w14:paraId="41A89B16" w14:textId="77777777" w:rsidTr="001E07B3">
        <w:tc>
          <w:tcPr>
            <w:tcW w:w="0" w:type="auto"/>
            <w:hideMark/>
          </w:tcPr>
          <w:p w14:paraId="717CE98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School-Based</w:t>
            </w:r>
          </w:p>
        </w:tc>
        <w:tc>
          <w:tcPr>
            <w:tcW w:w="0" w:type="auto"/>
            <w:hideMark/>
          </w:tcPr>
          <w:p w14:paraId="601705C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School-based sexual health education</w:t>
            </w:r>
          </w:p>
        </w:tc>
        <w:tc>
          <w:tcPr>
            <w:tcW w:w="0" w:type="auto"/>
            <w:hideMark/>
          </w:tcPr>
          <w:p w14:paraId="6E449BB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Incidence or prevalence of HIV and Herpes Simplex Virus 2 (HSV-2)</w:t>
            </w:r>
          </w:p>
        </w:tc>
        <w:tc>
          <w:tcPr>
            <w:tcW w:w="0" w:type="auto"/>
            <w:hideMark/>
          </w:tcPr>
          <w:p w14:paraId="5917D80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Significant Impact</w:t>
            </w:r>
          </w:p>
        </w:tc>
        <w:tc>
          <w:tcPr>
            <w:tcW w:w="0" w:type="auto"/>
            <w:hideMark/>
          </w:tcPr>
          <w:p w14:paraId="02C7AF9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Despite improving behavioral outcomes like condom use in the short/mid-term, these improvements did not translate into a statistically significant reduction in biological infection rates.</w:t>
            </w:r>
          </w:p>
        </w:tc>
      </w:tr>
      <w:tr w:rsidR="00C74F54" w:rsidRPr="00711D95" w14:paraId="38406277" w14:textId="77777777" w:rsidTr="001E07B3">
        <w:tc>
          <w:tcPr>
            <w:tcW w:w="0" w:type="auto"/>
            <w:hideMark/>
          </w:tcPr>
          <w:p w14:paraId="7C52634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School-Based/Media</w:t>
            </w:r>
          </w:p>
        </w:tc>
        <w:tc>
          <w:tcPr>
            <w:tcW w:w="0" w:type="auto"/>
            <w:hideMark/>
          </w:tcPr>
          <w:p w14:paraId="7FB8565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Education/information, skills training, provision of resources, mass media, counselling, social support</w:t>
            </w:r>
          </w:p>
        </w:tc>
        <w:tc>
          <w:tcPr>
            <w:tcW w:w="0" w:type="auto"/>
            <w:hideMark/>
          </w:tcPr>
          <w:p w14:paraId="5DD4371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Pregnancy</w:t>
            </w:r>
          </w:p>
        </w:tc>
        <w:tc>
          <w:tcPr>
            <w:tcW w:w="0" w:type="auto"/>
            <w:hideMark/>
          </w:tcPr>
          <w:p w14:paraId="315178B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Significant Impact</w:t>
            </w:r>
          </w:p>
        </w:tc>
        <w:tc>
          <w:tcPr>
            <w:tcW w:w="0" w:type="auto"/>
            <w:hideMark/>
          </w:tcPr>
          <w:p w14:paraId="1D8FFF4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Although knowledge outcomes favored the intervention group, this did not translate into a significant reduction in pregnancy rates at the biological level.</w:t>
            </w:r>
          </w:p>
        </w:tc>
      </w:tr>
      <w:tr w:rsidR="00C74F54" w:rsidRPr="00711D95" w14:paraId="6523D00D" w14:textId="77777777" w:rsidTr="001E07B3">
        <w:tc>
          <w:tcPr>
            <w:tcW w:w="0" w:type="auto"/>
            <w:hideMark/>
          </w:tcPr>
          <w:p w14:paraId="190E40C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Peer-Led</w:t>
            </w:r>
          </w:p>
        </w:tc>
        <w:tc>
          <w:tcPr>
            <w:tcW w:w="0" w:type="auto"/>
            <w:hideMark/>
          </w:tcPr>
          <w:p w14:paraId="52D6F79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Peer-led adolescent sexual health education</w:t>
            </w:r>
          </w:p>
        </w:tc>
        <w:tc>
          <w:tcPr>
            <w:tcW w:w="0" w:type="auto"/>
            <w:hideMark/>
          </w:tcPr>
          <w:p w14:paraId="1BE44C2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HIV, adolescent pregnancy</w:t>
            </w:r>
          </w:p>
        </w:tc>
        <w:tc>
          <w:tcPr>
            <w:tcW w:w="0" w:type="auto"/>
            <w:hideMark/>
          </w:tcPr>
          <w:p w14:paraId="2049F27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Significant Benefit</w:t>
            </w:r>
          </w:p>
        </w:tc>
        <w:tc>
          <w:tcPr>
            <w:tcW w:w="0" w:type="auto"/>
            <w:hideMark/>
          </w:tcPr>
          <w:p w14:paraId="4FE6D26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Overall evidence does not convincingly show peer-led education improves adolescent sexual outcomes (biological/behavioral).</w:t>
            </w:r>
          </w:p>
        </w:tc>
      </w:tr>
      <w:tr w:rsidR="00C74F54" w:rsidRPr="00711D95" w14:paraId="7FD896BB" w14:textId="77777777" w:rsidTr="001E07B3">
        <w:tc>
          <w:tcPr>
            <w:tcW w:w="0" w:type="auto"/>
            <w:hideMark/>
          </w:tcPr>
          <w:p w14:paraId="29F179D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Peer-Led</w:t>
            </w:r>
          </w:p>
        </w:tc>
        <w:tc>
          <w:tcPr>
            <w:tcW w:w="0" w:type="auto"/>
            <w:hideMark/>
          </w:tcPr>
          <w:p w14:paraId="2FDCBF6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Peer-led and teacher-led interventions</w:t>
            </w:r>
          </w:p>
        </w:tc>
        <w:tc>
          <w:tcPr>
            <w:tcW w:w="0" w:type="auto"/>
            <w:hideMark/>
          </w:tcPr>
          <w:p w14:paraId="42A8453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STI incidence (Implied via behavior)</w:t>
            </w:r>
          </w:p>
        </w:tc>
        <w:tc>
          <w:tcPr>
            <w:tcW w:w="0" w:type="auto"/>
            <w:hideMark/>
          </w:tcPr>
          <w:p w14:paraId="4C7309B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Limited Impact</w:t>
            </w:r>
          </w:p>
        </w:tc>
        <w:tc>
          <w:tcPr>
            <w:tcW w:w="0" w:type="auto"/>
            <w:hideMark/>
          </w:tcPr>
          <w:p w14:paraId="7447C18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Impact on actual sexual behavior is limited; most models didn’t clearly reduce risky behaviors. Only 3 out of 19 studies reported significant behavioral improvements.</w:t>
            </w:r>
          </w:p>
        </w:tc>
      </w:tr>
      <w:tr w:rsidR="00C74F54" w:rsidRPr="00711D95" w14:paraId="4502F17E" w14:textId="77777777" w:rsidTr="001E07B3">
        <w:tc>
          <w:tcPr>
            <w:tcW w:w="0" w:type="auto"/>
            <w:hideMark/>
          </w:tcPr>
          <w:p w14:paraId="331B8EC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Peer-Led</w:t>
            </w:r>
          </w:p>
        </w:tc>
        <w:tc>
          <w:tcPr>
            <w:tcW w:w="0" w:type="auto"/>
            <w:hideMark/>
          </w:tcPr>
          <w:p w14:paraId="4341321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Peer education interventions</w:t>
            </w:r>
          </w:p>
        </w:tc>
        <w:tc>
          <w:tcPr>
            <w:tcW w:w="0" w:type="auto"/>
            <w:hideMark/>
          </w:tcPr>
          <w:p w14:paraId="372BBFB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HIV, adolescent pregnancy</w:t>
            </w:r>
          </w:p>
        </w:tc>
        <w:tc>
          <w:tcPr>
            <w:tcW w:w="0" w:type="auto"/>
            <w:hideMark/>
          </w:tcPr>
          <w:p w14:paraId="24660EF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Clear Evidence</w:t>
            </w:r>
          </w:p>
        </w:tc>
        <w:tc>
          <w:tcPr>
            <w:tcW w:w="0" w:type="auto"/>
            <w:hideMark/>
          </w:tcPr>
          <w:p w14:paraId="7A590AD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Review of EU countries concluded that while peer education is popular, there is limited evidence of its effectiveness in preventing biological outcomes like HIV infection or pregnancy.</w:t>
            </w:r>
          </w:p>
        </w:tc>
      </w:tr>
      <w:tr w:rsidR="00C74F54" w:rsidRPr="00711D95" w14:paraId="79D78C5F" w14:textId="77777777" w:rsidTr="001E07B3">
        <w:tc>
          <w:tcPr>
            <w:tcW w:w="0" w:type="auto"/>
            <w:hideMark/>
          </w:tcPr>
          <w:p w14:paraId="1CF7389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Interpersonal</w:t>
            </w:r>
          </w:p>
        </w:tc>
        <w:tc>
          <w:tcPr>
            <w:tcW w:w="0" w:type="auto"/>
            <w:hideMark/>
          </w:tcPr>
          <w:p w14:paraId="53425C6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Interpersonal (counselling, motivational interviewing, CBT) or informational</w:t>
            </w:r>
          </w:p>
        </w:tc>
        <w:tc>
          <w:tcPr>
            <w:tcW w:w="0" w:type="auto"/>
            <w:hideMark/>
          </w:tcPr>
          <w:p w14:paraId="33DEF48B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Viral load, viral suppression, undetectable viral load</w:t>
            </w:r>
          </w:p>
        </w:tc>
        <w:tc>
          <w:tcPr>
            <w:tcW w:w="0" w:type="auto"/>
            <w:hideMark/>
          </w:tcPr>
          <w:p w14:paraId="0B58434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Mixed Impact</w:t>
            </w:r>
          </w:p>
        </w:tc>
        <w:tc>
          <w:tcPr>
            <w:tcW w:w="0" w:type="auto"/>
            <w:hideMark/>
          </w:tcPr>
          <w:p w14:paraId="5419B8E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Interventions affected viral load but did not significantly achieve undetectable viral load or viral suppression.</w:t>
            </w:r>
          </w:p>
        </w:tc>
      </w:tr>
      <w:tr w:rsidR="00C74F54" w:rsidRPr="00711D95" w14:paraId="05A58685" w14:textId="77777777" w:rsidTr="001E07B3">
        <w:tc>
          <w:tcPr>
            <w:tcW w:w="0" w:type="auto"/>
            <w:hideMark/>
          </w:tcPr>
          <w:p w14:paraId="5D310E8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Family/Community</w:t>
            </w:r>
          </w:p>
        </w:tc>
        <w:tc>
          <w:tcPr>
            <w:tcW w:w="0" w:type="auto"/>
            <w:hideMark/>
          </w:tcPr>
          <w:p w14:paraId="3E0707D1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Family, community, school-based interventions (in-person, media, computer, videos)</w:t>
            </w:r>
          </w:p>
        </w:tc>
        <w:tc>
          <w:tcPr>
            <w:tcW w:w="0" w:type="auto"/>
            <w:hideMark/>
          </w:tcPr>
          <w:p w14:paraId="2EC3AE4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Pregnancy, STI contraction</w:t>
            </w:r>
          </w:p>
        </w:tc>
        <w:tc>
          <w:tcPr>
            <w:tcW w:w="0" w:type="auto"/>
            <w:hideMark/>
          </w:tcPr>
          <w:p w14:paraId="24027D7E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Significant Impact</w:t>
            </w:r>
          </w:p>
        </w:tc>
        <w:tc>
          <w:tcPr>
            <w:tcW w:w="0" w:type="auto"/>
            <w:hideMark/>
          </w:tcPr>
          <w:p w14:paraId="0E95031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Although interventions significantly improved abstinence and condom use (behavioral) and psychological outcomes (knowledge, self-efficacy), they failed to produce significant changes in biological endpoints like pregnancy or STI rates.</w:t>
            </w:r>
          </w:p>
        </w:tc>
      </w:tr>
      <w:tr w:rsidR="00C74F54" w:rsidRPr="00711D95" w14:paraId="7599B0A8" w14:textId="77777777" w:rsidTr="001E07B3">
        <w:tc>
          <w:tcPr>
            <w:tcW w:w="0" w:type="auto"/>
            <w:hideMark/>
          </w:tcPr>
          <w:p w14:paraId="3A265005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Asset-Based</w:t>
            </w:r>
          </w:p>
        </w:tc>
        <w:tc>
          <w:tcPr>
            <w:tcW w:w="0" w:type="auto"/>
            <w:hideMark/>
          </w:tcPr>
          <w:p w14:paraId="6AD8900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Interventions addressing individual and community level health assets</w:t>
            </w:r>
          </w:p>
        </w:tc>
        <w:tc>
          <w:tcPr>
            <w:tcW w:w="0" w:type="auto"/>
            <w:hideMark/>
          </w:tcPr>
          <w:p w14:paraId="111A4FF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Risky sexual behaviors (Indirect link to biological)</w:t>
            </w:r>
          </w:p>
        </w:tc>
        <w:tc>
          <w:tcPr>
            <w:tcW w:w="0" w:type="auto"/>
            <w:hideMark/>
          </w:tcPr>
          <w:p w14:paraId="3979532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Indirect Impact</w:t>
            </w:r>
          </w:p>
        </w:tc>
        <w:tc>
          <w:tcPr>
            <w:tcW w:w="0" w:type="auto"/>
            <w:hideMark/>
          </w:tcPr>
          <w:p w14:paraId="7E78A68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Advanced negotiation follow-up significantly reduced risky sexual behaviors. While the primary reported outcomes were negotiation skills and knowledge, the reduction in risky behaviors suggests a potential pathway to improving biological outcomes.</w:t>
            </w:r>
          </w:p>
        </w:tc>
      </w:tr>
    </w:tbl>
    <w:p w14:paraId="241B039C" w14:textId="77777777" w:rsidR="00C74F54" w:rsidRPr="00711D95" w:rsidRDefault="00C74F54" w:rsidP="00C74F54">
      <w:pPr>
        <w:bidi/>
      </w:pPr>
    </w:p>
    <w:p w14:paraId="3B6644C6" w14:textId="77777777" w:rsidR="00C74F54" w:rsidRPr="00711D95" w:rsidRDefault="00C74F54" w:rsidP="00C74F54">
      <w:pPr>
        <w:bidi/>
        <w:rPr>
          <w:rtl/>
        </w:rPr>
      </w:pPr>
    </w:p>
    <w:p w14:paraId="5D69363F" w14:textId="77777777" w:rsidR="00C74F54" w:rsidRPr="00711D95" w:rsidRDefault="00C74F54" w:rsidP="00C74F54">
      <w:pPr>
        <w:bidi/>
        <w:rPr>
          <w:rtl/>
        </w:rPr>
      </w:pPr>
    </w:p>
    <w:p w14:paraId="2852F251" w14:textId="77777777" w:rsidR="00C74F54" w:rsidRPr="00711D95" w:rsidRDefault="00C74F54" w:rsidP="00C74F54">
      <w:pPr>
        <w:rPr>
          <w:rtl/>
        </w:rPr>
      </w:pPr>
      <w:r w:rsidRPr="00711D95">
        <w:rPr>
          <w:rtl/>
        </w:rPr>
        <w:br w:type="page"/>
      </w:r>
    </w:p>
    <w:p w14:paraId="1126E8B1" w14:textId="77777777" w:rsidR="00C74F54" w:rsidRPr="00711D95" w:rsidRDefault="00C74F54" w:rsidP="00C74F54">
      <w:pPr>
        <w:bidi/>
      </w:pPr>
    </w:p>
    <w:tbl>
      <w:tblPr>
        <w:tblStyle w:val="TableGrid"/>
        <w:tblW w:w="14041" w:type="dxa"/>
        <w:tblLook w:val="04A0" w:firstRow="1" w:lastRow="0" w:firstColumn="1" w:lastColumn="0" w:noHBand="0" w:noVBand="1"/>
      </w:tblPr>
      <w:tblGrid>
        <w:gridCol w:w="3742"/>
        <w:gridCol w:w="5568"/>
        <w:gridCol w:w="3092"/>
        <w:gridCol w:w="1639"/>
      </w:tblGrid>
      <w:tr w:rsidR="00C74F54" w:rsidRPr="00711D95" w14:paraId="15133131" w14:textId="77777777" w:rsidTr="001E07B3">
        <w:tc>
          <w:tcPr>
            <w:tcW w:w="0" w:type="auto"/>
            <w:gridSpan w:val="4"/>
          </w:tcPr>
          <w:p w14:paraId="1CB98AEC" w14:textId="77777777" w:rsidR="00C74F54" w:rsidRPr="00711D95" w:rsidRDefault="00C74F54" w:rsidP="001E07B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Table 4: Frequency and distribution of biological and clinical outcomes in included reviews (n=19)</w:t>
            </w:r>
          </w:p>
        </w:tc>
      </w:tr>
      <w:tr w:rsidR="00C74F54" w:rsidRPr="00711D95" w14:paraId="5BA8F786" w14:textId="77777777" w:rsidTr="001E07B3">
        <w:tc>
          <w:tcPr>
            <w:tcW w:w="0" w:type="auto"/>
            <w:hideMark/>
          </w:tcPr>
          <w:p w14:paraId="1C52D3C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Biological Outcome Category</w:t>
            </w:r>
          </w:p>
        </w:tc>
        <w:tc>
          <w:tcPr>
            <w:tcW w:w="0" w:type="auto"/>
            <w:hideMark/>
          </w:tcPr>
          <w:p w14:paraId="3093753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Specific Outcomes Reported</w:t>
            </w:r>
          </w:p>
        </w:tc>
        <w:tc>
          <w:tcPr>
            <w:tcW w:w="0" w:type="auto"/>
            <w:hideMark/>
          </w:tcPr>
          <w:p w14:paraId="2404F62F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Studies (Frequency)</w:t>
            </w:r>
          </w:p>
        </w:tc>
        <w:tc>
          <w:tcPr>
            <w:tcW w:w="0" w:type="auto"/>
            <w:hideMark/>
          </w:tcPr>
          <w:p w14:paraId="6D6520D2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Percentage (%)</w:t>
            </w:r>
          </w:p>
        </w:tc>
      </w:tr>
      <w:tr w:rsidR="00C74F54" w:rsidRPr="00711D95" w14:paraId="7DF2D5F7" w14:textId="77777777" w:rsidTr="001E07B3">
        <w:tc>
          <w:tcPr>
            <w:tcW w:w="0" w:type="auto"/>
            <w:hideMark/>
          </w:tcPr>
          <w:p w14:paraId="7C2CA46C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Pregnancy &amp; Reproductive Health</w:t>
            </w:r>
          </w:p>
        </w:tc>
        <w:tc>
          <w:tcPr>
            <w:tcW w:w="0" w:type="auto"/>
            <w:hideMark/>
          </w:tcPr>
          <w:p w14:paraId="57ACADC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Pregnancy occurrence, Unintended pregnancy, Birth rates</w:t>
            </w:r>
          </w:p>
        </w:tc>
        <w:tc>
          <w:tcPr>
            <w:tcW w:w="0" w:type="auto"/>
            <w:hideMark/>
          </w:tcPr>
          <w:p w14:paraId="1693B6E3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14:paraId="3BDBE52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47.4%</w:t>
            </w:r>
          </w:p>
        </w:tc>
      </w:tr>
      <w:tr w:rsidR="00C74F54" w:rsidRPr="00711D95" w14:paraId="6DCDDBE0" w14:textId="77777777" w:rsidTr="001E07B3">
        <w:tc>
          <w:tcPr>
            <w:tcW w:w="0" w:type="auto"/>
            <w:hideMark/>
          </w:tcPr>
          <w:p w14:paraId="68076BE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Sexually Transmitted Infections (STIs)</w:t>
            </w:r>
          </w:p>
        </w:tc>
        <w:tc>
          <w:tcPr>
            <w:tcW w:w="0" w:type="auto"/>
            <w:hideMark/>
          </w:tcPr>
          <w:p w14:paraId="7FC34A7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STI incidence (General), Chlamydia, Gonorrhea, HSV-2, HPV</w:t>
            </w:r>
          </w:p>
        </w:tc>
        <w:tc>
          <w:tcPr>
            <w:tcW w:w="0" w:type="auto"/>
            <w:hideMark/>
          </w:tcPr>
          <w:p w14:paraId="020CB75D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14:paraId="3CE30F4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63.2%</w:t>
            </w:r>
          </w:p>
        </w:tc>
      </w:tr>
      <w:tr w:rsidR="00C74F54" w:rsidRPr="00711D95" w14:paraId="0E185400" w14:textId="77777777" w:rsidTr="001E07B3">
        <w:tc>
          <w:tcPr>
            <w:tcW w:w="0" w:type="auto"/>
            <w:hideMark/>
          </w:tcPr>
          <w:p w14:paraId="0D79235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HIV Specific</w:t>
            </w:r>
          </w:p>
        </w:tc>
        <w:tc>
          <w:tcPr>
            <w:tcW w:w="0" w:type="auto"/>
            <w:hideMark/>
          </w:tcPr>
          <w:p w14:paraId="7B4DFAA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HIV incidence, HIV risk index, HIV testing</w:t>
            </w:r>
          </w:p>
        </w:tc>
        <w:tc>
          <w:tcPr>
            <w:tcW w:w="0" w:type="auto"/>
            <w:hideMark/>
          </w:tcPr>
          <w:p w14:paraId="7995B307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14:paraId="7F021624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42.1%</w:t>
            </w:r>
          </w:p>
        </w:tc>
      </w:tr>
      <w:tr w:rsidR="00C74F54" w:rsidRPr="00711D95" w14:paraId="6AEC5C1E" w14:textId="77777777" w:rsidTr="001E07B3">
        <w:tc>
          <w:tcPr>
            <w:tcW w:w="0" w:type="auto"/>
            <w:hideMark/>
          </w:tcPr>
          <w:p w14:paraId="565B2D4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Viral Markers (Clinical)</w:t>
            </w:r>
          </w:p>
        </w:tc>
        <w:tc>
          <w:tcPr>
            <w:tcW w:w="0" w:type="auto"/>
            <w:hideMark/>
          </w:tcPr>
          <w:p w14:paraId="02E5269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Viral load, Viral suppression, Undetectable viral load</w:t>
            </w:r>
          </w:p>
        </w:tc>
        <w:tc>
          <w:tcPr>
            <w:tcW w:w="0" w:type="auto"/>
            <w:hideMark/>
          </w:tcPr>
          <w:p w14:paraId="2C05EC89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A50056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15.8%</w:t>
            </w:r>
          </w:p>
        </w:tc>
      </w:tr>
      <w:tr w:rsidR="00C74F54" w:rsidRPr="00711D95" w14:paraId="7FC275CE" w14:textId="77777777" w:rsidTr="001E07B3">
        <w:tc>
          <w:tcPr>
            <w:tcW w:w="0" w:type="auto"/>
            <w:hideMark/>
          </w:tcPr>
          <w:p w14:paraId="0896D620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General Clinical/Service Uptake</w:t>
            </w:r>
          </w:p>
        </w:tc>
        <w:tc>
          <w:tcPr>
            <w:tcW w:w="0" w:type="auto"/>
            <w:hideMark/>
          </w:tcPr>
          <w:p w14:paraId="1DA13A68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STI testing uptake, Service utilization</w:t>
            </w:r>
          </w:p>
        </w:tc>
        <w:tc>
          <w:tcPr>
            <w:tcW w:w="0" w:type="auto"/>
            <w:hideMark/>
          </w:tcPr>
          <w:p w14:paraId="4D4A64C6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A08D43A" w14:textId="77777777" w:rsidR="00C74F54" w:rsidRPr="00711D95" w:rsidRDefault="00C74F54" w:rsidP="001E07B3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11D95">
              <w:rPr>
                <w:rFonts w:asciiTheme="majorBidi" w:hAnsiTheme="majorBidi" w:cstheme="majorBidi"/>
                <w:sz w:val="20"/>
                <w:szCs w:val="20"/>
              </w:rPr>
              <w:t>10.5%</w:t>
            </w:r>
          </w:p>
        </w:tc>
      </w:tr>
    </w:tbl>
    <w:p w14:paraId="622E5DA4" w14:textId="77777777" w:rsidR="00C74F54" w:rsidRPr="00102DC4" w:rsidRDefault="00C74F54" w:rsidP="00C74F54">
      <w:pPr>
        <w:rPr>
          <w:rFonts w:asciiTheme="majorBidi" w:hAnsiTheme="majorBidi" w:cstheme="majorBidi"/>
          <w:sz w:val="20"/>
          <w:szCs w:val="20"/>
        </w:rPr>
      </w:pPr>
      <w:r w:rsidRPr="00711D95">
        <w:rPr>
          <w:rFonts w:asciiTheme="majorBidi" w:hAnsiTheme="majorBidi" w:cstheme="majorBidi"/>
          <w:i/>
          <w:iCs/>
          <w:sz w:val="20"/>
          <w:szCs w:val="20"/>
        </w:rPr>
        <w:t>(</w:t>
      </w:r>
      <w:r w:rsidRPr="00711D95">
        <w:rPr>
          <w:rFonts w:asciiTheme="majorBidi" w:hAnsiTheme="majorBidi" w:cstheme="majorBidi"/>
          <w:sz w:val="20"/>
          <w:szCs w:val="20"/>
        </w:rPr>
        <w:t>Note: Since some studies investigated multiple outcomes, the total percentage exceeds 100%.)</w:t>
      </w:r>
    </w:p>
    <w:p w14:paraId="27CB3585" w14:textId="77777777" w:rsidR="00C74F54" w:rsidRPr="00102DC4" w:rsidRDefault="00C74F54" w:rsidP="00C74F54">
      <w:pPr>
        <w:bidi/>
        <w:rPr>
          <w:rtl/>
        </w:rPr>
      </w:pPr>
    </w:p>
    <w:p w14:paraId="0CE0490A" w14:textId="77777777" w:rsidR="00DE6AE2" w:rsidRDefault="00DE6AE2"/>
    <w:sectPr w:rsidR="00DE6AE2" w:rsidSect="00C74F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54"/>
    <w:rsid w:val="00195413"/>
    <w:rsid w:val="003A03A7"/>
    <w:rsid w:val="003D0186"/>
    <w:rsid w:val="007278E4"/>
    <w:rsid w:val="00A3738C"/>
    <w:rsid w:val="00B91ABC"/>
    <w:rsid w:val="00BC6C35"/>
    <w:rsid w:val="00C74F54"/>
    <w:rsid w:val="00CB270D"/>
    <w:rsid w:val="00CF62B1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406C3"/>
  <w15:chartTrackingRefBased/>
  <w15:docId w15:val="{FB3AA584-7A5F-4461-9B44-84FCE55B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54"/>
  </w:style>
  <w:style w:type="paragraph" w:styleId="Heading1">
    <w:name w:val="heading 1"/>
    <w:basedOn w:val="Normal"/>
    <w:next w:val="Normal"/>
    <w:link w:val="Heading1Char"/>
    <w:uiPriority w:val="9"/>
    <w:qFormat/>
    <w:rsid w:val="00C74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F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F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F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F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F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F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F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1501</Words>
  <Characters>8561</Characters>
  <Application>Microsoft Office Word</Application>
  <DocSecurity>0</DocSecurity>
  <Lines>71</Lines>
  <Paragraphs>20</Paragraphs>
  <ScaleCrop>false</ScaleCrop>
  <Company>Springer Nature</Company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2026-07-08T10:38:00Z</dcterms:created>
  <dcterms:modified xsi:type="dcterms:W3CDTF">2026-07-08T10:39:00Z</dcterms:modified>
</cp:coreProperties>
</file>