
<file path=[Content_Types].xml><?xml version="1.0" encoding="utf-8"?>
<Types xmlns="http://schemas.openxmlformats.org/package/2006/content-types">
  <Default Extension="xml" ContentType="application/xml"/>
  <Default Extension="jpeg" ContentType="image/jpeg"/>
  <Default Extension="JPG" ContentType="image/.jpg"/>
  <Default Extension="tiff" ContentType="image/tif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165C7C8">
      <w:pPr>
        <w:rPr>
          <w:rFonts w:ascii="Times New Roman" w:hAnsi="Times New Roman" w:cs="Times New Roman"/>
          <w:b/>
          <w:bCs/>
          <w:sz w:val="32"/>
          <w:szCs w:val="32"/>
        </w:rPr>
      </w:pPr>
      <w:r>
        <w:rPr>
          <w:rFonts w:hint="eastAsia" w:ascii="Times New Roman" w:hAnsi="Times New Roman" w:cs="Times New Roman"/>
          <w:b/>
          <w:bCs/>
          <w:sz w:val="32"/>
          <w:szCs w:val="32"/>
        </w:rPr>
        <w:t>Interface Synergistic Regulation-Driven Green Construction of Ternary Composite Carbon Films</w:t>
      </w:r>
    </w:p>
    <w:p w14:paraId="1B43E0E1">
      <w:pPr>
        <w:spacing w:before="120" w:after="120" w:line="360" w:lineRule="auto"/>
        <w:rPr>
          <w:rFonts w:hint="eastAsia" w:ascii="Times New Roman" w:hAnsi="Times New Roman" w:cs="Times New Roman"/>
          <w:sz w:val="22"/>
          <w:vertAlign w:val="baseline"/>
        </w:rPr>
      </w:pPr>
      <w:r>
        <w:rPr>
          <w:rFonts w:hint="eastAsia" w:ascii="Times New Roman" w:hAnsi="Times New Roman" w:cs="Times New Roman"/>
          <w:sz w:val="22"/>
          <w:vertAlign w:val="baseline"/>
        </w:rPr>
        <w:t>Zerui Chen</w:t>
      </w: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Zexi Lin</w:t>
      </w: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Hao Zhong</w:t>
      </w: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Shaozhong Zeng</w:t>
      </w: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Shuzhang Niu</w:t>
      </w: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Zeguo Tang</w:t>
      </w: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Dongju Fu</w:t>
      </w: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Peigang Han</w:t>
      </w: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Xiao Yu</w:t>
      </w: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and Yan-Bing He</w:t>
      </w:r>
      <w:r>
        <w:rPr>
          <w:rFonts w:hint="eastAsia" w:ascii="Times New Roman" w:hAnsi="Times New Roman" w:cs="Times New Roman"/>
          <w:sz w:val="22"/>
          <w:vertAlign w:val="superscript"/>
          <w:lang w:val="en-US" w:eastAsia="zh-CN"/>
        </w:rPr>
        <w:t>b</w:t>
      </w:r>
      <w:r>
        <w:rPr>
          <w:rFonts w:hint="eastAsia" w:ascii="Times New Roman" w:hAnsi="Times New Roman" w:cs="Times New Roman"/>
          <w:sz w:val="22"/>
          <w:vertAlign w:val="superscript"/>
        </w:rPr>
        <w:t>*</w:t>
      </w:r>
    </w:p>
    <w:p w14:paraId="30BB5579">
      <w:pPr>
        <w:spacing w:before="120" w:after="120" w:line="360" w:lineRule="auto"/>
        <w:rPr>
          <w:rFonts w:hint="eastAsia" w:ascii="Times New Roman" w:hAnsi="Times New Roman" w:cs="Times New Roman"/>
          <w:sz w:val="22"/>
          <w:vertAlign w:val="baseline"/>
        </w:rPr>
      </w:pPr>
      <w:r>
        <w:rPr>
          <w:rFonts w:hint="eastAsia" w:ascii="Times New Roman" w:hAnsi="Times New Roman" w:cs="Times New Roman"/>
          <w:sz w:val="22"/>
          <w:vertAlign w:val="superscript"/>
        </w:rPr>
        <w:t>a</w:t>
      </w:r>
      <w:r>
        <w:rPr>
          <w:rFonts w:hint="eastAsia" w:ascii="Times New Roman" w:hAnsi="Times New Roman" w:cs="Times New Roman"/>
          <w:sz w:val="22"/>
          <w:vertAlign w:val="baseline"/>
        </w:rPr>
        <w:t xml:space="preserve"> College of New Materials and New Energies, Shenzhen Technology University, Shenzhen, 518118 P. R. China</w:t>
      </w:r>
    </w:p>
    <w:p w14:paraId="64E211F2">
      <w:pPr>
        <w:spacing w:before="120" w:after="120" w:line="360" w:lineRule="auto"/>
        <w:rPr>
          <w:rFonts w:hint="eastAsia" w:ascii="Times New Roman" w:hAnsi="Times New Roman" w:cs="Times New Roman"/>
          <w:sz w:val="22"/>
          <w:vertAlign w:val="baseline"/>
        </w:rPr>
      </w:pPr>
      <w:r>
        <w:rPr>
          <w:rFonts w:hint="eastAsia" w:ascii="Times New Roman" w:hAnsi="Times New Roman" w:cs="Times New Roman"/>
          <w:sz w:val="22"/>
          <w:vertAlign w:val="superscript"/>
        </w:rPr>
        <w:t>b</w:t>
      </w:r>
      <w:r>
        <w:rPr>
          <w:rFonts w:hint="eastAsia" w:ascii="Times New Roman" w:hAnsi="Times New Roman" w:cs="Times New Roman"/>
          <w:sz w:val="22"/>
          <w:vertAlign w:val="baseline"/>
        </w:rPr>
        <w:t xml:space="preserve"> Shenzhen All-Solid-State Lithium Battery Electrolyte Engineering Research Center, Institute of Materials Research (IMR), Tsinghua Shenzhen International Graduate School, Tsinghua University, Shenzhen, 518055 P. R. China</w:t>
      </w:r>
    </w:p>
    <w:p w14:paraId="1A0E10D7">
      <w:pPr>
        <w:rPr>
          <w:rFonts w:ascii="Times New Roman" w:hAnsi="Times New Roman" w:cs="Times New Roman"/>
          <w:b/>
          <w:bCs/>
          <w:sz w:val="22"/>
        </w:rPr>
      </w:pPr>
    </w:p>
    <w:p w14:paraId="7DB5BBE6">
      <w:pPr>
        <w:rPr>
          <w:rFonts w:ascii="Times New Roman" w:hAnsi="Times New Roman" w:cs="Times New Roman"/>
          <w:b/>
          <w:bCs/>
          <w:sz w:val="22"/>
        </w:rPr>
      </w:pPr>
    </w:p>
    <w:p w14:paraId="7C6B9468">
      <w:pPr>
        <w:rPr>
          <w:rFonts w:ascii="Times New Roman" w:hAnsi="Times New Roman" w:cs="Times New Roman"/>
          <w:b/>
          <w:bCs/>
          <w:sz w:val="22"/>
        </w:rPr>
      </w:pPr>
    </w:p>
    <w:p w14:paraId="799DFBC0">
      <w:pPr>
        <w:rPr>
          <w:rFonts w:ascii="Times New Roman" w:hAnsi="Times New Roman" w:cs="Times New Roman"/>
          <w:b/>
          <w:bCs/>
          <w:sz w:val="22"/>
        </w:rPr>
      </w:pPr>
    </w:p>
    <w:p w14:paraId="47AD3363">
      <w:pPr>
        <w:rPr>
          <w:rFonts w:ascii="Times New Roman" w:hAnsi="Times New Roman" w:cs="Times New Roman"/>
          <w:b/>
          <w:bCs/>
          <w:sz w:val="22"/>
        </w:rPr>
      </w:pPr>
    </w:p>
    <w:p w14:paraId="520DAFB0">
      <w:pPr>
        <w:rPr>
          <w:rFonts w:ascii="Times New Roman" w:hAnsi="Times New Roman" w:cs="Times New Roman"/>
          <w:b/>
          <w:bCs/>
          <w:sz w:val="22"/>
        </w:rPr>
      </w:pPr>
    </w:p>
    <w:p w14:paraId="0AFE7B1D">
      <w:pPr>
        <w:rPr>
          <w:rFonts w:ascii="Times New Roman" w:hAnsi="Times New Roman" w:cs="Times New Roman"/>
          <w:b/>
          <w:bCs/>
          <w:sz w:val="22"/>
        </w:rPr>
      </w:pPr>
    </w:p>
    <w:p w14:paraId="74298A11">
      <w:pPr>
        <w:rPr>
          <w:rFonts w:ascii="Times New Roman" w:hAnsi="Times New Roman" w:cs="Times New Roman"/>
          <w:b/>
          <w:bCs/>
          <w:sz w:val="22"/>
        </w:rPr>
      </w:pPr>
    </w:p>
    <w:p w14:paraId="778E1472">
      <w:pPr>
        <w:rPr>
          <w:rFonts w:ascii="Times New Roman" w:hAnsi="Times New Roman" w:cs="Times New Roman"/>
          <w:b/>
          <w:bCs/>
          <w:sz w:val="22"/>
        </w:rPr>
      </w:pPr>
    </w:p>
    <w:p w14:paraId="20A256AB">
      <w:pPr>
        <w:rPr>
          <w:rFonts w:ascii="Times New Roman" w:hAnsi="Times New Roman" w:cs="Times New Roman"/>
          <w:b/>
          <w:bCs/>
          <w:sz w:val="22"/>
        </w:rPr>
      </w:pPr>
    </w:p>
    <w:p w14:paraId="653CF058">
      <w:pPr>
        <w:rPr>
          <w:rFonts w:ascii="Times New Roman" w:hAnsi="Times New Roman" w:cs="Times New Roman"/>
          <w:b/>
          <w:bCs/>
          <w:sz w:val="22"/>
        </w:rPr>
      </w:pPr>
    </w:p>
    <w:p w14:paraId="01F6F93F">
      <w:pPr>
        <w:rPr>
          <w:rFonts w:ascii="Times New Roman" w:hAnsi="Times New Roman" w:cs="Times New Roman"/>
          <w:b/>
          <w:bCs/>
          <w:sz w:val="22"/>
        </w:rPr>
      </w:pPr>
    </w:p>
    <w:p w14:paraId="0F5F2F1D">
      <w:pPr>
        <w:rPr>
          <w:rFonts w:ascii="Times New Roman" w:hAnsi="Times New Roman" w:cs="Times New Roman"/>
          <w:b/>
          <w:bCs/>
          <w:sz w:val="22"/>
        </w:rPr>
      </w:pPr>
    </w:p>
    <w:p w14:paraId="5EADCD90">
      <w:pPr>
        <w:rPr>
          <w:rFonts w:ascii="Times New Roman" w:hAnsi="Times New Roman" w:cs="Times New Roman"/>
          <w:b/>
          <w:bCs/>
          <w:sz w:val="22"/>
        </w:rPr>
      </w:pPr>
    </w:p>
    <w:p w14:paraId="701D06D1">
      <w:pPr>
        <w:rPr>
          <w:rFonts w:ascii="Times New Roman" w:hAnsi="Times New Roman" w:cs="Times New Roman"/>
          <w:b/>
          <w:bCs/>
          <w:sz w:val="22"/>
        </w:rPr>
      </w:pPr>
    </w:p>
    <w:p w14:paraId="34F3FAB1">
      <w:pPr>
        <w:rPr>
          <w:rFonts w:ascii="Times New Roman" w:hAnsi="Times New Roman" w:cs="Times New Roman"/>
          <w:b/>
          <w:bCs/>
          <w:sz w:val="22"/>
        </w:rPr>
      </w:pPr>
    </w:p>
    <w:p w14:paraId="589A8BEA">
      <w:pPr>
        <w:rPr>
          <w:rFonts w:ascii="Times New Roman" w:hAnsi="Times New Roman" w:cs="Times New Roman"/>
          <w:b/>
          <w:bCs/>
          <w:sz w:val="22"/>
        </w:rPr>
      </w:pPr>
    </w:p>
    <w:p w14:paraId="0AE58EF1">
      <w:pPr>
        <w:rPr>
          <w:rFonts w:ascii="Times New Roman" w:hAnsi="Times New Roman" w:cs="Times New Roman"/>
          <w:b/>
          <w:bCs/>
          <w:sz w:val="22"/>
        </w:rPr>
      </w:pPr>
    </w:p>
    <w:p w14:paraId="7C07EED2">
      <w:pPr>
        <w:rPr>
          <w:rFonts w:ascii="Times New Roman" w:hAnsi="Times New Roman" w:cs="Times New Roman"/>
          <w:b/>
          <w:bCs/>
          <w:sz w:val="22"/>
        </w:rPr>
      </w:pPr>
    </w:p>
    <w:p w14:paraId="0B4B879B">
      <w:pPr>
        <w:rPr>
          <w:rFonts w:ascii="Times New Roman" w:hAnsi="Times New Roman" w:cs="Times New Roman"/>
          <w:b/>
          <w:bCs/>
          <w:sz w:val="22"/>
        </w:rPr>
      </w:pPr>
    </w:p>
    <w:p w14:paraId="6FCD4F46">
      <w:pPr>
        <w:rPr>
          <w:rFonts w:ascii="Times New Roman" w:hAnsi="Times New Roman" w:cs="Times New Roman"/>
          <w:b/>
          <w:bCs/>
          <w:sz w:val="22"/>
        </w:rPr>
      </w:pPr>
    </w:p>
    <w:p w14:paraId="2028DC52">
      <w:pPr>
        <w:rPr>
          <w:rFonts w:ascii="Times New Roman" w:hAnsi="Times New Roman" w:cs="Times New Roman"/>
          <w:b/>
          <w:bCs/>
          <w:sz w:val="22"/>
        </w:rPr>
      </w:pPr>
    </w:p>
    <w:p w14:paraId="42106ED6">
      <w:pPr>
        <w:rPr>
          <w:rFonts w:hint="eastAsia" w:ascii="Times New Roman" w:hAnsi="Times New Roman" w:cs="Times New Roman"/>
          <w:b/>
          <w:bCs/>
          <w:sz w:val="22"/>
        </w:rPr>
      </w:pPr>
    </w:p>
    <w:p w14:paraId="4268D72D">
      <w:pPr>
        <w:jc w:val="center"/>
        <w:rPr>
          <w:rFonts w:ascii="Times New Roman" w:hAnsi="Times New Roman" w:cs="Times New Roman"/>
          <w:b/>
          <w:bCs/>
          <w:sz w:val="22"/>
        </w:rPr>
      </w:pPr>
      <w:r>
        <w:rPr>
          <w:rFonts w:ascii="Times New Roman" w:hAnsi="Times New Roman" w:cs="Times New Roman"/>
          <w:b/>
          <w:bCs/>
          <w:sz w:val="22"/>
        </w:rPr>
        <w:drawing>
          <wp:inline distT="0" distB="0" distL="0" distR="0">
            <wp:extent cx="2879725" cy="701929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4"/>
                    <a:stretch>
                      <a:fillRect/>
                    </a:stretch>
                  </pic:blipFill>
                  <pic:spPr>
                    <a:xfrm>
                      <a:off x="0" y="0"/>
                      <a:ext cx="2880000" cy="7019560"/>
                    </a:xfrm>
                    <a:prstGeom prst="rect">
                      <a:avLst/>
                    </a:prstGeom>
                    <a:noFill/>
                    <a:ln>
                      <a:noFill/>
                    </a:ln>
                  </pic:spPr>
                </pic:pic>
              </a:graphicData>
            </a:graphic>
          </wp:inline>
        </w:drawing>
      </w:r>
      <w:r>
        <w:rPr>
          <w:rFonts w:hint="eastAsia" w:ascii="Times New Roman" w:hAnsi="Times New Roman" w:cs="Times New Roman"/>
          <w:b/>
          <w:bCs/>
          <w:sz w:val="22"/>
        </w:rPr>
        <w:t xml:space="preserve">  </w:t>
      </w:r>
    </w:p>
    <w:p w14:paraId="0E947758">
      <w:pPr>
        <w:jc w:val="center"/>
        <w:rPr>
          <w:rFonts w:ascii="Times New Roman" w:hAnsi="Times New Roman" w:cs="Times New Roman"/>
          <w:sz w:val="22"/>
        </w:rPr>
      </w:pPr>
      <w:r>
        <w:rPr>
          <w:rFonts w:hint="eastAsia" w:ascii="Times New Roman" w:hAnsi="Times New Roman" w:cs="Times New Roman"/>
          <w:b/>
          <w:bCs/>
          <w:sz w:val="22"/>
        </w:rPr>
        <w:t>Supplementary Figure 1. Influence of CMC for solution stability.</w:t>
      </w:r>
      <w:r>
        <w:rPr>
          <w:rFonts w:hint="eastAsia" w:ascii="Times New Roman" w:hAnsi="Times New Roman" w:cs="Times New Roman"/>
          <w:sz w:val="22"/>
        </w:rPr>
        <w:t xml:space="preserve"> (a) optical photo of aqueous dispersion of GO and CM-SWCNTs with and without CMC and (b) the SEM graph of TCF without adding CMC. (c) The TEM graph CM-SWCNT.</w:t>
      </w:r>
    </w:p>
    <w:p w14:paraId="65367680">
      <w:pPr>
        <w:jc w:val="center"/>
        <w:rPr>
          <w:rFonts w:ascii="Times New Roman" w:hAnsi="Times New Roman" w:cs="Times New Roman"/>
          <w:b/>
          <w:bCs/>
          <w:sz w:val="22"/>
        </w:rPr>
      </w:pPr>
    </w:p>
    <w:p w14:paraId="284A2048">
      <w:pPr>
        <w:jc w:val="center"/>
        <w:rPr>
          <w:rFonts w:ascii="Times New Roman" w:hAnsi="Times New Roman" w:cs="Times New Roman"/>
          <w:b/>
          <w:bCs/>
          <w:sz w:val="22"/>
        </w:rPr>
      </w:pPr>
    </w:p>
    <w:p w14:paraId="378D5304">
      <w:pPr>
        <w:jc w:val="center"/>
        <w:rPr>
          <w:rFonts w:ascii="Times New Roman" w:hAnsi="Times New Roman" w:cs="Times New Roman"/>
          <w:b/>
          <w:bCs/>
          <w:sz w:val="22"/>
        </w:rPr>
      </w:pPr>
      <w:r>
        <w:rPr>
          <w:rFonts w:ascii="Times New Roman" w:hAnsi="Times New Roman" w:cs="Times New Roman"/>
          <w:b/>
          <w:bCs/>
          <w:sz w:val="22"/>
        </w:rPr>
        <w:drawing>
          <wp:inline distT="0" distB="0" distL="0" distR="0">
            <wp:extent cx="2882900" cy="7063105"/>
            <wp:effectExtent l="0" t="0" r="0" b="4445"/>
            <wp:docPr id="11794718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71811" name="图片 18"/>
                    <pic:cNvPicPr>
                      <a:picLocks noChangeAspect="1" noChangeArrowheads="1"/>
                    </pic:cNvPicPr>
                  </pic:nvPicPr>
                  <pic:blipFill>
                    <a:blip r:embed="rId5"/>
                    <a:stretch>
                      <a:fillRect/>
                    </a:stretch>
                  </pic:blipFill>
                  <pic:spPr>
                    <a:xfrm>
                      <a:off x="0" y="0"/>
                      <a:ext cx="2883211" cy="7063105"/>
                    </a:xfrm>
                    <a:prstGeom prst="rect">
                      <a:avLst/>
                    </a:prstGeom>
                    <a:noFill/>
                    <a:ln>
                      <a:noFill/>
                    </a:ln>
                  </pic:spPr>
                </pic:pic>
              </a:graphicData>
            </a:graphic>
          </wp:inline>
        </w:drawing>
      </w:r>
    </w:p>
    <w:p w14:paraId="02611553">
      <w:pPr>
        <w:jc w:val="center"/>
        <w:rPr>
          <w:rFonts w:ascii="Times New Roman" w:hAnsi="Times New Roman" w:cs="Times New Roman"/>
          <w:sz w:val="22"/>
        </w:rPr>
      </w:pPr>
      <w:bookmarkStart w:id="0" w:name="OLE_LINK1"/>
      <w:r>
        <w:rPr>
          <w:rFonts w:hint="eastAsia" w:ascii="Times New Roman" w:hAnsi="Times New Roman" w:cs="Times New Roman"/>
          <w:b/>
          <w:bCs/>
          <w:sz w:val="22"/>
        </w:rPr>
        <w:t>Supplementary</w:t>
      </w:r>
      <w:bookmarkEnd w:id="0"/>
      <w:r>
        <w:rPr>
          <w:rFonts w:hint="eastAsia" w:ascii="Times New Roman" w:hAnsi="Times New Roman" w:cs="Times New Roman"/>
          <w:b/>
          <w:bCs/>
          <w:sz w:val="22"/>
        </w:rPr>
        <w:t xml:space="preserve"> Figure 2. The optical photo of TCF.</w:t>
      </w:r>
      <w:r>
        <w:rPr>
          <w:rFonts w:hint="eastAsia" w:ascii="Times New Roman" w:hAnsi="Times New Roman" w:cs="Times New Roman"/>
          <w:sz w:val="22"/>
        </w:rPr>
        <w:t xml:space="preserve"> (a) HCl-treated Copper foil, (b) RGO@CM-SWCNT@GO gel, and (c) </w:t>
      </w:r>
      <w:bookmarkStart w:id="1" w:name="OLE_LINK4"/>
      <w:r>
        <w:rPr>
          <w:rFonts w:hint="eastAsia" w:ascii="Times New Roman" w:hAnsi="Times New Roman" w:cs="Times New Roman"/>
          <w:sz w:val="22"/>
        </w:rPr>
        <w:t>RGO@CM-SWCNT@GO TCFs</w:t>
      </w:r>
      <w:bookmarkEnd w:id="1"/>
      <w:r>
        <w:rPr>
          <w:rFonts w:hint="eastAsia" w:ascii="Times New Roman" w:hAnsi="Times New Roman" w:cs="Times New Roman"/>
          <w:sz w:val="22"/>
        </w:rPr>
        <w:t>.</w:t>
      </w:r>
    </w:p>
    <w:p w14:paraId="76D206C9">
      <w:pPr>
        <w:jc w:val="center"/>
        <w:rPr>
          <w:rFonts w:ascii="Times New Roman" w:hAnsi="Times New Roman" w:cs="Times New Roman"/>
          <w:sz w:val="22"/>
        </w:rPr>
      </w:pPr>
    </w:p>
    <w:p w14:paraId="4C8610EC">
      <w:pPr>
        <w:jc w:val="center"/>
        <w:rPr>
          <w:rFonts w:ascii="Times New Roman" w:hAnsi="Times New Roman" w:cs="Times New Roman"/>
          <w:sz w:val="22"/>
        </w:rPr>
      </w:pPr>
    </w:p>
    <w:p w14:paraId="5D5D0491">
      <w:pPr>
        <w:jc w:val="center"/>
        <w:rPr>
          <w:rFonts w:ascii="Times New Roman" w:hAnsi="Times New Roman" w:cs="Times New Roman"/>
          <w:b/>
          <w:bCs/>
          <w:sz w:val="22"/>
        </w:rPr>
      </w:pPr>
      <w:r>
        <w:rPr>
          <w:rFonts w:ascii="Times New Roman" w:hAnsi="Times New Roman" w:cs="Times New Roman"/>
          <w:b/>
          <w:bCs/>
          <w:sz w:val="22"/>
        </w:rPr>
        <w:drawing>
          <wp:inline distT="0" distB="0" distL="0" distR="0">
            <wp:extent cx="2881630" cy="4682490"/>
            <wp:effectExtent l="0" t="0" r="4445" b="3810"/>
            <wp:docPr id="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6"/>
                    <pic:cNvPicPr>
                      <a:picLocks noChangeAspect="1" noChangeArrowheads="1"/>
                    </pic:cNvPicPr>
                  </pic:nvPicPr>
                  <pic:blipFill>
                    <a:blip r:embed="rId6"/>
                    <a:stretch>
                      <a:fillRect/>
                    </a:stretch>
                  </pic:blipFill>
                  <pic:spPr>
                    <a:xfrm>
                      <a:off x="0" y="0"/>
                      <a:ext cx="2881766" cy="4682490"/>
                    </a:xfrm>
                    <a:prstGeom prst="rect">
                      <a:avLst/>
                    </a:prstGeom>
                    <a:noFill/>
                    <a:ln>
                      <a:noFill/>
                    </a:ln>
                  </pic:spPr>
                </pic:pic>
              </a:graphicData>
            </a:graphic>
          </wp:inline>
        </w:drawing>
      </w:r>
    </w:p>
    <w:p w14:paraId="110B0C53">
      <w:pPr>
        <w:jc w:val="center"/>
        <w:rPr>
          <w:rFonts w:ascii="Times New Roman" w:hAnsi="Times New Roman" w:cs="Times New Roman"/>
          <w:b/>
          <w:bCs/>
          <w:sz w:val="22"/>
        </w:rPr>
      </w:pPr>
      <w:r>
        <w:rPr>
          <w:rFonts w:hint="eastAsia" w:ascii="Times New Roman" w:hAnsi="Times New Roman" w:cs="Times New Roman"/>
          <w:b/>
          <w:bCs/>
          <w:sz w:val="22"/>
        </w:rPr>
        <w:t>Supplementary Figure 3. The potential of TCF toward large-scale preparation and customization.</w:t>
      </w:r>
      <w:r>
        <w:rPr>
          <w:rFonts w:hint="eastAsia" w:ascii="Times New Roman" w:hAnsi="Times New Roman" w:cs="Times New Roman"/>
          <w:sz w:val="22"/>
        </w:rPr>
        <w:t xml:space="preserve"> (a) 1-32%-4h TCF with 18.5</w:t>
      </w:r>
      <w:r>
        <w:rPr>
          <w:sz w:val="22"/>
          <w:szCs w:val="22"/>
        </w:rPr>
        <w:t>×</w:t>
      </w:r>
      <w:r>
        <w:rPr>
          <w:rFonts w:hint="eastAsia" w:ascii="Times New Roman" w:hAnsi="Times New Roman" w:cs="Times New Roman"/>
          <w:sz w:val="22"/>
        </w:rPr>
        <w:t>18.5 cm</w:t>
      </w:r>
      <w:r>
        <w:rPr>
          <w:rFonts w:hint="eastAsia" w:ascii="Times New Roman" w:hAnsi="Times New Roman" w:cs="Times New Roman"/>
          <w:sz w:val="22"/>
          <w:vertAlign w:val="superscript"/>
          <w:lang w:val="en-US" w:eastAsia="zh-CN"/>
        </w:rPr>
        <w:t>2</w:t>
      </w:r>
      <w:r>
        <w:rPr>
          <w:rFonts w:hint="eastAsia" w:ascii="Times New Roman" w:hAnsi="Times New Roman" w:cs="Times New Roman"/>
          <w:sz w:val="22"/>
        </w:rPr>
        <w:t xml:space="preserve"> area, and (b) the </w:t>
      </w:r>
      <w:r>
        <w:rPr>
          <w:rFonts w:ascii="Times New Roman" w:hAnsi="Times New Roman" w:cs="Times New Roman"/>
          <w:sz w:val="22"/>
        </w:rPr>
        <w:t>‘</w:t>
      </w:r>
      <w:r>
        <w:rPr>
          <w:rFonts w:hint="eastAsia" w:ascii="Times New Roman" w:hAnsi="Times New Roman" w:cs="Times New Roman"/>
          <w:sz w:val="22"/>
        </w:rPr>
        <w:t>SZTU</w:t>
      </w:r>
      <w:r>
        <w:rPr>
          <w:rFonts w:ascii="Times New Roman" w:hAnsi="Times New Roman" w:cs="Times New Roman"/>
          <w:sz w:val="22"/>
        </w:rPr>
        <w:t>’</w:t>
      </w:r>
      <w:r>
        <w:rPr>
          <w:rFonts w:hint="eastAsia" w:ascii="Times New Roman" w:hAnsi="Times New Roman" w:cs="Times New Roman"/>
          <w:sz w:val="22"/>
        </w:rPr>
        <w:t xml:space="preserve"> shape 1-32%-4h TCF.</w:t>
      </w:r>
    </w:p>
    <w:p w14:paraId="5F50A07A">
      <w:pPr>
        <w:jc w:val="center"/>
        <w:rPr>
          <w:rFonts w:ascii="Times New Roman" w:hAnsi="Times New Roman" w:cs="Times New Roman"/>
          <w:sz w:val="22"/>
        </w:rPr>
      </w:pPr>
    </w:p>
    <w:p w14:paraId="75DE3489">
      <w:pPr>
        <w:jc w:val="center"/>
        <w:rPr>
          <w:rFonts w:ascii="Times New Roman" w:hAnsi="Times New Roman" w:cs="Times New Roman"/>
          <w:sz w:val="22"/>
        </w:rPr>
      </w:pPr>
    </w:p>
    <w:p w14:paraId="65870E56">
      <w:pPr>
        <w:jc w:val="center"/>
        <w:rPr>
          <w:rFonts w:ascii="Times New Roman" w:hAnsi="Times New Roman" w:cs="Times New Roman"/>
          <w:sz w:val="22"/>
        </w:rPr>
      </w:pPr>
    </w:p>
    <w:p w14:paraId="3B12ABA8">
      <w:pPr>
        <w:jc w:val="center"/>
        <w:rPr>
          <w:rFonts w:ascii="Times New Roman" w:hAnsi="Times New Roman" w:cs="Times New Roman"/>
          <w:sz w:val="22"/>
        </w:rPr>
      </w:pPr>
    </w:p>
    <w:p w14:paraId="5345355D">
      <w:pPr>
        <w:jc w:val="center"/>
        <w:rPr>
          <w:rFonts w:ascii="Times New Roman" w:hAnsi="Times New Roman" w:cs="Times New Roman"/>
          <w:sz w:val="22"/>
        </w:rPr>
      </w:pPr>
    </w:p>
    <w:p w14:paraId="443E27FD">
      <w:pPr>
        <w:jc w:val="center"/>
        <w:rPr>
          <w:rFonts w:ascii="Times New Roman" w:hAnsi="Times New Roman" w:cs="Times New Roman"/>
          <w:sz w:val="22"/>
        </w:rPr>
      </w:pPr>
      <w:r>
        <w:rPr>
          <w:rFonts w:ascii="Times New Roman" w:hAnsi="Times New Roman" w:cs="Times New Roman"/>
          <w:sz w:val="22"/>
        </w:rPr>
        <w:drawing>
          <wp:inline distT="0" distB="0" distL="0" distR="0">
            <wp:extent cx="3220720" cy="8033385"/>
            <wp:effectExtent l="0" t="0" r="0" b="0"/>
            <wp:docPr id="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9"/>
                    <pic:cNvPicPr>
                      <a:picLocks noChangeAspect="1" noChangeArrowheads="1"/>
                    </pic:cNvPicPr>
                  </pic:nvPicPr>
                  <pic:blipFill>
                    <a:blip r:embed="rId7"/>
                    <a:srcRect t="694" b="701"/>
                    <a:stretch>
                      <a:fillRect/>
                    </a:stretch>
                  </pic:blipFill>
                  <pic:spPr>
                    <a:xfrm>
                      <a:off x="0" y="0"/>
                      <a:ext cx="3220795" cy="8033385"/>
                    </a:xfrm>
                    <a:prstGeom prst="rect">
                      <a:avLst/>
                    </a:prstGeom>
                    <a:noFill/>
                    <a:ln>
                      <a:noFill/>
                    </a:ln>
                  </pic:spPr>
                </pic:pic>
              </a:graphicData>
            </a:graphic>
          </wp:inline>
        </w:drawing>
      </w:r>
    </w:p>
    <w:p w14:paraId="68567BD5">
      <w:pPr>
        <w:jc w:val="center"/>
        <w:rPr>
          <w:rFonts w:hint="eastAsia" w:ascii="Times New Roman" w:hAnsi="Times New Roman" w:cs="Times New Roman"/>
          <w:sz w:val="22"/>
        </w:rPr>
      </w:pPr>
      <w:r>
        <w:rPr>
          <w:rFonts w:hint="eastAsia" w:ascii="Times New Roman" w:hAnsi="Times New Roman" w:cs="Times New Roman"/>
          <w:b/>
          <w:bCs/>
          <w:sz w:val="22"/>
        </w:rPr>
        <w:t>Supplementary Figure 4. SEM images of TCFs.</w:t>
      </w:r>
      <w:r>
        <w:rPr>
          <w:rFonts w:hint="eastAsia" w:ascii="Times New Roman" w:hAnsi="Times New Roman" w:cs="Times New Roman"/>
          <w:sz w:val="22"/>
        </w:rPr>
        <w:t xml:space="preserve"> </w:t>
      </w:r>
      <w:bookmarkStart w:id="2" w:name="OLE_LINK2"/>
      <w:r>
        <w:rPr>
          <w:rFonts w:hint="eastAsia" w:ascii="Times New Roman" w:hAnsi="Times New Roman" w:cs="Times New Roman"/>
          <w:sz w:val="22"/>
        </w:rPr>
        <w:t>(a) 1-0%-4h, (b) 1-8%-4h, (c) 1-16%-4h, (d) 1-32%-4h, (e) 1-48%-4h, (f) 1-32%-4h, (g) 1-32%-8h, (h) 1-32%-16h, (i) 1-32%-24h, (j) 1-32%-48h.</w:t>
      </w:r>
      <w:bookmarkEnd w:id="2"/>
      <w:r>
        <w:rPr>
          <w:rFonts w:hint="eastAsia" w:ascii="Times New Roman" w:hAnsi="Times New Roman" w:cs="Times New Roman"/>
          <w:sz w:val="22"/>
        </w:rPr>
        <w:t xml:space="preserve"> The scale bar is 300 nm.</w:t>
      </w:r>
    </w:p>
    <w:p w14:paraId="07BF3318">
      <w:pPr>
        <w:jc w:val="center"/>
        <w:rPr>
          <w:rFonts w:ascii="Times New Roman" w:hAnsi="Times New Roman" w:cs="Times New Roman"/>
          <w:sz w:val="22"/>
        </w:rPr>
      </w:pPr>
      <w:r>
        <w:rPr>
          <w:rFonts w:ascii="Times New Roman" w:hAnsi="Times New Roman" w:cs="Times New Roman"/>
          <w:sz w:val="22"/>
        </w:rPr>
        <w:drawing>
          <wp:inline distT="0" distB="0" distL="0" distR="0">
            <wp:extent cx="5269230" cy="5262880"/>
            <wp:effectExtent l="0" t="0" r="7620" b="444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8"/>
                    <a:stretch>
                      <a:fillRect/>
                    </a:stretch>
                  </pic:blipFill>
                  <pic:spPr>
                    <a:xfrm>
                      <a:off x="0" y="0"/>
                      <a:ext cx="5269864" cy="5263303"/>
                    </a:xfrm>
                    <a:prstGeom prst="rect">
                      <a:avLst/>
                    </a:prstGeom>
                    <a:noFill/>
                    <a:ln>
                      <a:noFill/>
                    </a:ln>
                  </pic:spPr>
                </pic:pic>
              </a:graphicData>
            </a:graphic>
          </wp:inline>
        </w:drawing>
      </w:r>
    </w:p>
    <w:p w14:paraId="2E8BE75B">
      <w:pPr>
        <w:jc w:val="center"/>
        <w:rPr>
          <w:rFonts w:hint="eastAsia" w:ascii="Times New Roman" w:hAnsi="Times New Roman" w:cs="Times New Roman"/>
          <w:sz w:val="22"/>
        </w:rPr>
      </w:pPr>
      <w:r>
        <w:rPr>
          <w:rFonts w:hint="eastAsia" w:ascii="Times New Roman" w:hAnsi="Times New Roman" w:cs="Times New Roman"/>
          <w:b/>
          <w:bCs/>
          <w:sz w:val="22"/>
        </w:rPr>
        <w:t xml:space="preserve">Supplementary Figure 5. Cross-section SEM graphs of TCFs. </w:t>
      </w:r>
      <w:r>
        <w:rPr>
          <w:rFonts w:hint="eastAsia" w:ascii="Times New Roman" w:hAnsi="Times New Roman" w:cs="Times New Roman"/>
          <w:sz w:val="22"/>
        </w:rPr>
        <w:t xml:space="preserve">Cross-section SEM graphs of TCFs before and after calcination. (a) 1-8%-4h, (b) H-1-8%-4h, (c) 1-16%-4h, </w:t>
      </w:r>
      <w:bookmarkStart w:id="3" w:name="OLE_LINK3"/>
      <w:r>
        <w:rPr>
          <w:rFonts w:hint="eastAsia" w:ascii="Times New Roman" w:hAnsi="Times New Roman" w:cs="Times New Roman"/>
          <w:sz w:val="22"/>
        </w:rPr>
        <w:t>(d) H-1-16%-4h,</w:t>
      </w:r>
      <w:bookmarkEnd w:id="3"/>
      <w:r>
        <w:rPr>
          <w:rFonts w:hint="eastAsia" w:ascii="Times New Roman" w:hAnsi="Times New Roman" w:cs="Times New Roman"/>
          <w:sz w:val="22"/>
        </w:rPr>
        <w:t xml:space="preserve"> (e) 1-32%-4h, (f) H-1-32%-4h, (g) 1-48%-4h, (h) H-1-48%-4h, (i) 1-32%-8h, (j) H-1-32%-8h, (k) 1-32%-16h, </w:t>
      </w:r>
      <w:r>
        <w:rPr>
          <w:rFonts w:ascii="Times New Roman" w:hAnsi="Times New Roman" w:cs="Times New Roman"/>
          <w:sz w:val="22"/>
        </w:rPr>
        <w:t>(</w:t>
      </w:r>
      <w:r>
        <w:rPr>
          <w:rFonts w:hint="eastAsia" w:ascii="Times New Roman" w:hAnsi="Times New Roman" w:cs="Times New Roman"/>
          <w:sz w:val="22"/>
        </w:rPr>
        <w:t>l</w:t>
      </w:r>
      <w:r>
        <w:rPr>
          <w:rFonts w:ascii="Times New Roman" w:hAnsi="Times New Roman" w:cs="Times New Roman"/>
          <w:sz w:val="22"/>
        </w:rPr>
        <w:t>) H-1-</w:t>
      </w:r>
      <w:r>
        <w:rPr>
          <w:rFonts w:hint="eastAsia" w:ascii="Times New Roman" w:hAnsi="Times New Roman" w:cs="Times New Roman"/>
          <w:sz w:val="22"/>
        </w:rPr>
        <w:t>32</w:t>
      </w:r>
      <w:r>
        <w:rPr>
          <w:rFonts w:ascii="Times New Roman" w:hAnsi="Times New Roman" w:cs="Times New Roman"/>
          <w:sz w:val="22"/>
        </w:rPr>
        <w:t>%-</w:t>
      </w:r>
      <w:r>
        <w:rPr>
          <w:rFonts w:hint="eastAsia" w:ascii="Times New Roman" w:hAnsi="Times New Roman" w:cs="Times New Roman"/>
          <w:sz w:val="22"/>
        </w:rPr>
        <w:t>16</w:t>
      </w:r>
      <w:r>
        <w:rPr>
          <w:rFonts w:ascii="Times New Roman" w:hAnsi="Times New Roman" w:cs="Times New Roman"/>
          <w:sz w:val="22"/>
        </w:rPr>
        <w:t>h,</w:t>
      </w:r>
      <w:r>
        <w:rPr>
          <w:rFonts w:hint="eastAsia" w:ascii="Times New Roman" w:hAnsi="Times New Roman" w:cs="Times New Roman"/>
          <w:sz w:val="22"/>
        </w:rPr>
        <w:t xml:space="preserve"> (m) 1-32%-24h, </w:t>
      </w:r>
      <w:r>
        <w:rPr>
          <w:rFonts w:ascii="Times New Roman" w:hAnsi="Times New Roman" w:cs="Times New Roman"/>
          <w:sz w:val="22"/>
        </w:rPr>
        <w:t>(</w:t>
      </w:r>
      <w:r>
        <w:rPr>
          <w:rFonts w:hint="eastAsia" w:ascii="Times New Roman" w:hAnsi="Times New Roman" w:cs="Times New Roman"/>
          <w:sz w:val="22"/>
        </w:rPr>
        <w:t>n</w:t>
      </w:r>
      <w:r>
        <w:rPr>
          <w:rFonts w:ascii="Times New Roman" w:hAnsi="Times New Roman" w:cs="Times New Roman"/>
          <w:sz w:val="22"/>
        </w:rPr>
        <w:t>) H-1-</w:t>
      </w:r>
      <w:r>
        <w:rPr>
          <w:rFonts w:hint="eastAsia" w:ascii="Times New Roman" w:hAnsi="Times New Roman" w:cs="Times New Roman"/>
          <w:sz w:val="22"/>
        </w:rPr>
        <w:t>32</w:t>
      </w:r>
      <w:r>
        <w:rPr>
          <w:rFonts w:ascii="Times New Roman" w:hAnsi="Times New Roman" w:cs="Times New Roman"/>
          <w:sz w:val="22"/>
        </w:rPr>
        <w:t>%-</w:t>
      </w:r>
      <w:r>
        <w:rPr>
          <w:rFonts w:hint="eastAsia" w:ascii="Times New Roman" w:hAnsi="Times New Roman" w:cs="Times New Roman"/>
          <w:sz w:val="22"/>
        </w:rPr>
        <w:t>2</w:t>
      </w:r>
      <w:r>
        <w:rPr>
          <w:rFonts w:ascii="Times New Roman" w:hAnsi="Times New Roman" w:cs="Times New Roman"/>
          <w:sz w:val="22"/>
        </w:rPr>
        <w:t>4h,</w:t>
      </w:r>
      <w:r>
        <w:rPr>
          <w:rFonts w:hint="eastAsia" w:ascii="Times New Roman" w:hAnsi="Times New Roman" w:cs="Times New Roman"/>
          <w:sz w:val="22"/>
        </w:rPr>
        <w:t xml:space="preserve"> (o) 1-32%-48h, (p) H-1-32%-24. The scale bar is 1 </w:t>
      </w:r>
      <w:r>
        <w:rPr>
          <w:rFonts w:ascii="Times New Roman" w:hAnsi="Times New Roman" w:cs="Times New Roman"/>
          <w:sz w:val="22"/>
        </w:rPr>
        <w:t>μm</w:t>
      </w:r>
      <w:r>
        <w:rPr>
          <w:rFonts w:hint="eastAsia" w:ascii="Times New Roman" w:hAnsi="Times New Roman" w:cs="Times New Roman"/>
          <w:sz w:val="22"/>
        </w:rPr>
        <w:t>.</w:t>
      </w:r>
    </w:p>
    <w:p w14:paraId="78640CDD">
      <w:pPr>
        <w:jc w:val="center"/>
        <w:rPr>
          <w:rFonts w:ascii="Times New Roman" w:hAnsi="Times New Roman" w:cs="Times New Roman"/>
          <w:sz w:val="22"/>
        </w:rPr>
      </w:pPr>
    </w:p>
    <w:p w14:paraId="7F76F289">
      <w:pPr>
        <w:jc w:val="center"/>
        <w:rPr>
          <w:rFonts w:ascii="Times New Roman" w:hAnsi="Times New Roman" w:cs="Times New Roman"/>
          <w:sz w:val="22"/>
        </w:rPr>
      </w:pPr>
      <w:r>
        <w:rPr>
          <w:rFonts w:hint="eastAsia" w:ascii="Times New Roman" w:hAnsi="Times New Roman" w:cs="Times New Roman"/>
          <w:sz w:val="22"/>
        </w:rPr>
        <w:drawing>
          <wp:inline distT="0" distB="0" distL="0" distR="0">
            <wp:extent cx="2881630" cy="4682490"/>
            <wp:effectExtent l="0" t="0" r="4445" b="3810"/>
            <wp:docPr id="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pic:cNvPicPr>
                      <a:picLocks noChangeAspect="1" noChangeArrowheads="1"/>
                    </pic:cNvPicPr>
                  </pic:nvPicPr>
                  <pic:blipFill>
                    <a:blip r:embed="rId9"/>
                    <a:stretch>
                      <a:fillRect/>
                    </a:stretch>
                  </pic:blipFill>
                  <pic:spPr>
                    <a:xfrm>
                      <a:off x="0" y="0"/>
                      <a:ext cx="2881766" cy="4682490"/>
                    </a:xfrm>
                    <a:prstGeom prst="rect">
                      <a:avLst/>
                    </a:prstGeom>
                    <a:noFill/>
                    <a:ln>
                      <a:noFill/>
                    </a:ln>
                  </pic:spPr>
                </pic:pic>
              </a:graphicData>
            </a:graphic>
          </wp:inline>
        </w:drawing>
      </w:r>
    </w:p>
    <w:p w14:paraId="21EC528E">
      <w:pPr>
        <w:jc w:val="center"/>
        <w:rPr>
          <w:rFonts w:ascii="Times New Roman" w:hAnsi="Times New Roman" w:cs="Times New Roman"/>
          <w:sz w:val="22"/>
        </w:rPr>
      </w:pPr>
      <w:r>
        <w:rPr>
          <w:rFonts w:hint="eastAsia" w:ascii="Times New Roman" w:hAnsi="Times New Roman" w:cs="Times New Roman"/>
          <w:b/>
          <w:bCs/>
          <w:sz w:val="22"/>
        </w:rPr>
        <w:t>Supplementary Figure 6.</w:t>
      </w:r>
      <w:r>
        <w:rPr>
          <w:rFonts w:hint="eastAsia" w:ascii="Times New Roman" w:hAnsi="Times New Roman" w:cs="Times New Roman"/>
          <w:sz w:val="22"/>
        </w:rPr>
        <w:t xml:space="preserve"> </w:t>
      </w:r>
      <w:r>
        <w:rPr>
          <w:rFonts w:hint="eastAsia" w:ascii="Times New Roman" w:hAnsi="Times New Roman" w:cs="Times New Roman"/>
          <w:b/>
          <w:bCs/>
          <w:sz w:val="22"/>
        </w:rPr>
        <w:t xml:space="preserve">The Raman </w:t>
      </w:r>
      <w:r>
        <w:rPr>
          <w:rFonts w:ascii="Times New Roman" w:hAnsi="Times New Roman" w:cs="Times New Roman"/>
          <w:b/>
          <w:bCs/>
          <w:sz w:val="22"/>
        </w:rPr>
        <w:t>spect</w:t>
      </w:r>
      <w:r>
        <w:rPr>
          <w:rFonts w:hint="eastAsia" w:ascii="Times New Roman" w:hAnsi="Times New Roman" w:cs="Times New Roman"/>
          <w:b/>
          <w:bCs/>
          <w:sz w:val="22"/>
        </w:rPr>
        <w:t>rum of TCFs.</w:t>
      </w:r>
      <w:r>
        <w:rPr>
          <w:rFonts w:hint="eastAsia" w:ascii="Times New Roman" w:hAnsi="Times New Roman" w:cs="Times New Roman"/>
          <w:sz w:val="22"/>
        </w:rPr>
        <w:t xml:space="preserve"> (a) and (b) showing TCF prepared with different SWCNT concentration and different incubation time, respectively.</w:t>
      </w:r>
    </w:p>
    <w:p w14:paraId="576958D7">
      <w:pPr>
        <w:jc w:val="center"/>
        <w:rPr>
          <w:rFonts w:ascii="Times New Roman" w:hAnsi="Times New Roman" w:cs="Times New Roman"/>
          <w:sz w:val="22"/>
        </w:rPr>
      </w:pPr>
    </w:p>
    <w:p w14:paraId="756E7374">
      <w:pPr>
        <w:jc w:val="center"/>
        <w:rPr>
          <w:rFonts w:ascii="Times New Roman" w:hAnsi="Times New Roman" w:cs="Times New Roman"/>
          <w:sz w:val="22"/>
        </w:rPr>
      </w:pPr>
    </w:p>
    <w:p w14:paraId="434F32AC">
      <w:pPr>
        <w:jc w:val="center"/>
        <w:rPr>
          <w:rFonts w:ascii="Times New Roman" w:hAnsi="Times New Roman" w:cs="Times New Roman"/>
          <w:sz w:val="22"/>
        </w:rPr>
      </w:pPr>
    </w:p>
    <w:p w14:paraId="3F60E206">
      <w:pPr>
        <w:jc w:val="center"/>
        <w:rPr>
          <w:rFonts w:ascii="Times New Roman" w:hAnsi="Times New Roman" w:cs="Times New Roman"/>
          <w:sz w:val="22"/>
        </w:rPr>
      </w:pPr>
    </w:p>
    <w:p w14:paraId="2B073788">
      <w:pPr>
        <w:jc w:val="center"/>
        <w:rPr>
          <w:rFonts w:ascii="Times New Roman" w:hAnsi="Times New Roman" w:cs="Times New Roman"/>
          <w:sz w:val="22"/>
        </w:rPr>
      </w:pPr>
    </w:p>
    <w:p w14:paraId="00551E92">
      <w:pPr>
        <w:jc w:val="center"/>
        <w:rPr>
          <w:rFonts w:ascii="Times New Roman" w:hAnsi="Times New Roman" w:cs="Times New Roman"/>
          <w:sz w:val="22"/>
        </w:rPr>
      </w:pPr>
    </w:p>
    <w:p w14:paraId="35D46197">
      <w:pPr>
        <w:jc w:val="center"/>
        <w:rPr>
          <w:rFonts w:ascii="Times New Roman" w:hAnsi="Times New Roman" w:cs="Times New Roman"/>
          <w:sz w:val="22"/>
        </w:rPr>
      </w:pPr>
    </w:p>
    <w:p w14:paraId="79A7E7FD">
      <w:pPr>
        <w:jc w:val="center"/>
        <w:rPr>
          <w:rFonts w:ascii="Times New Roman" w:hAnsi="Times New Roman" w:cs="Times New Roman"/>
          <w:sz w:val="22"/>
        </w:rPr>
      </w:pPr>
    </w:p>
    <w:p w14:paraId="04AC4B1B">
      <w:pPr>
        <w:jc w:val="center"/>
        <w:rPr>
          <w:rFonts w:ascii="Times New Roman" w:hAnsi="Times New Roman" w:cs="Times New Roman"/>
          <w:sz w:val="22"/>
        </w:rPr>
      </w:pPr>
      <w:r>
        <w:rPr>
          <w:rFonts w:ascii="Times New Roman" w:hAnsi="Times New Roman" w:cs="Times New Roman"/>
          <w:sz w:val="22"/>
        </w:rPr>
        <w:drawing>
          <wp:inline distT="0" distB="0" distL="0" distR="0">
            <wp:extent cx="2950845" cy="2299335"/>
            <wp:effectExtent l="0" t="0" r="0" b="5715"/>
            <wp:docPr id="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pic:cNvPicPr>
                      <a:picLocks noChangeAspect="1" noChangeArrowheads="1"/>
                    </pic:cNvPicPr>
                  </pic:nvPicPr>
                  <pic:blipFill>
                    <a:blip r:embed="rId10"/>
                    <a:srcRect l="-2312" t="188" r="1" b="188"/>
                    <a:stretch>
                      <a:fillRect/>
                    </a:stretch>
                  </pic:blipFill>
                  <pic:spPr>
                    <a:xfrm>
                      <a:off x="0" y="0"/>
                      <a:ext cx="2951489" cy="2299648"/>
                    </a:xfrm>
                    <a:prstGeom prst="rect">
                      <a:avLst/>
                    </a:prstGeom>
                    <a:noFill/>
                    <a:ln>
                      <a:noFill/>
                    </a:ln>
                  </pic:spPr>
                </pic:pic>
              </a:graphicData>
            </a:graphic>
          </wp:inline>
        </w:drawing>
      </w:r>
    </w:p>
    <w:p w14:paraId="796ED820">
      <w:pPr>
        <w:jc w:val="center"/>
        <w:rPr>
          <w:rFonts w:ascii="Times New Roman" w:hAnsi="Times New Roman" w:eastAsia="仿宋" w:cs="Times New Roman"/>
          <w:sz w:val="22"/>
        </w:rPr>
      </w:pPr>
      <w:r>
        <w:rPr>
          <w:rFonts w:hint="eastAsia" w:ascii="Times New Roman" w:hAnsi="Times New Roman" w:eastAsia="仿宋" w:cs="Times New Roman"/>
          <w:b/>
          <w:bCs/>
          <w:sz w:val="22"/>
        </w:rPr>
        <w:t xml:space="preserve">Supplementary </w:t>
      </w:r>
      <w:r>
        <w:rPr>
          <w:rFonts w:ascii="Times New Roman" w:hAnsi="Times New Roman" w:eastAsia="仿宋" w:cs="Times New Roman"/>
          <w:b/>
          <w:bCs/>
          <w:sz w:val="22"/>
        </w:rPr>
        <w:t>Figure</w:t>
      </w:r>
      <w:r>
        <w:rPr>
          <w:rFonts w:hint="eastAsia" w:ascii="Times New Roman" w:hAnsi="Times New Roman" w:eastAsia="仿宋" w:cs="Times New Roman"/>
          <w:b/>
          <w:bCs/>
          <w:sz w:val="22"/>
        </w:rPr>
        <w:t xml:space="preserve"> 7. The</w:t>
      </w:r>
      <w:r>
        <w:rPr>
          <w:rFonts w:ascii="Times New Roman" w:hAnsi="Times New Roman" w:eastAsia="仿宋" w:cs="Times New Roman"/>
          <w:b/>
          <w:bCs/>
          <w:sz w:val="22"/>
        </w:rPr>
        <w:t xml:space="preserve"> XRD patterns of </w:t>
      </w:r>
      <w:r>
        <w:rPr>
          <w:rFonts w:hint="eastAsia" w:ascii="Times New Roman" w:hAnsi="Times New Roman" w:eastAsia="仿宋" w:cs="Times New Roman"/>
          <w:b/>
          <w:bCs/>
          <w:sz w:val="22"/>
        </w:rPr>
        <w:t>TCF.</w:t>
      </w:r>
      <w:r>
        <w:rPr>
          <w:rFonts w:hint="eastAsia" w:ascii="Times New Roman" w:hAnsi="Times New Roman" w:eastAsia="仿宋" w:cs="Times New Roman"/>
          <w:sz w:val="22"/>
        </w:rPr>
        <w:t xml:space="preserve"> </w:t>
      </w:r>
      <w:r>
        <w:rPr>
          <w:rFonts w:ascii="Times New Roman" w:hAnsi="Times New Roman" w:eastAsia="仿宋" w:cs="Times New Roman"/>
          <w:sz w:val="22"/>
        </w:rPr>
        <w:t xml:space="preserve">(a) </w:t>
      </w:r>
      <w:r>
        <w:rPr>
          <w:rFonts w:hint="eastAsia" w:ascii="Times New Roman" w:hAnsi="Times New Roman" w:eastAsia="仿宋" w:cs="Times New Roman"/>
          <w:sz w:val="22"/>
        </w:rPr>
        <w:t>T</w:t>
      </w:r>
      <w:r>
        <w:rPr>
          <w:rFonts w:ascii="Times New Roman" w:hAnsi="Times New Roman" w:eastAsia="仿宋" w:cs="Times New Roman"/>
          <w:sz w:val="22"/>
        </w:rPr>
        <w:t>CF</w:t>
      </w:r>
      <w:r>
        <w:rPr>
          <w:rFonts w:hint="eastAsia" w:ascii="Times New Roman" w:hAnsi="Times New Roman" w:eastAsia="仿宋" w:cs="Times New Roman"/>
          <w:sz w:val="22"/>
        </w:rPr>
        <w:t>s</w:t>
      </w:r>
      <w:r>
        <w:rPr>
          <w:rFonts w:ascii="Times New Roman" w:hAnsi="Times New Roman" w:eastAsia="仿宋" w:cs="Times New Roman"/>
          <w:sz w:val="22"/>
        </w:rPr>
        <w:t xml:space="preserve"> prepared with different incubation time. The inset shows the peak shift of GO (001) and the corresponding interlayer spacing change. </w:t>
      </w:r>
    </w:p>
    <w:p w14:paraId="29977A9C">
      <w:pPr>
        <w:jc w:val="center"/>
        <w:rPr>
          <w:rFonts w:ascii="Times New Roman" w:hAnsi="Times New Roman" w:eastAsia="仿宋" w:cs="Times New Roman"/>
          <w:sz w:val="22"/>
        </w:rPr>
      </w:pPr>
    </w:p>
    <w:p w14:paraId="7449DDA1">
      <w:pPr>
        <w:jc w:val="center"/>
        <w:rPr>
          <w:rFonts w:hint="eastAsia"/>
          <w:sz w:val="22"/>
        </w:rPr>
      </w:pPr>
      <w:r>
        <w:rPr>
          <w:sz w:val="22"/>
        </w:rPr>
        <w:drawing>
          <wp:inline distT="0" distB="0" distL="0" distR="0">
            <wp:extent cx="2880360" cy="7056120"/>
            <wp:effectExtent l="0" t="0" r="5715" b="1905"/>
            <wp:docPr id="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pic:cNvPicPr>
                      <a:picLocks noChangeAspect="1" noChangeArrowheads="1"/>
                    </pic:cNvPicPr>
                  </pic:nvPicPr>
                  <pic:blipFill>
                    <a:blip r:embed="rId11"/>
                    <a:stretch>
                      <a:fillRect/>
                    </a:stretch>
                  </pic:blipFill>
                  <pic:spPr>
                    <a:xfrm>
                      <a:off x="0" y="0"/>
                      <a:ext cx="2880360" cy="7056120"/>
                    </a:xfrm>
                    <a:prstGeom prst="rect">
                      <a:avLst/>
                    </a:prstGeom>
                    <a:noFill/>
                    <a:ln>
                      <a:noFill/>
                    </a:ln>
                  </pic:spPr>
                </pic:pic>
              </a:graphicData>
            </a:graphic>
          </wp:inline>
        </w:drawing>
      </w:r>
    </w:p>
    <w:p w14:paraId="58D5ACCE">
      <w:pPr>
        <w:jc w:val="center"/>
        <w:rPr>
          <w:rFonts w:ascii="Times New Roman" w:hAnsi="Times New Roman" w:eastAsia="仿宋" w:cs="Times New Roman"/>
          <w:sz w:val="22"/>
        </w:rPr>
      </w:pPr>
      <w:r>
        <w:rPr>
          <w:rFonts w:hint="eastAsia" w:ascii="Times New Roman" w:hAnsi="Times New Roman" w:eastAsia="仿宋" w:cs="Times New Roman"/>
          <w:b/>
          <w:bCs/>
          <w:sz w:val="22"/>
        </w:rPr>
        <w:t xml:space="preserve">Supplementary </w:t>
      </w:r>
      <w:r>
        <w:rPr>
          <w:rFonts w:ascii="Times New Roman" w:hAnsi="Times New Roman" w:eastAsia="仿宋" w:cs="Times New Roman"/>
          <w:b/>
          <w:bCs/>
          <w:sz w:val="22"/>
        </w:rPr>
        <w:t>Figure</w:t>
      </w:r>
      <w:r>
        <w:rPr>
          <w:rFonts w:hint="eastAsia" w:ascii="Times New Roman" w:hAnsi="Times New Roman" w:eastAsia="仿宋" w:cs="Times New Roman"/>
          <w:b/>
          <w:bCs/>
          <w:sz w:val="22"/>
        </w:rPr>
        <w:t xml:space="preserve"> 8.</w:t>
      </w:r>
      <w:r>
        <w:rPr>
          <w:rFonts w:ascii="Times New Roman" w:hAnsi="Times New Roman" w:eastAsia="仿宋" w:cs="Times New Roman"/>
          <w:b/>
          <w:bCs/>
          <w:sz w:val="22"/>
        </w:rPr>
        <w:t xml:space="preserve"> The top view SEM graph of </w:t>
      </w:r>
      <w:r>
        <w:rPr>
          <w:rFonts w:hint="eastAsia" w:ascii="Times New Roman" w:hAnsi="Times New Roman" w:eastAsia="仿宋" w:cs="Times New Roman"/>
          <w:b/>
          <w:bCs/>
          <w:sz w:val="22"/>
        </w:rPr>
        <w:t>copper foil.</w:t>
      </w:r>
      <w:r>
        <w:rPr>
          <w:rFonts w:hint="eastAsia" w:ascii="Times New Roman" w:hAnsi="Times New Roman" w:eastAsia="仿宋" w:cs="Times New Roman"/>
          <w:sz w:val="22"/>
        </w:rPr>
        <w:t xml:space="preserve"> </w:t>
      </w:r>
      <w:r>
        <w:rPr>
          <w:rFonts w:ascii="Times New Roman" w:hAnsi="Times New Roman" w:eastAsia="仿宋" w:cs="Times New Roman"/>
          <w:sz w:val="22"/>
        </w:rPr>
        <w:t>(a) HCl-treated copper foil, (b) copper foil incubated in pure water, and (c) copper foil incubated in GO/and Copper foil.</w:t>
      </w:r>
    </w:p>
    <w:p w14:paraId="7E55EA90">
      <w:pPr>
        <w:jc w:val="center"/>
        <w:rPr>
          <w:rFonts w:ascii="Times New Roman" w:hAnsi="Times New Roman" w:eastAsia="仿宋" w:cs="Times New Roman"/>
          <w:sz w:val="22"/>
        </w:rPr>
      </w:pPr>
    </w:p>
    <w:p w14:paraId="251C7BC2">
      <w:pPr>
        <w:jc w:val="center"/>
        <w:rPr>
          <w:rFonts w:ascii="Times New Roman" w:hAnsi="Times New Roman" w:cs="Times New Roman"/>
          <w:sz w:val="22"/>
        </w:rPr>
      </w:pPr>
      <w:r>
        <w:rPr>
          <w:rFonts w:ascii="Times New Roman" w:hAnsi="Times New Roman" w:cs="Times New Roman"/>
          <w:sz w:val="22"/>
        </w:rPr>
        <w:drawing>
          <wp:inline distT="0" distB="0" distL="0" distR="0">
            <wp:extent cx="5259070" cy="6362700"/>
            <wp:effectExtent l="0" t="0" r="0" b="0"/>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noChangeArrowheads="1"/>
                    </pic:cNvPicPr>
                  </pic:nvPicPr>
                  <pic:blipFill>
                    <a:blip r:embed="rId12"/>
                    <a:stretch>
                      <a:fillRect/>
                    </a:stretch>
                  </pic:blipFill>
                  <pic:spPr>
                    <a:xfrm>
                      <a:off x="0" y="0"/>
                      <a:ext cx="5283773" cy="6392441"/>
                    </a:xfrm>
                    <a:prstGeom prst="rect">
                      <a:avLst/>
                    </a:prstGeom>
                    <a:noFill/>
                    <a:ln>
                      <a:noFill/>
                    </a:ln>
                  </pic:spPr>
                </pic:pic>
              </a:graphicData>
            </a:graphic>
          </wp:inline>
        </w:drawing>
      </w:r>
    </w:p>
    <w:p w14:paraId="5A4484C0">
      <w:pPr>
        <w:jc w:val="center"/>
        <w:rPr>
          <w:rFonts w:ascii="Times New Roman" w:hAnsi="Times New Roman" w:eastAsia="仿宋" w:cs="Times New Roman"/>
          <w:sz w:val="22"/>
        </w:rPr>
      </w:pPr>
      <w:r>
        <w:rPr>
          <w:rFonts w:hint="eastAsia" w:ascii="Times New Roman" w:hAnsi="Times New Roman" w:eastAsia="仿宋" w:cs="Times New Roman"/>
          <w:b/>
          <w:bCs/>
          <w:sz w:val="22"/>
        </w:rPr>
        <w:t xml:space="preserve">Supplementary </w:t>
      </w:r>
      <w:r>
        <w:rPr>
          <w:rFonts w:ascii="Times New Roman" w:hAnsi="Times New Roman" w:eastAsia="仿宋" w:cs="Times New Roman"/>
          <w:b/>
          <w:bCs/>
          <w:sz w:val="22"/>
        </w:rPr>
        <w:t>Figure</w:t>
      </w:r>
      <w:r>
        <w:rPr>
          <w:rFonts w:hint="eastAsia" w:ascii="Times New Roman" w:hAnsi="Times New Roman" w:eastAsia="仿宋" w:cs="Times New Roman"/>
          <w:b/>
          <w:bCs/>
          <w:sz w:val="22"/>
        </w:rPr>
        <w:t xml:space="preserve"> 9.</w:t>
      </w:r>
      <w:r>
        <w:rPr>
          <w:rFonts w:ascii="Times New Roman" w:hAnsi="Times New Roman" w:eastAsia="仿宋" w:cs="Times New Roman"/>
          <w:sz w:val="22"/>
        </w:rPr>
        <w:t xml:space="preserve"> The </w:t>
      </w:r>
      <w:r>
        <w:rPr>
          <w:rFonts w:hint="eastAsia" w:ascii="Times New Roman" w:hAnsi="Times New Roman" w:eastAsia="仿宋" w:cs="Times New Roman"/>
          <w:sz w:val="22"/>
        </w:rPr>
        <w:t xml:space="preserve">EDS and </w:t>
      </w:r>
      <w:r>
        <w:rPr>
          <w:rFonts w:ascii="Times New Roman" w:hAnsi="Times New Roman" w:eastAsia="仿宋" w:cs="Times New Roman"/>
          <w:sz w:val="22"/>
        </w:rPr>
        <w:t xml:space="preserve">SEM </w:t>
      </w:r>
      <w:r>
        <w:rPr>
          <w:rFonts w:hint="eastAsia" w:ascii="Times New Roman" w:hAnsi="Times New Roman" w:eastAsia="仿宋" w:cs="Times New Roman"/>
          <w:sz w:val="22"/>
        </w:rPr>
        <w:t xml:space="preserve">of calcinated TCF </w:t>
      </w:r>
      <w:r>
        <w:rPr>
          <w:rFonts w:ascii="Times New Roman" w:hAnsi="Times New Roman" w:eastAsia="仿宋" w:cs="Times New Roman"/>
          <w:sz w:val="22"/>
        </w:rPr>
        <w:t>on</w:t>
      </w:r>
      <w:r>
        <w:rPr>
          <w:rFonts w:hint="eastAsia" w:ascii="Times New Roman" w:hAnsi="Times New Roman" w:eastAsia="仿宋" w:cs="Times New Roman"/>
          <w:sz w:val="22"/>
        </w:rPr>
        <w:t xml:space="preserve"> different </w:t>
      </w:r>
      <w:r>
        <w:rPr>
          <w:rFonts w:ascii="Times New Roman" w:hAnsi="Times New Roman" w:eastAsia="仿宋" w:cs="Times New Roman"/>
          <w:sz w:val="22"/>
        </w:rPr>
        <w:t>scales</w:t>
      </w:r>
      <w:r>
        <w:rPr>
          <w:rFonts w:hint="eastAsia" w:ascii="Times New Roman" w:hAnsi="Times New Roman" w:eastAsia="仿宋" w:cs="Times New Roman"/>
          <w:sz w:val="22"/>
        </w:rPr>
        <w:t xml:space="preserve">. </w:t>
      </w:r>
      <w:r>
        <w:rPr>
          <w:rFonts w:ascii="Times New Roman" w:hAnsi="Times New Roman" w:eastAsia="仿宋" w:cs="Times New Roman"/>
          <w:sz w:val="22"/>
        </w:rPr>
        <w:t>(a) 10</w:t>
      </w:r>
      <w:r>
        <w:rPr>
          <w:rFonts w:hint="eastAsia" w:ascii="Times New Roman" w:hAnsi="Times New Roman" w:eastAsia="仿宋" w:cs="Times New Roman"/>
          <w:sz w:val="22"/>
          <w:lang w:val="en-US" w:eastAsia="zh-CN"/>
        </w:rPr>
        <w:t xml:space="preserve"> </w:t>
      </w:r>
      <w:r>
        <w:rPr>
          <w:rFonts w:ascii="Times New Roman" w:hAnsi="Times New Roman" w:eastAsia="仿宋" w:cs="Times New Roman"/>
          <w:sz w:val="22"/>
        </w:rPr>
        <w:t>μm, (b) 5</w:t>
      </w:r>
      <w:r>
        <w:rPr>
          <w:rFonts w:hint="eastAsia" w:ascii="Times New Roman" w:hAnsi="Times New Roman" w:eastAsia="仿宋" w:cs="Times New Roman"/>
          <w:sz w:val="22"/>
          <w:lang w:val="en-US" w:eastAsia="zh-CN"/>
        </w:rPr>
        <w:t xml:space="preserve"> </w:t>
      </w:r>
      <w:r>
        <w:rPr>
          <w:rFonts w:ascii="Times New Roman" w:hAnsi="Times New Roman" w:eastAsia="仿宋" w:cs="Times New Roman"/>
          <w:sz w:val="22"/>
        </w:rPr>
        <w:t>μm, and (c) 300 n</w:t>
      </w:r>
      <w:r>
        <w:rPr>
          <w:rFonts w:hint="eastAsia" w:ascii="Times New Roman" w:hAnsi="Times New Roman" w:eastAsia="仿宋" w:cs="Times New Roman"/>
          <w:sz w:val="22"/>
        </w:rPr>
        <w:t>m. The</w:t>
      </w:r>
      <w:r>
        <w:rPr>
          <w:rFonts w:ascii="Times New Roman" w:hAnsi="Times New Roman" w:eastAsia="仿宋" w:cs="Times New Roman"/>
          <w:sz w:val="22"/>
        </w:rPr>
        <w:t xml:space="preserve"> scale</w:t>
      </w:r>
      <w:r>
        <w:rPr>
          <w:rFonts w:hint="eastAsia" w:ascii="Times New Roman" w:hAnsi="Times New Roman" w:eastAsia="仿宋" w:cs="Times New Roman"/>
          <w:sz w:val="22"/>
        </w:rPr>
        <w:t xml:space="preserve"> bar</w:t>
      </w:r>
      <w:r>
        <w:rPr>
          <w:rFonts w:ascii="Times New Roman" w:hAnsi="Times New Roman" w:eastAsia="仿宋" w:cs="Times New Roman"/>
          <w:sz w:val="22"/>
        </w:rPr>
        <w:t xml:space="preserve"> of EDS result </w:t>
      </w:r>
      <w:r>
        <w:rPr>
          <w:rFonts w:hint="eastAsia" w:ascii="Times New Roman" w:hAnsi="Times New Roman" w:eastAsia="仿宋" w:cs="Times New Roman"/>
          <w:sz w:val="22"/>
        </w:rPr>
        <w:t xml:space="preserve">is </w:t>
      </w:r>
      <w:r>
        <w:rPr>
          <w:rFonts w:ascii="Times New Roman" w:hAnsi="Times New Roman" w:eastAsia="仿宋" w:cs="Times New Roman"/>
          <w:sz w:val="22"/>
        </w:rPr>
        <w:t>5</w:t>
      </w:r>
      <w:r>
        <w:rPr>
          <w:rFonts w:hint="eastAsia" w:ascii="Times New Roman" w:hAnsi="Times New Roman" w:eastAsia="仿宋" w:cs="Times New Roman"/>
          <w:sz w:val="22"/>
          <w:lang w:val="en-US" w:eastAsia="zh-CN"/>
        </w:rPr>
        <w:t xml:space="preserve"> </w:t>
      </w:r>
      <w:r>
        <w:rPr>
          <w:rFonts w:ascii="Times New Roman" w:hAnsi="Times New Roman" w:eastAsia="仿宋" w:cs="Times New Roman"/>
          <w:sz w:val="22"/>
        </w:rPr>
        <w:t>μm.</w:t>
      </w:r>
    </w:p>
    <w:p w14:paraId="6E88A096">
      <w:pPr>
        <w:jc w:val="center"/>
        <w:rPr>
          <w:rFonts w:ascii="Times New Roman" w:hAnsi="Times New Roman" w:cs="Times New Roman"/>
          <w:sz w:val="22"/>
        </w:rPr>
      </w:pPr>
      <w:r>
        <w:rPr>
          <w:rFonts w:ascii="Times New Roman" w:hAnsi="Times New Roman" w:cs="Times New Roman"/>
          <w:sz w:val="22"/>
        </w:rPr>
        <w:drawing>
          <wp:anchor distT="0" distB="0" distL="114300" distR="114300" simplePos="0" relativeHeight="251660288" behindDoc="0" locked="0" layoutInCell="1" allowOverlap="1">
            <wp:simplePos x="0" y="0"/>
            <wp:positionH relativeFrom="margin">
              <wp:align>right</wp:align>
            </wp:positionH>
            <wp:positionV relativeFrom="paragraph">
              <wp:posOffset>373380</wp:posOffset>
            </wp:positionV>
            <wp:extent cx="5232400" cy="2791460"/>
            <wp:effectExtent l="0" t="0" r="6350" b="8890"/>
            <wp:wrapTopAndBottom/>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noChangeArrowheads="1"/>
                    </pic:cNvPicPr>
                  </pic:nvPicPr>
                  <pic:blipFill>
                    <a:blip r:embed="rId13"/>
                    <a:stretch>
                      <a:fillRect/>
                    </a:stretch>
                  </pic:blipFill>
                  <pic:spPr>
                    <a:xfrm>
                      <a:off x="0" y="0"/>
                      <a:ext cx="5232400" cy="2791460"/>
                    </a:xfrm>
                    <a:prstGeom prst="rect">
                      <a:avLst/>
                    </a:prstGeom>
                    <a:noFill/>
                    <a:ln>
                      <a:noFill/>
                    </a:ln>
                  </pic:spPr>
                </pic:pic>
              </a:graphicData>
            </a:graphic>
          </wp:anchor>
        </w:drawing>
      </w:r>
    </w:p>
    <w:p w14:paraId="402CBE9E">
      <w:pPr>
        <w:jc w:val="center"/>
        <w:rPr>
          <w:rFonts w:ascii="Times New Roman" w:hAnsi="Times New Roman" w:cs="Times New Roman"/>
          <w:sz w:val="22"/>
        </w:rPr>
      </w:pPr>
      <w:r>
        <w:rPr>
          <w:rFonts w:hint="eastAsia" w:ascii="Times New Roman" w:hAnsi="Times New Roman" w:cs="Times New Roman"/>
          <w:b/>
          <w:bCs/>
          <w:sz w:val="22"/>
        </w:rPr>
        <w:t>Supplementary Figure 10. XAS spectrum of 1-0%-4h CF and 1-32%-4h TCF.</w:t>
      </w:r>
      <w:r>
        <w:rPr>
          <w:rFonts w:hint="eastAsia" w:ascii="Times New Roman" w:hAnsi="Times New Roman" w:cs="Times New Roman"/>
          <w:sz w:val="22"/>
        </w:rPr>
        <w:t xml:space="preserve"> (a) The FT at the Cu-K edge of copper foil, CuO, Cu</w:t>
      </w:r>
      <w:r>
        <w:rPr>
          <w:rFonts w:hint="eastAsia" w:ascii="Times New Roman" w:hAnsi="Times New Roman" w:cs="Times New Roman"/>
          <w:sz w:val="22"/>
          <w:vertAlign w:val="subscript"/>
        </w:rPr>
        <w:t>2</w:t>
      </w:r>
      <w:r>
        <w:rPr>
          <w:rFonts w:hint="eastAsia" w:ascii="Times New Roman" w:hAnsi="Times New Roman" w:cs="Times New Roman"/>
          <w:sz w:val="22"/>
        </w:rPr>
        <w:t xml:space="preserve">O, 1-0%-4h CF and 1-32%-4h TCF in K space. </w:t>
      </w:r>
      <w:r>
        <w:rPr>
          <w:rFonts w:ascii="Times New Roman" w:hAnsi="Times New Roman" w:cs="Times New Roman"/>
          <w:sz w:val="22"/>
        </w:rPr>
        <w:t>The fitting results of the EXAFS spectra of the</w:t>
      </w:r>
      <w:r>
        <w:rPr>
          <w:rFonts w:hint="eastAsia" w:ascii="Times New Roman" w:hAnsi="Times New Roman" w:cs="Times New Roman"/>
          <w:sz w:val="22"/>
        </w:rPr>
        <w:t xml:space="preserve"> (b) 1-0%-4h CF, and (c) 1-32%-4h TCF in R space. Wavelet Transform of (d) copper foil, (e) 1-0%-4h CF, and (f) 1-32%-4h TCF.</w:t>
      </w:r>
    </w:p>
    <w:p w14:paraId="3CC8ECD0">
      <w:pPr>
        <w:jc w:val="center"/>
        <w:rPr>
          <w:rFonts w:ascii="Times New Roman" w:hAnsi="Times New Roman" w:cs="Times New Roman"/>
          <w:sz w:val="22"/>
        </w:rPr>
      </w:pPr>
    </w:p>
    <w:p w14:paraId="30DD09D6">
      <w:pPr>
        <w:jc w:val="center"/>
        <w:rPr>
          <w:rFonts w:ascii="Times New Roman" w:hAnsi="Times New Roman" w:cs="Times New Roman"/>
          <w:sz w:val="22"/>
        </w:rPr>
      </w:pPr>
    </w:p>
    <w:p w14:paraId="0698ADB3">
      <w:pPr>
        <w:jc w:val="center"/>
        <w:rPr>
          <w:rFonts w:ascii="Times New Roman" w:hAnsi="Times New Roman" w:cs="Times New Roman"/>
          <w:sz w:val="22"/>
        </w:rPr>
      </w:pPr>
    </w:p>
    <w:p w14:paraId="0A9C8577">
      <w:pPr>
        <w:jc w:val="center"/>
        <w:rPr>
          <w:rFonts w:ascii="Times New Roman" w:hAnsi="Times New Roman" w:cs="Times New Roman"/>
          <w:sz w:val="22"/>
        </w:rPr>
      </w:pPr>
    </w:p>
    <w:p w14:paraId="0DD0E7B2">
      <w:pPr>
        <w:jc w:val="center"/>
        <w:rPr>
          <w:rFonts w:ascii="Times New Roman" w:hAnsi="Times New Roman" w:cs="Times New Roman"/>
          <w:sz w:val="22"/>
        </w:rPr>
      </w:pPr>
    </w:p>
    <w:p w14:paraId="77B81FD4">
      <w:pPr>
        <w:jc w:val="center"/>
        <w:rPr>
          <w:rFonts w:ascii="Times New Roman" w:hAnsi="Times New Roman" w:cs="Times New Roman"/>
          <w:sz w:val="22"/>
        </w:rPr>
      </w:pPr>
    </w:p>
    <w:p w14:paraId="6C88F028">
      <w:pPr>
        <w:jc w:val="center"/>
        <w:rPr>
          <w:rFonts w:ascii="Times New Roman" w:hAnsi="Times New Roman" w:cs="Times New Roman"/>
          <w:sz w:val="22"/>
        </w:rPr>
      </w:pPr>
    </w:p>
    <w:p w14:paraId="7561CB30">
      <w:pPr>
        <w:jc w:val="center"/>
        <w:rPr>
          <w:rFonts w:ascii="Times New Roman" w:hAnsi="Times New Roman" w:cs="Times New Roman"/>
          <w:sz w:val="22"/>
        </w:rPr>
      </w:pPr>
    </w:p>
    <w:p w14:paraId="4582A858">
      <w:pPr>
        <w:jc w:val="center"/>
        <w:rPr>
          <w:rFonts w:ascii="Times New Roman" w:hAnsi="Times New Roman" w:cs="Times New Roman"/>
          <w:sz w:val="22"/>
        </w:rPr>
      </w:pPr>
    </w:p>
    <w:p w14:paraId="333AF262">
      <w:pPr>
        <w:jc w:val="center"/>
        <w:rPr>
          <w:rFonts w:ascii="Times New Roman" w:hAnsi="Times New Roman" w:cs="Times New Roman"/>
          <w:sz w:val="22"/>
        </w:rPr>
      </w:pPr>
    </w:p>
    <w:p w14:paraId="0D27F2F0">
      <w:pPr>
        <w:jc w:val="center"/>
        <w:rPr>
          <w:rFonts w:ascii="Times New Roman" w:hAnsi="Times New Roman" w:cs="Times New Roman"/>
          <w:sz w:val="22"/>
        </w:rPr>
      </w:pPr>
    </w:p>
    <w:p w14:paraId="764CA77D">
      <w:pPr>
        <w:jc w:val="center"/>
        <w:rPr>
          <w:rFonts w:ascii="Times New Roman" w:hAnsi="Times New Roman" w:cs="Times New Roman"/>
          <w:sz w:val="22"/>
        </w:rPr>
      </w:pPr>
    </w:p>
    <w:p w14:paraId="4F3F9675">
      <w:pPr>
        <w:jc w:val="center"/>
        <w:rPr>
          <w:rFonts w:ascii="Times New Roman" w:hAnsi="Times New Roman" w:cs="Times New Roman"/>
          <w:sz w:val="22"/>
        </w:rPr>
      </w:pPr>
    </w:p>
    <w:p w14:paraId="60D573C3">
      <w:pPr>
        <w:jc w:val="center"/>
        <w:rPr>
          <w:rFonts w:ascii="Times New Roman" w:hAnsi="Times New Roman" w:cs="Times New Roman"/>
          <w:sz w:val="22"/>
        </w:rPr>
      </w:pPr>
    </w:p>
    <w:p w14:paraId="1368049C">
      <w:pPr>
        <w:jc w:val="center"/>
        <w:rPr>
          <w:rFonts w:ascii="Times New Roman" w:hAnsi="Times New Roman" w:cs="Times New Roman"/>
          <w:sz w:val="22"/>
        </w:rPr>
      </w:pPr>
      <w:r>
        <w:rPr>
          <w:rFonts w:ascii="Times New Roman" w:hAnsi="Times New Roman" w:cs="Times New Roman"/>
          <w:sz w:val="22"/>
        </w:rPr>
        <w:drawing>
          <wp:inline distT="0" distB="0" distL="0" distR="0">
            <wp:extent cx="5272405" cy="2078355"/>
            <wp:effectExtent l="0" t="0" r="4445" b="0"/>
            <wp:docPr id="932051756" name="图片 4" descr="图表, 折线图,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51756" name="图片 4" descr="图表, 折线图, 直方图&#10;&#10;AI 生成的内容可能不正确。"/>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2405" cy="2078355"/>
                    </a:xfrm>
                    <a:prstGeom prst="rect">
                      <a:avLst/>
                    </a:prstGeom>
                    <a:noFill/>
                    <a:ln>
                      <a:noFill/>
                    </a:ln>
                  </pic:spPr>
                </pic:pic>
              </a:graphicData>
            </a:graphic>
          </wp:inline>
        </w:drawing>
      </w:r>
    </w:p>
    <w:p w14:paraId="33D2502E">
      <w:pPr>
        <w:jc w:val="center"/>
        <w:rPr>
          <w:rFonts w:ascii="Times New Roman" w:hAnsi="Times New Roman" w:cs="Times New Roman"/>
          <w:sz w:val="22"/>
        </w:rPr>
      </w:pPr>
      <w:r>
        <w:rPr>
          <w:rFonts w:hint="eastAsia" w:ascii="Times New Roman" w:hAnsi="Times New Roman" w:cs="Times New Roman"/>
          <w:b/>
          <w:bCs/>
          <w:sz w:val="22"/>
        </w:rPr>
        <w:t>Supplementary Figure 11.</w:t>
      </w:r>
      <w:r>
        <w:rPr>
          <w:rFonts w:hint="eastAsia" w:ascii="Times New Roman" w:hAnsi="Times New Roman" w:cs="Times New Roman"/>
          <w:sz w:val="22"/>
        </w:rPr>
        <w:t xml:space="preserve"> </w:t>
      </w:r>
      <w:r>
        <w:rPr>
          <w:rFonts w:hint="eastAsia" w:ascii="Times New Roman" w:hAnsi="Times New Roman" w:cs="Times New Roman"/>
          <w:b/>
          <w:bCs/>
          <w:sz w:val="22"/>
        </w:rPr>
        <w:t>Zeta potential of CF and TCF.</w:t>
      </w:r>
      <w:r>
        <w:rPr>
          <w:rFonts w:hint="eastAsia" w:ascii="Times New Roman" w:hAnsi="Times New Roman" w:cs="Times New Roman"/>
          <w:sz w:val="22"/>
        </w:rPr>
        <w:t xml:space="preserve"> (a) 1-0%-4h CF and (b) 1-32%-4h TCF before and after 4 hours incubation.</w:t>
      </w:r>
    </w:p>
    <w:p w14:paraId="3AD6C546">
      <w:pPr>
        <w:rPr>
          <w:rFonts w:hint="eastAsia" w:ascii="Times New Roman" w:hAnsi="Times New Roman" w:cs="Times New Roman"/>
          <w:b/>
          <w:bCs/>
          <w:sz w:val="22"/>
        </w:rPr>
      </w:pPr>
    </w:p>
    <w:p w14:paraId="4D1B26DA">
      <w:pPr>
        <w:rPr>
          <w:rFonts w:hint="eastAsia" w:ascii="Times New Roman" w:hAnsi="Times New Roman" w:cs="Times New Roman"/>
          <w:b/>
          <w:bCs/>
          <w:sz w:val="22"/>
        </w:rPr>
      </w:pPr>
      <w:r>
        <w:rPr>
          <w:rFonts w:hint="eastAsia" w:ascii="Times New Roman" w:hAnsi="Times New Roman" w:cs="Times New Roman"/>
          <w:b/>
          <w:bCs/>
          <w:sz w:val="22"/>
        </w:rPr>
        <w:t>Supplementary note 1: Analysis of Zeta potential shift of CF and TCF:</w:t>
      </w:r>
    </w:p>
    <w:p w14:paraId="73FE6DAF">
      <w:pPr>
        <w:ind w:firstLine="440" w:firstLineChars="200"/>
        <w:rPr>
          <w:rFonts w:ascii="Times New Roman" w:hAnsi="Times New Roman" w:cs="Times New Roman"/>
          <w:sz w:val="22"/>
        </w:rPr>
      </w:pPr>
      <w:r>
        <w:rPr>
          <w:rFonts w:hint="eastAsia" w:ascii="Times New Roman" w:hAnsi="Times New Roman" w:cs="Times New Roman"/>
          <w:sz w:val="22"/>
        </w:rPr>
        <w:t>Zeta potential measurements of the solutions before and after the reaction were also performed (</w:t>
      </w:r>
      <w:r>
        <w:rPr>
          <w:rFonts w:hint="eastAsia" w:ascii="Times New Roman" w:hAnsi="Times New Roman" w:cs="Times New Roman"/>
          <w:sz w:val="22"/>
          <w:lang w:val="en-US" w:eastAsia="zh-CN"/>
        </w:rPr>
        <w:t xml:space="preserve">Supplementary </w:t>
      </w:r>
      <w:r>
        <w:rPr>
          <w:rFonts w:hint="eastAsia" w:ascii="Times New Roman" w:hAnsi="Times New Roman" w:cs="Times New Roman"/>
          <w:sz w:val="22"/>
        </w:rPr>
        <w:t>Fig. 1</w:t>
      </w:r>
      <w:r>
        <w:rPr>
          <w:rFonts w:hint="eastAsia" w:ascii="Times New Roman" w:hAnsi="Times New Roman" w:cs="Times New Roman"/>
          <w:sz w:val="22"/>
          <w:lang w:val="en-US" w:eastAsia="zh-CN"/>
        </w:rPr>
        <w:t>1</w:t>
      </w:r>
      <w:r>
        <w:rPr>
          <w:rFonts w:hint="eastAsia" w:ascii="Times New Roman" w:hAnsi="Times New Roman" w:cs="Times New Roman"/>
          <w:sz w:val="22"/>
        </w:rPr>
        <w:t>) to verify the interaction between copper ions and surface groups of the carbon materials. The initial zeta potential of the 1-32%-4h sample solution was higher than that of the 1-0%-4h solution, primarily due to the free carboxyl groups in CMC. The results show that at the same dilution concentration, the zeta potentials of the 1-0%-4h and 1-32%-4h samples increased by 26.2% and 13.2%, respectively, indicating a reduction in the negative charge on the surface of the carbon materials. This provides indirect evidence for the coordination interaction between copper ions and GO.</w:t>
      </w:r>
    </w:p>
    <w:p w14:paraId="0D169929">
      <w:pPr>
        <w:jc w:val="center"/>
        <w:rPr>
          <w:rFonts w:ascii="Times New Roman" w:hAnsi="Times New Roman" w:cs="Times New Roman"/>
          <w:sz w:val="22"/>
        </w:rPr>
      </w:pPr>
    </w:p>
    <w:p w14:paraId="2FF22003">
      <w:pPr>
        <w:jc w:val="center"/>
        <w:rPr>
          <w:rFonts w:ascii="Times New Roman" w:hAnsi="Times New Roman" w:cs="Times New Roman"/>
          <w:sz w:val="22"/>
        </w:rPr>
      </w:pPr>
    </w:p>
    <w:p w14:paraId="425722F9">
      <w:pPr>
        <w:jc w:val="center"/>
        <w:rPr>
          <w:rFonts w:ascii="Times New Roman" w:hAnsi="Times New Roman" w:cs="Times New Roman"/>
          <w:sz w:val="22"/>
        </w:rPr>
      </w:pPr>
    </w:p>
    <w:p w14:paraId="671A8035">
      <w:pPr>
        <w:jc w:val="center"/>
        <w:rPr>
          <w:rFonts w:ascii="Times New Roman" w:hAnsi="Times New Roman" w:cs="Times New Roman"/>
          <w:sz w:val="22"/>
        </w:rPr>
      </w:pPr>
    </w:p>
    <w:p w14:paraId="28A79620">
      <w:pPr>
        <w:jc w:val="center"/>
        <w:rPr>
          <w:rFonts w:ascii="Times New Roman" w:hAnsi="Times New Roman" w:cs="Times New Roman"/>
          <w:sz w:val="22"/>
        </w:rPr>
      </w:pPr>
    </w:p>
    <w:p w14:paraId="705D8F4A">
      <w:pPr>
        <w:jc w:val="center"/>
        <w:rPr>
          <w:rFonts w:ascii="Times New Roman" w:hAnsi="Times New Roman" w:cs="Times New Roman"/>
          <w:sz w:val="22"/>
        </w:rPr>
      </w:pPr>
    </w:p>
    <w:p w14:paraId="64424E9E">
      <w:pPr>
        <w:jc w:val="center"/>
        <w:rPr>
          <w:rFonts w:ascii="Times New Roman" w:hAnsi="Times New Roman" w:cs="Times New Roman"/>
          <w:sz w:val="22"/>
        </w:rPr>
      </w:pPr>
    </w:p>
    <w:p w14:paraId="3331D5E9">
      <w:pPr>
        <w:jc w:val="center"/>
        <w:rPr>
          <w:rFonts w:ascii="Times New Roman" w:hAnsi="Times New Roman" w:cs="Times New Roman"/>
          <w:sz w:val="22"/>
        </w:rPr>
      </w:pPr>
    </w:p>
    <w:p w14:paraId="137EF2B0">
      <w:pPr>
        <w:jc w:val="center"/>
        <w:rPr>
          <w:rFonts w:ascii="Times New Roman" w:hAnsi="Times New Roman" w:cs="Times New Roman"/>
          <w:sz w:val="22"/>
        </w:rPr>
      </w:pPr>
    </w:p>
    <w:p w14:paraId="71D49966">
      <w:pPr>
        <w:jc w:val="center"/>
        <w:rPr>
          <w:rFonts w:ascii="Times New Roman" w:hAnsi="Times New Roman" w:cs="Times New Roman"/>
          <w:sz w:val="22"/>
        </w:rPr>
      </w:pPr>
    </w:p>
    <w:p w14:paraId="432B0656">
      <w:pPr>
        <w:jc w:val="center"/>
        <w:rPr>
          <w:rFonts w:ascii="Times New Roman" w:hAnsi="Times New Roman" w:cs="Times New Roman"/>
          <w:sz w:val="22"/>
        </w:rPr>
      </w:pPr>
    </w:p>
    <w:p w14:paraId="412CAEFC">
      <w:pPr>
        <w:jc w:val="center"/>
        <w:rPr>
          <w:rFonts w:ascii="Times New Roman" w:hAnsi="Times New Roman" w:cs="Times New Roman"/>
          <w:sz w:val="22"/>
        </w:rPr>
      </w:pPr>
    </w:p>
    <w:p w14:paraId="4D56D1F4">
      <w:pPr>
        <w:jc w:val="center"/>
        <w:rPr>
          <w:rFonts w:ascii="Times New Roman" w:hAnsi="Times New Roman" w:cs="Times New Roman"/>
          <w:sz w:val="22"/>
        </w:rPr>
      </w:pPr>
      <w:r>
        <w:rPr>
          <w:rFonts w:ascii="Times New Roman" w:hAnsi="Times New Roman" w:cs="Times New Roman"/>
          <w:sz w:val="22"/>
        </w:rPr>
        <w:drawing>
          <wp:inline distT="0" distB="0" distL="0" distR="0">
            <wp:extent cx="2876550" cy="2305050"/>
            <wp:effectExtent l="0" t="0" r="0" b="0"/>
            <wp:docPr id="6283272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27248" name="图片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876550" cy="2305050"/>
                    </a:xfrm>
                    <a:prstGeom prst="rect">
                      <a:avLst/>
                    </a:prstGeom>
                    <a:noFill/>
                    <a:ln>
                      <a:noFill/>
                    </a:ln>
                  </pic:spPr>
                </pic:pic>
              </a:graphicData>
            </a:graphic>
          </wp:inline>
        </w:drawing>
      </w:r>
    </w:p>
    <w:p w14:paraId="2914EE01">
      <w:pPr>
        <w:jc w:val="center"/>
        <w:rPr>
          <w:rFonts w:hint="eastAsia" w:ascii="Times New Roman" w:hAnsi="Times New Roman" w:cs="Times New Roman"/>
          <w:sz w:val="22"/>
        </w:rPr>
      </w:pPr>
      <w:r>
        <w:rPr>
          <w:rFonts w:hint="eastAsia" w:ascii="Times New Roman" w:hAnsi="Times New Roman" w:cs="Times New Roman"/>
          <w:b/>
          <w:bCs/>
          <w:sz w:val="22"/>
        </w:rPr>
        <w:t xml:space="preserve">Supplementary </w:t>
      </w:r>
      <w:r>
        <w:rPr>
          <w:rFonts w:ascii="Times New Roman" w:hAnsi="Times New Roman" w:cs="Times New Roman"/>
          <w:b/>
          <w:bCs/>
          <w:sz w:val="22"/>
        </w:rPr>
        <w:t>Figure</w:t>
      </w:r>
      <w:r>
        <w:rPr>
          <w:rFonts w:hint="eastAsia" w:ascii="Times New Roman" w:hAnsi="Times New Roman" w:cs="Times New Roman"/>
          <w:b/>
          <w:bCs/>
          <w:sz w:val="22"/>
        </w:rPr>
        <w:t xml:space="preserve"> </w:t>
      </w:r>
      <w:r>
        <w:rPr>
          <w:rFonts w:ascii="Times New Roman" w:hAnsi="Times New Roman" w:cs="Times New Roman"/>
          <w:b/>
          <w:bCs/>
          <w:sz w:val="22"/>
        </w:rPr>
        <w:t>1</w:t>
      </w:r>
      <w:r>
        <w:rPr>
          <w:rFonts w:hint="eastAsia" w:ascii="Times New Roman" w:hAnsi="Times New Roman" w:cs="Times New Roman"/>
          <w:b/>
          <w:bCs/>
          <w:sz w:val="22"/>
        </w:rPr>
        <w:t>2.</w:t>
      </w:r>
      <w:r>
        <w:rPr>
          <w:rFonts w:ascii="Times New Roman" w:hAnsi="Times New Roman" w:cs="Times New Roman"/>
          <w:sz w:val="22"/>
        </w:rPr>
        <w:t xml:space="preserve"> </w:t>
      </w:r>
      <w:r>
        <w:rPr>
          <w:rFonts w:ascii="Times New Roman" w:hAnsi="Times New Roman" w:cs="Times New Roman"/>
          <w:b/>
          <w:bCs/>
          <w:sz w:val="22"/>
        </w:rPr>
        <w:t>The TGA analysis</w:t>
      </w:r>
      <w:r>
        <w:rPr>
          <w:rFonts w:ascii="Times New Roman" w:hAnsi="Times New Roman" w:cs="Times New Roman"/>
          <w:sz w:val="22"/>
        </w:rPr>
        <w:t xml:space="preserve"> </w:t>
      </w:r>
      <w:r>
        <w:rPr>
          <w:rFonts w:hint="eastAsia" w:ascii="Times New Roman" w:hAnsi="Times New Roman" w:cs="Times New Roman"/>
          <w:b/>
          <w:bCs/>
          <w:sz w:val="22"/>
        </w:rPr>
        <w:t>CF and TCF.</w:t>
      </w:r>
      <w:r>
        <w:rPr>
          <w:rFonts w:hint="eastAsia" w:ascii="Times New Roman" w:hAnsi="Times New Roman" w:cs="Times New Roman"/>
          <w:sz w:val="22"/>
        </w:rPr>
        <w:t xml:space="preserve"> The temperature is first raised to 250 °C at a rate of 5 </w:t>
      </w:r>
      <w:r>
        <w:rPr>
          <w:rFonts w:ascii="Times New Roman" w:hAnsi="Times New Roman" w:cs="Times New Roman"/>
          <w:sz w:val="22"/>
        </w:rPr>
        <w:t>℃</w:t>
      </w:r>
      <w:r>
        <w:rPr>
          <w:rFonts w:hint="eastAsia" w:ascii="Times New Roman" w:hAnsi="Times New Roman" w:cs="Times New Roman"/>
          <w:sz w:val="22"/>
        </w:rPr>
        <w:t xml:space="preserve">/mins, then held constant for 3 hours, and finally increased to 600 </w:t>
      </w:r>
      <w:r>
        <w:rPr>
          <w:rFonts w:ascii="Times New Roman" w:hAnsi="Times New Roman" w:cs="Times New Roman"/>
          <w:sz w:val="22"/>
        </w:rPr>
        <w:t>℃</w:t>
      </w:r>
      <w:r>
        <w:rPr>
          <w:rFonts w:hint="eastAsia" w:ascii="Times New Roman" w:hAnsi="Times New Roman" w:cs="Times New Roman"/>
          <w:sz w:val="22"/>
        </w:rPr>
        <w:t xml:space="preserve"> at a rate of 5 </w:t>
      </w:r>
      <w:bookmarkStart w:id="4" w:name="OLE_LINK6"/>
      <w:r>
        <w:rPr>
          <w:rFonts w:ascii="Times New Roman" w:hAnsi="Times New Roman" w:cs="Times New Roman"/>
          <w:sz w:val="22"/>
        </w:rPr>
        <w:t>℃</w:t>
      </w:r>
      <w:bookmarkEnd w:id="4"/>
      <w:r>
        <w:rPr>
          <w:rFonts w:hint="eastAsia" w:ascii="Times New Roman" w:hAnsi="Times New Roman" w:cs="Times New Roman"/>
          <w:sz w:val="22"/>
        </w:rPr>
        <w:t>/mins.</w:t>
      </w:r>
    </w:p>
    <w:p w14:paraId="075D3F5C">
      <w:pPr>
        <w:jc w:val="center"/>
        <w:rPr>
          <w:rFonts w:ascii="Times New Roman" w:hAnsi="Times New Roman" w:cs="Times New Roman"/>
          <w:sz w:val="22"/>
        </w:rPr>
      </w:pPr>
    </w:p>
    <w:p w14:paraId="6C969BA4">
      <w:pPr>
        <w:jc w:val="center"/>
        <w:rPr>
          <w:rFonts w:ascii="Times New Roman" w:hAnsi="Times New Roman" w:cs="Times New Roman"/>
          <w:sz w:val="22"/>
        </w:rPr>
      </w:pPr>
    </w:p>
    <w:p w14:paraId="516C3B1F">
      <w:pPr>
        <w:jc w:val="center"/>
        <w:rPr>
          <w:rFonts w:ascii="Times New Roman" w:hAnsi="Times New Roman" w:cs="Times New Roman"/>
          <w:sz w:val="22"/>
        </w:rPr>
      </w:pPr>
    </w:p>
    <w:p w14:paraId="1CDC0592">
      <w:pPr>
        <w:jc w:val="center"/>
        <w:rPr>
          <w:rFonts w:ascii="Times New Roman" w:hAnsi="Times New Roman" w:cs="Times New Roman"/>
          <w:sz w:val="22"/>
        </w:rPr>
      </w:pPr>
    </w:p>
    <w:p w14:paraId="1229FC9E">
      <w:pPr>
        <w:jc w:val="center"/>
        <w:rPr>
          <w:rFonts w:ascii="Times New Roman" w:hAnsi="Times New Roman" w:cs="Times New Roman"/>
          <w:sz w:val="22"/>
        </w:rPr>
      </w:pPr>
    </w:p>
    <w:p w14:paraId="2E73BE6C">
      <w:pPr>
        <w:jc w:val="center"/>
        <w:rPr>
          <w:rFonts w:ascii="Times New Roman" w:hAnsi="Times New Roman" w:cs="Times New Roman"/>
          <w:sz w:val="22"/>
        </w:rPr>
      </w:pPr>
    </w:p>
    <w:p w14:paraId="4C9418B1">
      <w:pPr>
        <w:jc w:val="center"/>
        <w:rPr>
          <w:rFonts w:ascii="Times New Roman" w:hAnsi="Times New Roman" w:cs="Times New Roman"/>
          <w:sz w:val="22"/>
        </w:rPr>
      </w:pPr>
    </w:p>
    <w:p w14:paraId="00F2A6D4">
      <w:pPr>
        <w:jc w:val="center"/>
        <w:rPr>
          <w:rFonts w:ascii="Times New Roman" w:hAnsi="Times New Roman" w:cs="Times New Roman"/>
          <w:sz w:val="22"/>
        </w:rPr>
      </w:pPr>
    </w:p>
    <w:p w14:paraId="75ECAA4A">
      <w:pPr>
        <w:jc w:val="center"/>
        <w:rPr>
          <w:rFonts w:ascii="Times New Roman" w:hAnsi="Times New Roman" w:cs="Times New Roman"/>
          <w:sz w:val="22"/>
        </w:rPr>
      </w:pPr>
    </w:p>
    <w:p w14:paraId="407DACB0">
      <w:pPr>
        <w:jc w:val="center"/>
        <w:rPr>
          <w:rFonts w:ascii="Times New Roman" w:hAnsi="Times New Roman" w:cs="Times New Roman"/>
          <w:sz w:val="22"/>
        </w:rPr>
      </w:pPr>
    </w:p>
    <w:p w14:paraId="754722E5">
      <w:pPr>
        <w:jc w:val="center"/>
        <w:rPr>
          <w:rFonts w:ascii="Times New Roman" w:hAnsi="Times New Roman" w:cs="Times New Roman"/>
          <w:sz w:val="22"/>
        </w:rPr>
      </w:pPr>
    </w:p>
    <w:p w14:paraId="415EDD90">
      <w:pPr>
        <w:jc w:val="center"/>
        <w:rPr>
          <w:rFonts w:ascii="Times New Roman" w:hAnsi="Times New Roman" w:cs="Times New Roman"/>
          <w:sz w:val="22"/>
        </w:rPr>
      </w:pPr>
    </w:p>
    <w:p w14:paraId="1415B3DC">
      <w:pPr>
        <w:jc w:val="center"/>
        <w:rPr>
          <w:rFonts w:ascii="Times New Roman" w:hAnsi="Times New Roman" w:cs="Times New Roman"/>
          <w:sz w:val="22"/>
        </w:rPr>
      </w:pPr>
    </w:p>
    <w:p w14:paraId="5E0269E4">
      <w:pPr>
        <w:rPr>
          <w:rFonts w:ascii="Times New Roman" w:hAnsi="Times New Roman" w:eastAsia="仿宋" w:cs="Times New Roman"/>
          <w:sz w:val="22"/>
        </w:rPr>
      </w:pPr>
    </w:p>
    <w:p w14:paraId="7BA4B0B0">
      <w:pPr>
        <w:rPr>
          <w:rFonts w:ascii="Times New Roman" w:hAnsi="Times New Roman" w:cs="Times New Roman"/>
          <w:sz w:val="22"/>
        </w:rPr>
      </w:pPr>
      <w:r>
        <w:rPr>
          <w:rFonts w:ascii="Times New Roman" w:hAnsi="Times New Roman" w:cs="Times New Roman"/>
          <w:sz w:val="22"/>
        </w:rPr>
        <w:drawing>
          <wp:inline distT="0" distB="0" distL="0" distR="0">
            <wp:extent cx="5327650" cy="6068695"/>
            <wp:effectExtent l="0" t="0" r="6350" b="825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noChangeArrowheads="1"/>
                    </pic:cNvPicPr>
                  </pic:nvPicPr>
                  <pic:blipFill>
                    <a:blip r:embed="rId16"/>
                    <a:stretch>
                      <a:fillRect/>
                    </a:stretch>
                  </pic:blipFill>
                  <pic:spPr>
                    <a:xfrm>
                      <a:off x="0" y="0"/>
                      <a:ext cx="5328000" cy="6068924"/>
                    </a:xfrm>
                    <a:prstGeom prst="rect">
                      <a:avLst/>
                    </a:prstGeom>
                    <a:noFill/>
                    <a:ln>
                      <a:noFill/>
                    </a:ln>
                  </pic:spPr>
                </pic:pic>
              </a:graphicData>
            </a:graphic>
          </wp:inline>
        </w:drawing>
      </w:r>
    </w:p>
    <w:p w14:paraId="10DB97E3">
      <w:pPr>
        <w:jc w:val="center"/>
        <w:rPr>
          <w:rStyle w:val="50"/>
          <w:rFonts w:ascii="Times New Roman" w:hAnsi="Times New Roman" w:cs="Times New Roman"/>
        </w:rPr>
      </w:pPr>
      <w:r>
        <w:rPr>
          <w:rFonts w:hint="eastAsia" w:ascii="Times New Roman" w:hAnsi="Times New Roman" w:eastAsia="仿宋" w:cs="Times New Roman"/>
          <w:b/>
          <w:bCs/>
          <w:sz w:val="22"/>
        </w:rPr>
        <w:t xml:space="preserve">Supplementary </w:t>
      </w:r>
      <w:r>
        <w:rPr>
          <w:rFonts w:ascii="Times New Roman" w:hAnsi="Times New Roman" w:eastAsia="仿宋" w:cs="Times New Roman"/>
          <w:b/>
          <w:bCs/>
          <w:sz w:val="22"/>
        </w:rPr>
        <w:t>Figure</w:t>
      </w:r>
      <w:r>
        <w:rPr>
          <w:rFonts w:hint="eastAsia" w:ascii="Times New Roman" w:hAnsi="Times New Roman" w:eastAsia="仿宋" w:cs="Times New Roman"/>
          <w:b/>
          <w:bCs/>
          <w:sz w:val="22"/>
        </w:rPr>
        <w:t xml:space="preserve"> </w:t>
      </w:r>
      <w:r>
        <w:rPr>
          <w:rFonts w:ascii="Times New Roman" w:hAnsi="Times New Roman" w:eastAsia="仿宋" w:cs="Times New Roman"/>
          <w:b/>
          <w:bCs/>
          <w:sz w:val="22"/>
        </w:rPr>
        <w:t>1</w:t>
      </w:r>
      <w:r>
        <w:rPr>
          <w:rFonts w:hint="eastAsia" w:ascii="Times New Roman" w:hAnsi="Times New Roman" w:eastAsia="仿宋" w:cs="Times New Roman"/>
          <w:b/>
          <w:bCs/>
          <w:sz w:val="22"/>
        </w:rPr>
        <w:t xml:space="preserve">3. </w:t>
      </w:r>
      <w:r>
        <w:rPr>
          <w:rStyle w:val="50"/>
          <w:rFonts w:ascii="Times New Roman" w:hAnsi="Times New Roman" w:cs="Times New Roman"/>
          <w:b/>
          <w:bCs/>
        </w:rPr>
        <w:t>Mechanical analysis of TCFs.</w:t>
      </w:r>
      <w:r>
        <w:rPr>
          <w:rStyle w:val="50"/>
          <w:rFonts w:ascii="Times New Roman" w:hAnsi="Times New Roman" w:cs="Times New Roman"/>
        </w:rPr>
        <w:t xml:space="preserve"> (a-b) Young’s modulus variation of samples with SWCNT concentration gradient and deposition time gradient. (c-d) Tensile strength variation of samples with SWCNT concentration gradient and deposition time gradient. (</w:t>
      </w:r>
      <w:r>
        <w:rPr>
          <w:rStyle w:val="50"/>
          <w:rFonts w:hint="eastAsia" w:ascii="Times New Roman" w:hAnsi="Times New Roman" w:cs="Times New Roman"/>
        </w:rPr>
        <w:t>e</w:t>
      </w:r>
      <w:r>
        <w:rPr>
          <w:rStyle w:val="50"/>
          <w:rFonts w:ascii="Times New Roman" w:hAnsi="Times New Roman" w:cs="Times New Roman"/>
        </w:rPr>
        <w:t>) Bending and recovery tests of the 32% sample</w:t>
      </w:r>
      <w:r>
        <w:rPr>
          <w:rStyle w:val="50"/>
          <w:rFonts w:hint="eastAsia" w:ascii="Times New Roman" w:hAnsi="Times New Roman" w:cs="Times New Roman"/>
        </w:rPr>
        <w:t>.</w:t>
      </w:r>
    </w:p>
    <w:p w14:paraId="6E67C59F">
      <w:pPr>
        <w:jc w:val="center"/>
        <w:rPr>
          <w:rStyle w:val="50"/>
          <w:rFonts w:ascii="Times New Roman" w:hAnsi="Times New Roman" w:cs="Times New Roman"/>
        </w:rPr>
      </w:pPr>
    </w:p>
    <w:p w14:paraId="7BCB9B3D">
      <w:pPr>
        <w:jc w:val="center"/>
        <w:rPr>
          <w:rStyle w:val="50"/>
          <w:rFonts w:ascii="Times New Roman" w:hAnsi="Times New Roman" w:cs="Times New Roman"/>
        </w:rPr>
      </w:pPr>
    </w:p>
    <w:p w14:paraId="118A0848">
      <w:pPr>
        <w:rPr>
          <w:rStyle w:val="50"/>
          <w:rFonts w:ascii="Times New Roman" w:hAnsi="Times New Roman" w:cs="Times New Roman"/>
        </w:rPr>
      </w:pPr>
    </w:p>
    <w:p w14:paraId="24DEE654">
      <w:pPr>
        <w:jc w:val="center"/>
        <w:rPr>
          <w:rFonts w:ascii="Times New Roman" w:hAnsi="Times New Roman" w:eastAsia="仿宋" w:cs="Times New Roman"/>
          <w:sz w:val="22"/>
        </w:rPr>
      </w:pPr>
      <w:r>
        <w:rPr>
          <w:rFonts w:ascii="Times New Roman" w:hAnsi="Times New Roman" w:eastAsia="仿宋" w:cs="Times New Roman"/>
          <w:sz w:val="22"/>
        </w:rPr>
        <w:drawing>
          <wp:anchor distT="0" distB="0" distL="114300" distR="114300" simplePos="0" relativeHeight="251659264" behindDoc="0" locked="0" layoutInCell="1" allowOverlap="1">
            <wp:simplePos x="0" y="0"/>
            <wp:positionH relativeFrom="column">
              <wp:posOffset>3810</wp:posOffset>
            </wp:positionH>
            <wp:positionV relativeFrom="paragraph">
              <wp:posOffset>0</wp:posOffset>
            </wp:positionV>
            <wp:extent cx="5261610" cy="7054850"/>
            <wp:effectExtent l="0" t="0" r="5715" b="3175"/>
            <wp:wrapSquare wrapText="bothSides"/>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noChangeArrowheads="1"/>
                    </pic:cNvPicPr>
                  </pic:nvPicPr>
                  <pic:blipFill>
                    <a:blip r:embed="rId17"/>
                    <a:stretch>
                      <a:fillRect/>
                    </a:stretch>
                  </pic:blipFill>
                  <pic:spPr>
                    <a:xfrm>
                      <a:off x="0" y="0"/>
                      <a:ext cx="5261610" cy="7054850"/>
                    </a:xfrm>
                    <a:prstGeom prst="rect">
                      <a:avLst/>
                    </a:prstGeom>
                    <a:noFill/>
                    <a:ln>
                      <a:noFill/>
                    </a:ln>
                  </pic:spPr>
                </pic:pic>
              </a:graphicData>
            </a:graphic>
          </wp:anchor>
        </w:drawing>
      </w:r>
      <w:r>
        <w:rPr>
          <w:rFonts w:hint="eastAsia" w:ascii="Times New Roman" w:hAnsi="Times New Roman" w:eastAsia="仿宋" w:cs="Times New Roman"/>
          <w:b/>
          <w:bCs/>
          <w:sz w:val="22"/>
        </w:rPr>
        <w:t xml:space="preserve">Supplementary </w:t>
      </w:r>
      <w:r>
        <w:rPr>
          <w:rFonts w:ascii="Times New Roman" w:hAnsi="Times New Roman" w:eastAsia="仿宋" w:cs="Times New Roman"/>
          <w:b/>
          <w:bCs/>
          <w:sz w:val="22"/>
        </w:rPr>
        <w:t>Figure</w:t>
      </w:r>
      <w:r>
        <w:rPr>
          <w:rFonts w:hint="eastAsia" w:ascii="Times New Roman" w:hAnsi="Times New Roman" w:eastAsia="仿宋" w:cs="Times New Roman"/>
          <w:b/>
          <w:bCs/>
          <w:sz w:val="22"/>
        </w:rPr>
        <w:t xml:space="preserve"> </w:t>
      </w:r>
      <w:r>
        <w:rPr>
          <w:rFonts w:ascii="Times New Roman" w:hAnsi="Times New Roman" w:eastAsia="仿宋" w:cs="Times New Roman"/>
          <w:b/>
          <w:bCs/>
          <w:sz w:val="22"/>
        </w:rPr>
        <w:t>1</w:t>
      </w:r>
      <w:r>
        <w:rPr>
          <w:rFonts w:hint="eastAsia" w:ascii="Times New Roman" w:hAnsi="Times New Roman" w:eastAsia="仿宋" w:cs="Times New Roman"/>
          <w:b/>
          <w:bCs/>
          <w:sz w:val="22"/>
        </w:rPr>
        <w:t>4.</w:t>
      </w:r>
      <w:r>
        <w:rPr>
          <w:rFonts w:ascii="Times New Roman" w:hAnsi="Times New Roman" w:eastAsia="仿宋" w:cs="Times New Roman"/>
          <w:sz w:val="22"/>
        </w:rPr>
        <w:t xml:space="preserve"> </w:t>
      </w:r>
      <w:r>
        <w:rPr>
          <w:rFonts w:hint="eastAsia" w:ascii="Times New Roman" w:hAnsi="Times New Roman" w:eastAsia="仿宋" w:cs="Times New Roman"/>
          <w:b/>
          <w:bCs/>
          <w:sz w:val="22"/>
        </w:rPr>
        <w:t>Young</w:t>
      </w:r>
      <w:r>
        <w:rPr>
          <w:rFonts w:ascii="Times New Roman" w:hAnsi="Times New Roman" w:eastAsia="仿宋" w:cs="Times New Roman"/>
          <w:b/>
          <w:bCs/>
          <w:sz w:val="22"/>
        </w:rPr>
        <w:t>’</w:t>
      </w:r>
      <w:r>
        <w:rPr>
          <w:rFonts w:hint="eastAsia" w:ascii="Times New Roman" w:hAnsi="Times New Roman" w:eastAsia="仿宋" w:cs="Times New Roman"/>
          <w:b/>
          <w:bCs/>
          <w:sz w:val="22"/>
        </w:rPr>
        <w:t>s modulus of TCFs.</w:t>
      </w:r>
      <w:r>
        <w:rPr>
          <w:rFonts w:hint="eastAsia" w:ascii="Times New Roman" w:hAnsi="Times New Roman" w:eastAsia="仿宋" w:cs="Times New Roman"/>
          <w:sz w:val="22"/>
        </w:rPr>
        <w:t xml:space="preserve"> </w:t>
      </w:r>
      <w:r>
        <w:rPr>
          <w:rFonts w:ascii="Times New Roman" w:hAnsi="Times New Roman" w:eastAsia="仿宋" w:cs="Times New Roman"/>
          <w:sz w:val="22"/>
        </w:rPr>
        <w:t>The distribution Young’s modulus of (a) GO, (b) CMC-SWCNT, (c) 1-0%-4h, (d) 1-8%-4h, (e) 1-16%-4h, (f) 1-32%-4h, (g) 1-48%-4h, (h) 1-32%-0h, (i) 1-32%-4h (j) 1-32%-8h, (k) 1-32%-16h, (j) 1-32%-24h, (m) 1-32%-48h in a 5</w:t>
      </w:r>
      <w:r>
        <w:rPr>
          <w:sz w:val="22"/>
          <w:szCs w:val="22"/>
        </w:rPr>
        <w:t>×</w:t>
      </w:r>
      <w:r>
        <w:rPr>
          <w:rFonts w:ascii="Times New Roman" w:hAnsi="Times New Roman" w:eastAsia="仿宋" w:cs="Times New Roman"/>
          <w:sz w:val="22"/>
        </w:rPr>
        <w:t>5</w:t>
      </w:r>
      <w:r>
        <w:rPr>
          <w:rFonts w:hint="eastAsia" w:ascii="Times New Roman" w:hAnsi="Times New Roman" w:eastAsia="仿宋" w:cs="Times New Roman"/>
          <w:sz w:val="22"/>
          <w:lang w:val="en-US" w:eastAsia="zh-CN"/>
        </w:rPr>
        <w:t xml:space="preserve"> </w:t>
      </w:r>
      <w:r>
        <w:rPr>
          <w:rFonts w:ascii="Times New Roman" w:hAnsi="Times New Roman" w:eastAsia="仿宋" w:cs="Times New Roman"/>
          <w:sz w:val="22"/>
        </w:rPr>
        <w:t>μm</w:t>
      </w:r>
      <w:r>
        <w:rPr>
          <w:rFonts w:hint="eastAsia" w:ascii="Times New Roman" w:hAnsi="Times New Roman" w:eastAsia="仿宋" w:cs="Times New Roman"/>
          <w:sz w:val="22"/>
          <w:vertAlign w:val="superscript"/>
          <w:lang w:val="en-US" w:eastAsia="zh-CN"/>
        </w:rPr>
        <w:t>2</w:t>
      </w:r>
      <w:r>
        <w:rPr>
          <w:rFonts w:ascii="Times New Roman" w:hAnsi="Times New Roman" w:eastAsia="仿宋" w:cs="Times New Roman"/>
          <w:sz w:val="22"/>
        </w:rPr>
        <w:t xml:space="preserve"> area.</w:t>
      </w:r>
    </w:p>
    <w:p w14:paraId="152D9617">
      <w:pPr>
        <w:rPr>
          <w:rFonts w:ascii="Times New Roman" w:hAnsi="Times New Roman" w:cs="Times New Roman"/>
          <w:sz w:val="22"/>
        </w:rPr>
      </w:pPr>
    </w:p>
    <w:p w14:paraId="38B1A3E0">
      <w:pPr>
        <w:rPr>
          <w:rFonts w:ascii="Times New Roman" w:hAnsi="Times New Roman" w:cs="Times New Roman"/>
          <w:sz w:val="22"/>
        </w:rPr>
      </w:pPr>
      <w:r>
        <w:rPr>
          <w:rFonts w:hint="eastAsia" w:ascii="Times New Roman" w:hAnsi="Times New Roman" w:cs="Times New Roman"/>
          <w:sz w:val="22"/>
        </w:rPr>
        <w:drawing>
          <wp:inline distT="0" distB="0" distL="0" distR="0">
            <wp:extent cx="5259070" cy="5761990"/>
            <wp:effectExtent l="0" t="0" r="8255" b="63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noChangeArrowheads="1"/>
                    </pic:cNvPicPr>
                  </pic:nvPicPr>
                  <pic:blipFill>
                    <a:blip r:embed="rId18"/>
                    <a:stretch>
                      <a:fillRect/>
                    </a:stretch>
                  </pic:blipFill>
                  <pic:spPr>
                    <a:xfrm>
                      <a:off x="0" y="0"/>
                      <a:ext cx="5259484" cy="5762591"/>
                    </a:xfrm>
                    <a:prstGeom prst="rect">
                      <a:avLst/>
                    </a:prstGeom>
                    <a:noFill/>
                    <a:ln>
                      <a:noFill/>
                    </a:ln>
                  </pic:spPr>
                </pic:pic>
              </a:graphicData>
            </a:graphic>
          </wp:inline>
        </w:drawing>
      </w:r>
    </w:p>
    <w:p w14:paraId="074D0C0D">
      <w:pPr>
        <w:jc w:val="center"/>
        <w:rPr>
          <w:rFonts w:hint="eastAsia" w:ascii="Times New Roman" w:hAnsi="Times New Roman" w:cs="Times New Roman"/>
          <w:sz w:val="22"/>
        </w:rPr>
      </w:pPr>
      <w:r>
        <w:rPr>
          <w:rFonts w:hint="eastAsia" w:ascii="Times New Roman" w:hAnsi="Times New Roman" w:cs="Times New Roman"/>
          <w:b/>
          <w:bCs/>
          <w:sz w:val="22"/>
        </w:rPr>
        <w:t>Supplementary Figure 15.</w:t>
      </w:r>
      <w:r>
        <w:rPr>
          <w:rFonts w:hint="eastAsia" w:ascii="Times New Roman" w:hAnsi="Times New Roman" w:cs="Times New Roman"/>
          <w:sz w:val="22"/>
        </w:rPr>
        <w:t xml:space="preserve"> </w:t>
      </w:r>
      <w:r>
        <w:rPr>
          <w:rFonts w:hint="eastAsia" w:ascii="Times New Roman" w:hAnsi="Times New Roman" w:cs="Times New Roman"/>
          <w:b/>
          <w:bCs/>
          <w:sz w:val="22"/>
        </w:rPr>
        <w:t xml:space="preserve">The </w:t>
      </w:r>
      <w:r>
        <w:rPr>
          <w:rFonts w:ascii="Times New Roman" w:hAnsi="Times New Roman" w:cs="Times New Roman"/>
          <w:b/>
          <w:bCs/>
          <w:sz w:val="22"/>
        </w:rPr>
        <w:t>tensile</w:t>
      </w:r>
      <w:r>
        <w:rPr>
          <w:rFonts w:hint="eastAsia" w:ascii="Times New Roman" w:hAnsi="Times New Roman" w:cs="Times New Roman"/>
          <w:b/>
          <w:bCs/>
          <w:sz w:val="22"/>
        </w:rPr>
        <w:t xml:space="preserve"> strength of TCFs.</w:t>
      </w:r>
      <w:r>
        <w:rPr>
          <w:rFonts w:hint="eastAsia" w:ascii="Times New Roman" w:hAnsi="Times New Roman" w:cs="Times New Roman"/>
          <w:sz w:val="22"/>
        </w:rPr>
        <w:t xml:space="preserve"> (a) 1-32%-0h, (b) 1-32%-4h (c) 1-32%-8h, (d) 1-32%-16h, (e) 1-32%-24h, (f) 1-32%-48h (g) 1-0%-4h, (h) 1-8%-4h, (i) 1-16%-4h, (j) 1-32%-4h, (k) 1-48%-4h TCFs. Test was repeated for 3 times.</w:t>
      </w:r>
    </w:p>
    <w:p w14:paraId="15011EEA">
      <w:pPr>
        <w:rPr>
          <w:rFonts w:ascii="Times New Roman" w:hAnsi="Times New Roman" w:cs="Times New Roman"/>
          <w:sz w:val="22"/>
        </w:rPr>
      </w:pPr>
    </w:p>
    <w:p w14:paraId="6C85E25C">
      <w:pPr>
        <w:ind w:firstLine="420"/>
        <w:rPr>
          <w:rFonts w:ascii="Times New Roman" w:hAnsi="Times New Roman" w:cs="Times New Roman"/>
          <w:sz w:val="22"/>
        </w:rPr>
      </w:pPr>
    </w:p>
    <w:p w14:paraId="37D919A0">
      <w:pPr>
        <w:ind w:firstLine="420"/>
        <w:rPr>
          <w:rFonts w:ascii="Times New Roman" w:hAnsi="Times New Roman" w:cs="Times New Roman"/>
          <w:sz w:val="22"/>
        </w:rPr>
      </w:pPr>
    </w:p>
    <w:p w14:paraId="118A9E4B">
      <w:pPr>
        <w:ind w:firstLine="420"/>
        <w:rPr>
          <w:rFonts w:ascii="Times New Roman" w:hAnsi="Times New Roman" w:cs="Times New Roman"/>
          <w:sz w:val="22"/>
        </w:rPr>
      </w:pPr>
    </w:p>
    <w:p w14:paraId="3F2DA5D7">
      <w:pPr>
        <w:ind w:firstLine="420"/>
        <w:rPr>
          <w:rFonts w:ascii="Times New Roman" w:hAnsi="Times New Roman" w:cs="Times New Roman"/>
          <w:sz w:val="22"/>
        </w:rPr>
      </w:pPr>
    </w:p>
    <w:p w14:paraId="6799FC01">
      <w:pPr>
        <w:ind w:firstLine="420"/>
        <w:rPr>
          <w:rFonts w:ascii="Times New Roman" w:hAnsi="Times New Roman" w:cs="Times New Roman"/>
          <w:sz w:val="22"/>
        </w:rPr>
      </w:pPr>
    </w:p>
    <w:p w14:paraId="066B5AAA">
      <w:pPr>
        <w:ind w:firstLine="420"/>
        <w:rPr>
          <w:rFonts w:ascii="Times New Roman" w:hAnsi="Times New Roman" w:cs="Times New Roman"/>
          <w:sz w:val="22"/>
        </w:rPr>
      </w:pPr>
    </w:p>
    <w:p w14:paraId="13C35ECF">
      <w:pPr>
        <w:ind w:firstLine="420"/>
        <w:rPr>
          <w:rFonts w:ascii="Times New Roman" w:hAnsi="Times New Roman" w:cs="Times New Roman"/>
          <w:sz w:val="22"/>
        </w:rPr>
      </w:pPr>
    </w:p>
    <w:p w14:paraId="761107F2">
      <w:pPr>
        <w:ind w:firstLine="420"/>
        <w:rPr>
          <w:rFonts w:ascii="Times New Roman" w:hAnsi="Times New Roman" w:cs="Times New Roman"/>
          <w:sz w:val="22"/>
        </w:rPr>
      </w:pPr>
    </w:p>
    <w:p w14:paraId="0A4A6920">
      <w:pPr>
        <w:ind w:firstLine="420"/>
        <w:rPr>
          <w:rFonts w:ascii="Times New Roman" w:hAnsi="Times New Roman" w:cs="Times New Roman"/>
          <w:sz w:val="22"/>
        </w:rPr>
      </w:pPr>
    </w:p>
    <w:p w14:paraId="5B4CB3F6">
      <w:pPr>
        <w:ind w:firstLine="420"/>
        <w:rPr>
          <w:rFonts w:ascii="Times New Roman" w:hAnsi="Times New Roman" w:cs="Times New Roman"/>
          <w:sz w:val="22"/>
        </w:rPr>
      </w:pPr>
    </w:p>
    <w:p w14:paraId="1F05F5DD">
      <w:pPr>
        <w:rPr>
          <w:rFonts w:ascii="Times New Roman" w:hAnsi="Times New Roman" w:cs="Times New Roman"/>
          <w:b/>
          <w:bCs/>
          <w:sz w:val="22"/>
        </w:rPr>
      </w:pPr>
      <w:r>
        <w:rPr>
          <w:rFonts w:hint="eastAsia" w:ascii="Times New Roman" w:hAnsi="Times New Roman" w:cs="Times New Roman"/>
          <w:b/>
          <w:bCs/>
          <w:sz w:val="22"/>
        </w:rPr>
        <w:t>Supplementary note 2: Mechanical properties of TCFs:</w:t>
      </w:r>
    </w:p>
    <w:p w14:paraId="7683044F">
      <w:pPr>
        <w:rPr>
          <w:rFonts w:ascii="Times New Roman" w:hAnsi="Times New Roman" w:cs="Times New Roman"/>
          <w:sz w:val="22"/>
        </w:rPr>
      </w:pPr>
      <w:r>
        <w:rPr>
          <w:rFonts w:ascii="Times New Roman" w:hAnsi="Times New Roman" w:cs="Times New Roman"/>
          <w:sz w:val="22"/>
        </w:rPr>
        <w:t>Strong mechanical properties play a crucial role in the practical application of conductive films, and a large number of coordination bonds introduced into the films have been proven to have a certain mechanical enhancement effect.</w:t>
      </w:r>
      <w:r>
        <w:rPr>
          <w:rFonts w:ascii="Times New Roman" w:hAnsi="Times New Roman" w:cs="Times New Roman"/>
          <w:sz w:val="22"/>
        </w:rPr>
        <w:fldChar w:fldCharType="begin"/>
      </w:r>
      <w:r>
        <w:rPr>
          <w:rFonts w:ascii="Times New Roman" w:hAnsi="Times New Roman" w:cs="Times New Roman"/>
          <w:sz w:val="22"/>
        </w:rPr>
        <w:instrText xml:space="preserve"> ADDIN ZOTERO_ITEM CSL_CITATION {"citationID":"4Jrl7HJS","properties":{"formattedCitation":"\\super 1\\uc0\\u8211{}4\\nosupersub{}","plainCitation":"1–4","noteIndex":0},"citationItems":[{"id":2115,"uris":["http://zotero.org/users/16084765/items/6CNBGCLZ"],"itemData":{"id":2115,"type":"article-journal","abstract":"The electrochemical performance of graphene oxide (GO) is restricted by π–π stacking and other intermolecular interactions, hindering electrolyte access to the densely packed GO layers. Herein, the stacking of GO sheets is effectively prevented, and a nearly three-dimensional (3D) structure is constructed th","citation-key":"zhaoImprovedElectrochemicalPerformance","DOI":"10.1039/D4TC04915B","language":"en","publisher":"The Royal Society of Chemistry","source":"pubs.rsc.org","title":"Improved electrochemical performance of graphene oxide via copper ion cross-linking and plasma functionalization","URL":"https://pubs.rsc.org/en/content/articlelanding/2025/tc/d4tc04915b","author":[{"family":"Zhao","given":"Wenqi"},{"family":"Cui","given":"Minghui"},{"family":"Zhou","given":"Yansong"},{"family":"Liu","given":"Yanjing"},{"family":"Ou","given":"Qiongrong"},{"family":"Zhang","given":"Shuyu"}],"accessed":{"date-parts":[["2025",5,26]]}}},{"id":2201,"uris":["http://zotero.org/users/16084765/items/YBRJ4QV9"],"itemData":{"id":2201,"type":"article-journal","abstract":"The fangs, jaws, and mandibles of marine invertebrates such as Chiton and Glycera show excellent mechanical properties, which are mostly contributed to the interactions between metal (Fe, Cu, Zn, etc.) and oxygen-containing functional groups in proteins. Inspired by these load-bearing skeletal biomaterials, we improved tensile strength and toughness of graphene films through bridging graphene oxide (GO) nanosheets by metal ions. By optimizing the metal coordination form and density of cross-linking network. We revealed the relationship between mechanical properties and the unique spatial geometry of the GO nanosheets bridged by different valence metal ions. The results demonstrated that the divalent metal ions form tetrahedral geometry with carboxylate groups on the edges of the GO nanosheets, and the bond energy is relatively low, which is helpful for improving the toughness of resultant graphene films. While the trivalent metal ions are easily to form octahedral geometry with the GO nanosheets with higher bond energy, which is better for enhancing the tensile strength of graphene films. After reduction, the reduced GO (rGO) film bridged by divalent metal ions shows 43% improvement in toughness, while the rGO film bridged by trivalent metal ions shows 64% improvement in tensile strength. Our work reveals the mechanism of metal coordination bond energy and spatial geometry to improve the mechanical properties of graphene films, which lays a theoretical foundation for improving the tensile strength and toughness of resultant graphene films, and provides an avenue for fabricating high-performance graphene films and other two-dimensional nanocomposites.","citation-key":"zhangImprovingStrengthToughness2024","container-title":"Proceedings of the National Academy of Sciences","DOI":"10.1073/pnas.2322663121","ISSN":"0027-8424, 1091-6490","issue":"22","journalAbbreviation":"Proc. Natl. Acad. Sci.","langu</w:instrText>
      </w:r>
      <w:r>
        <w:rPr>
          <w:rFonts w:hint="eastAsia" w:ascii="Times New Roman" w:hAnsi="Times New Roman" w:cs="Times New Roman"/>
          <w:sz w:val="22"/>
        </w:rPr>
        <w:instrText xml:space="preserve">age":"en","note":"JCR分区: Q1\n中科院分区升级版: 综合性期刊1区\n影响因子: 9.1\n5年影响因子: 10.6\nESI: 多学科","page":"e2322663121","source":"DOI.org (Crossref)","title":"Improving strength and toughness of graphene film through metal ion bridging","volume":"121","author":[{"family"</w:instrText>
      </w:r>
      <w:r>
        <w:rPr>
          <w:rFonts w:ascii="Times New Roman" w:hAnsi="Times New Roman" w:cs="Times New Roman"/>
          <w:sz w:val="22"/>
        </w:rPr>
        <w:instrText xml:space="preserve">:"Zhang","given":"Zejun"},{"family":"Zheng","given":"Luping"},{"family":"Huang","given":"Weixin"},{"family":"Cheng","given":"Qunfeng"}],"issued":{"date-parts":[["2024",5,28]]}}},{"id":2474,"uris":["http://zotero.org/users/16084765/items/9V83CS28"],"itemData":{"id":2474,"type":"article-journal","citation-key":"wangUltratoughBioinspiredGraphene2018","container-title":"ACS Nano","DOI":"10.1021/acsnano.8b07392","ISSN":"1936-0851, 1936-086X","issue":"12","journalAbbreviation":"ACS Nano","language":"en","note":"TLDR: This paper fabricates an ultratough graphene fiber via sequential toughening of hydrogen and ionic bonding through a wet-spinning method under ambient temperature and shows promising applications in photovoltaic wires, flexible supercapacitor electrodes, wearable electronic textiles, fiber motors, etc.","page":"12638-12645","source":"DOI.org (Crossref)","title":"Ultratough bioinspired graphene fiber &lt;i&gt;via&lt;/i&gt; sequential toughening of hydrogen and ionic bonding","volume":"12","author":[{"family":"Wang","given":"Xiaohui"},{"family":"Peng","given":"Jingsong"},{"family":"Zhang","given":"Yuanyuan"},{"family":"Li","given":"Mingzhu"},{"family":"Saiz","given":"Eduardo"},{"family":"Tomsia","given":"Antoni P."},{"family":"Cheng","given":"Qunfeng"}],"issued":{"date-parts":[["2018",12,26]]}}},{"id":2116,"uris":["http://zotero.org/users/16084765/items/LNNV2Q47"],"itemData":{"id":2116,"type":"article-journal","citation-key":"abrahamTunableSievingIons2017","container-title":"Nature Nanotechnology","DOI":"10.1038/nnano.2017.21","ISSN":"1748-3387, 1748-3395","issue":"6","journalAbbreviation":"Nat. Nanotechnol.","language":"en","note":"TLDR: A simple scalable method is demonstrated to obtain graphene-based membranes with limited swelling, which exhibit 97% rejectio</w:instrText>
      </w:r>
      <w:r>
        <w:rPr>
          <w:rFonts w:hint="eastAsia" w:ascii="Times New Roman" w:hAnsi="Times New Roman" w:cs="Times New Roman"/>
          <w:sz w:val="22"/>
        </w:rPr>
        <w:instrText xml:space="preserve">n for NaCl and decrease exponentially with decreasing sieve size, but water transport is weakly affected.\nJCR分区: Q1\n中科院分区升级版: 材料科学1区\n影响因子: 34.9\n5年影响因子: 40.4\nEI: 是\nESI: 材料科学\n南农高质量: A","page":"546-550","source":"DOI.org (Crossref)","title":"Tunable s</w:instrText>
      </w:r>
      <w:r>
        <w:rPr>
          <w:rFonts w:ascii="Times New Roman" w:hAnsi="Times New Roman" w:cs="Times New Roman"/>
          <w:sz w:val="22"/>
        </w:rPr>
        <w:instrText xml:space="preserve">ieving of ions using graphene oxide membranes","volume":"12","author":[{"family":"Abraham","given":"Jijo"},{"family":"Vasu","given":"Kalangi S."},{"family":"Williams","given":"Christopher D."},{"family":"Gopinadhan","given":"Kalon"},{"family":"Su","given":"Yang"},{"family":"Cherian","given":"Christie T."},{"family":"Dix","given":"James"},{"family":"Prestat","given":"Eric"},{"family":"Haigh","given":"Sarah J."},{"family":"Grigorieva","given":"Irina V."},{"family":"Carbone","given":"Paola"},{"family":"Geim","given":"Andre K."},{"family":"Nair","given":"Rahul R."}],"issued":{"date-parts":[["2017",6]]}}}],"schema":"https://github.com/citation-style-language/schema/raw/master/csl-citation.json"} </w:instrText>
      </w:r>
      <w:r>
        <w:rPr>
          <w:rFonts w:ascii="Times New Roman" w:hAnsi="Times New Roman" w:cs="Times New Roman"/>
          <w:sz w:val="22"/>
        </w:rPr>
        <w:fldChar w:fldCharType="separate"/>
      </w:r>
      <w:r>
        <w:rPr>
          <w:rFonts w:ascii="Times New Roman" w:hAnsi="Times New Roman" w:cs="Times New Roman"/>
          <w:kern w:val="0"/>
          <w:sz w:val="22"/>
          <w:vertAlign w:val="superscript"/>
        </w:rPr>
        <w:t>1–4</w:t>
      </w:r>
      <w:r>
        <w:rPr>
          <w:rFonts w:ascii="Times New Roman" w:hAnsi="Times New Roman" w:cs="Times New Roman"/>
          <w:sz w:val="22"/>
        </w:rPr>
        <w:fldChar w:fldCharType="end"/>
      </w:r>
      <w:r>
        <w:rPr>
          <w:rFonts w:ascii="Times New Roman" w:hAnsi="Times New Roman" w:cs="Times New Roman"/>
          <w:sz w:val="22"/>
        </w:rPr>
        <w:t xml:space="preserve"> </w:t>
      </w:r>
      <w:r>
        <w:rPr>
          <w:rFonts w:hint="eastAsia" w:ascii="Times New Roman" w:hAnsi="Times New Roman" w:cs="Times New Roman"/>
          <w:sz w:val="22"/>
        </w:rPr>
        <w:t>Herein,</w:t>
      </w:r>
      <w:r>
        <w:rPr>
          <w:rFonts w:ascii="Times New Roman" w:hAnsi="Times New Roman" w:cs="Times New Roman"/>
          <w:sz w:val="22"/>
        </w:rPr>
        <w:t xml:space="preserve"> atomic force microscopy and a tensile tester were used to characterize the Young's modulus and tensile strength of the prepared CFs, respectively (</w:t>
      </w:r>
      <w:r>
        <w:rPr>
          <w:rFonts w:hint="eastAsia" w:ascii="Times New Roman" w:hAnsi="Times New Roman" w:cs="Times New Roman"/>
          <w:sz w:val="22"/>
        </w:rPr>
        <w:t>Supplementary</w:t>
      </w:r>
      <w:r>
        <w:rPr>
          <w:rFonts w:hint="eastAsia" w:ascii="Times New Roman" w:hAnsi="Times New Roman" w:cs="Times New Roman"/>
          <w:sz w:val="22"/>
          <w:lang w:val="en-US" w:eastAsia="zh-CN"/>
        </w:rPr>
        <w:t xml:space="preserve"> </w:t>
      </w:r>
      <w:r>
        <w:rPr>
          <w:rFonts w:ascii="Times New Roman" w:hAnsi="Times New Roman" w:cs="Times New Roman"/>
          <w:sz w:val="22"/>
        </w:rPr>
        <w:t>Fig</w:t>
      </w:r>
      <w:r>
        <w:rPr>
          <w:rFonts w:hint="eastAsia" w:ascii="Times New Roman" w:hAnsi="Times New Roman" w:cs="Times New Roman"/>
          <w:sz w:val="22"/>
          <w:lang w:val="en-US" w:eastAsia="zh-CN"/>
        </w:rPr>
        <w:t>s</w:t>
      </w:r>
      <w:r>
        <w:rPr>
          <w:rFonts w:ascii="Times New Roman" w:hAnsi="Times New Roman" w:cs="Times New Roman"/>
          <w:sz w:val="22"/>
        </w:rPr>
        <w:t>.</w:t>
      </w:r>
      <w:r>
        <w:rPr>
          <w:rFonts w:hint="eastAsia" w:ascii="Times New Roman" w:hAnsi="Times New Roman" w:cs="Times New Roman"/>
          <w:sz w:val="22"/>
          <w:lang w:val="en-US" w:eastAsia="zh-CN"/>
        </w:rPr>
        <w:t xml:space="preserve"> </w:t>
      </w:r>
      <w:r>
        <w:rPr>
          <w:rFonts w:ascii="Times New Roman" w:hAnsi="Times New Roman" w:cs="Times New Roman"/>
          <w:sz w:val="22"/>
        </w:rPr>
        <w:t>1</w:t>
      </w:r>
      <w:r>
        <w:rPr>
          <w:rFonts w:hint="eastAsia" w:ascii="Times New Roman" w:hAnsi="Times New Roman" w:cs="Times New Roman"/>
          <w:sz w:val="22"/>
          <w:lang w:val="en-US" w:eastAsia="zh-CN"/>
        </w:rPr>
        <w:t>3</w:t>
      </w:r>
      <w:r>
        <w:rPr>
          <w:rFonts w:ascii="Times New Roman" w:hAnsi="Times New Roman" w:cs="Times New Roman"/>
          <w:sz w:val="22"/>
        </w:rPr>
        <w:t>-1</w:t>
      </w:r>
      <w:r>
        <w:rPr>
          <w:rFonts w:hint="eastAsia" w:ascii="Times New Roman" w:hAnsi="Times New Roman" w:cs="Times New Roman"/>
          <w:sz w:val="22"/>
          <w:lang w:val="en-US" w:eastAsia="zh-CN"/>
        </w:rPr>
        <w:t>5</w:t>
      </w:r>
      <w:r>
        <w:rPr>
          <w:rFonts w:hint="eastAsia" w:ascii="Times New Roman" w:hAnsi="Times New Roman" w:cs="Times New Roman"/>
          <w:sz w:val="22"/>
        </w:rPr>
        <w:t>, Supplementary</w:t>
      </w:r>
      <w:r>
        <w:rPr>
          <w:rFonts w:hint="eastAsia" w:ascii="Times New Roman" w:hAnsi="Times New Roman" w:cs="Times New Roman"/>
          <w:sz w:val="22"/>
          <w:lang w:val="en-US" w:eastAsia="zh-CN"/>
        </w:rPr>
        <w:t xml:space="preserve"> </w:t>
      </w:r>
      <w:r>
        <w:rPr>
          <w:rFonts w:hint="eastAsia" w:ascii="Times New Roman" w:hAnsi="Times New Roman" w:cs="Times New Roman"/>
          <w:sz w:val="22"/>
        </w:rPr>
        <w:t>Table.</w:t>
      </w:r>
      <w:r>
        <w:rPr>
          <w:rFonts w:hint="eastAsia" w:ascii="Times New Roman" w:hAnsi="Times New Roman" w:cs="Times New Roman"/>
          <w:sz w:val="22"/>
          <w:lang w:val="en-US" w:eastAsia="zh-CN"/>
        </w:rPr>
        <w:t xml:space="preserve"> 7</w:t>
      </w:r>
      <w:r>
        <w:rPr>
          <w:rFonts w:ascii="Times New Roman" w:hAnsi="Times New Roman" w:cs="Times New Roman"/>
          <w:sz w:val="22"/>
        </w:rPr>
        <w:t xml:space="preserve">). Compared </w:t>
      </w:r>
      <w:r>
        <w:rPr>
          <w:rFonts w:hint="eastAsia" w:ascii="Times New Roman" w:hAnsi="Times New Roman" w:cs="Times New Roman"/>
          <w:sz w:val="22"/>
        </w:rPr>
        <w:t>to</w:t>
      </w:r>
      <w:r>
        <w:rPr>
          <w:rFonts w:ascii="Times New Roman" w:hAnsi="Times New Roman" w:cs="Times New Roman"/>
          <w:sz w:val="22"/>
        </w:rPr>
        <w:t xml:space="preserve"> the pure GO film (1.7 GPa), </w:t>
      </w:r>
      <w:r>
        <w:rPr>
          <w:rFonts w:hint="eastAsia" w:ascii="Times New Roman" w:hAnsi="Times New Roman" w:cs="Times New Roman"/>
          <w:sz w:val="22"/>
        </w:rPr>
        <w:t>the 1-0%-4h film (without SWCNTs) exhibited a Young</w:t>
      </w:r>
      <w:r>
        <w:rPr>
          <w:rFonts w:ascii="Times New Roman" w:hAnsi="Times New Roman" w:cs="Times New Roman"/>
          <w:sz w:val="22"/>
        </w:rPr>
        <w:t>’</w:t>
      </w:r>
      <w:r>
        <w:rPr>
          <w:rFonts w:hint="eastAsia" w:ascii="Times New Roman" w:hAnsi="Times New Roman" w:cs="Times New Roman"/>
          <w:sz w:val="22"/>
        </w:rPr>
        <w:t>s modulus of 2.0 GPa, confirming the positive mechanical effect of coordination between in-situ generated RGO and copper ions</w:t>
      </w:r>
      <w:r>
        <w:rPr>
          <w:rFonts w:ascii="Times New Roman" w:hAnsi="Times New Roman" w:cs="Times New Roman"/>
          <w:sz w:val="22"/>
        </w:rPr>
        <w:t xml:space="preserve">. </w:t>
      </w:r>
      <w:r>
        <w:rPr>
          <w:rFonts w:hint="eastAsia" w:ascii="Times New Roman" w:hAnsi="Times New Roman" w:cs="Times New Roman"/>
          <w:sz w:val="22"/>
        </w:rPr>
        <w:t>With</w:t>
      </w:r>
      <w:r>
        <w:rPr>
          <w:rFonts w:ascii="Times New Roman" w:hAnsi="Times New Roman" w:cs="Times New Roman"/>
          <w:sz w:val="22"/>
        </w:rPr>
        <w:t xml:space="preserve"> SWCNT content </w:t>
      </w:r>
      <w:r>
        <w:rPr>
          <w:rFonts w:hint="eastAsia" w:ascii="Times New Roman" w:hAnsi="Times New Roman" w:cs="Times New Roman"/>
          <w:sz w:val="22"/>
        </w:rPr>
        <w:t>of</w:t>
      </w:r>
      <w:r>
        <w:rPr>
          <w:rFonts w:ascii="Times New Roman" w:hAnsi="Times New Roman" w:cs="Times New Roman"/>
          <w:sz w:val="22"/>
        </w:rPr>
        <w:t xml:space="preserve"> 8%, 16%, 32%, and 48%, the Young's modulus increased to 2.3 GPa, 2.9 GPa, 3.0 GPa, and 4.5 GPa, corresponding to 35%, 71%, 76%, 165% improvement</w:t>
      </w:r>
      <w:r>
        <w:rPr>
          <w:rFonts w:hint="eastAsia" w:ascii="Times New Roman" w:hAnsi="Times New Roman" w:cs="Times New Roman"/>
          <w:sz w:val="22"/>
        </w:rPr>
        <w:t>s</w:t>
      </w:r>
      <w:r>
        <w:rPr>
          <w:rFonts w:ascii="Times New Roman" w:hAnsi="Times New Roman" w:cs="Times New Roman"/>
          <w:sz w:val="22"/>
        </w:rPr>
        <w:t xml:space="preserve"> </w:t>
      </w:r>
      <w:r>
        <w:rPr>
          <w:rFonts w:hint="eastAsia" w:ascii="Times New Roman" w:hAnsi="Times New Roman" w:cs="Times New Roman"/>
          <w:sz w:val="22"/>
        </w:rPr>
        <w:t>over</w:t>
      </w:r>
      <w:r>
        <w:rPr>
          <w:rFonts w:ascii="Times New Roman" w:hAnsi="Times New Roman" w:cs="Times New Roman"/>
          <w:sz w:val="22"/>
        </w:rPr>
        <w:t xml:space="preserve"> pure GO film; while </w:t>
      </w:r>
      <w:r>
        <w:rPr>
          <w:rFonts w:hint="eastAsia" w:ascii="Times New Roman" w:hAnsi="Times New Roman" w:cs="Times New Roman"/>
          <w:sz w:val="22"/>
        </w:rPr>
        <w:t xml:space="preserve">for </w:t>
      </w:r>
      <w:r>
        <w:rPr>
          <w:rFonts w:ascii="Times New Roman" w:hAnsi="Times New Roman" w:cs="Times New Roman"/>
          <w:sz w:val="22"/>
        </w:rPr>
        <w:t xml:space="preserve">incubation time </w:t>
      </w:r>
      <w:r>
        <w:rPr>
          <w:rFonts w:hint="eastAsia" w:ascii="Times New Roman" w:hAnsi="Times New Roman" w:cs="Times New Roman"/>
          <w:sz w:val="22"/>
        </w:rPr>
        <w:t>of</w:t>
      </w:r>
      <w:r>
        <w:rPr>
          <w:rFonts w:ascii="Times New Roman" w:hAnsi="Times New Roman" w:cs="Times New Roman"/>
          <w:sz w:val="22"/>
        </w:rPr>
        <w:t xml:space="preserve"> 0 h, 4 h, 8 h, 16 h, 24 h, and 48 h, </w:t>
      </w:r>
      <w:r>
        <w:rPr>
          <w:rFonts w:hint="eastAsia" w:ascii="Times New Roman" w:hAnsi="Times New Roman" w:cs="Times New Roman"/>
          <w:sz w:val="22"/>
        </w:rPr>
        <w:t>the values rose</w:t>
      </w:r>
      <w:r>
        <w:rPr>
          <w:rFonts w:ascii="Times New Roman" w:hAnsi="Times New Roman" w:cs="Times New Roman"/>
          <w:sz w:val="22"/>
        </w:rPr>
        <w:t xml:space="preserve"> to 2.9 GPa, 3.0 GPa, 3.8 GPa, 4.0 GPa, 4.1 GPa, and 4.6 GPa, corresponding to 71%, 76%, 124%, 135%, 141%, and 171% improvement</w:t>
      </w:r>
      <w:r>
        <w:rPr>
          <w:rFonts w:hint="eastAsia" w:ascii="Times New Roman" w:hAnsi="Times New Roman" w:cs="Times New Roman"/>
          <w:sz w:val="22"/>
        </w:rPr>
        <w:t>s</w:t>
      </w:r>
      <w:r>
        <w:rPr>
          <w:rFonts w:ascii="Times New Roman" w:hAnsi="Times New Roman" w:cs="Times New Roman"/>
          <w:sz w:val="22"/>
        </w:rPr>
        <w:t>, respectively (</w:t>
      </w:r>
      <w:r>
        <w:rPr>
          <w:rFonts w:hint="eastAsia" w:ascii="Times New Roman" w:hAnsi="Times New Roman" w:cs="Times New Roman"/>
          <w:sz w:val="22"/>
          <w:lang w:val="en-US" w:eastAsia="zh-CN"/>
        </w:rPr>
        <w:t xml:space="preserve">Supplementary Fig. 13a-b and </w:t>
      </w:r>
      <w:r>
        <w:rPr>
          <w:rFonts w:hint="eastAsia" w:ascii="Times New Roman" w:hAnsi="Times New Roman" w:cs="Times New Roman"/>
          <w:sz w:val="22"/>
        </w:rPr>
        <w:t>Supplementary</w:t>
      </w:r>
      <w:r>
        <w:rPr>
          <w:rFonts w:hint="eastAsia" w:ascii="Times New Roman" w:hAnsi="Times New Roman" w:cs="Times New Roman"/>
          <w:sz w:val="22"/>
          <w:lang w:val="en-US" w:eastAsia="zh-CN"/>
        </w:rPr>
        <w:t xml:space="preserve"> </w:t>
      </w:r>
      <w:r>
        <w:rPr>
          <w:rFonts w:ascii="Times New Roman" w:hAnsi="Times New Roman" w:cs="Times New Roman"/>
          <w:sz w:val="22"/>
        </w:rPr>
        <w:t>Fig.</w:t>
      </w:r>
      <w:r>
        <w:rPr>
          <w:rFonts w:hint="eastAsia" w:ascii="Times New Roman" w:hAnsi="Times New Roman" w:cs="Times New Roman"/>
          <w:sz w:val="22"/>
          <w:lang w:val="en-US" w:eastAsia="zh-CN"/>
        </w:rPr>
        <w:t xml:space="preserve"> 14</w:t>
      </w:r>
      <w:r>
        <w:rPr>
          <w:rFonts w:ascii="Times New Roman" w:hAnsi="Times New Roman" w:cs="Times New Roman"/>
          <w:sz w:val="22"/>
        </w:rPr>
        <w:t xml:space="preserve">). Comparative analysis with pure GO films showed that increasing the SWCNT content in the CFs or extending the incubation time can significantly improve the Young's modulus of the CFs. It is worth noting that </w:t>
      </w:r>
      <w:r>
        <w:rPr>
          <w:rFonts w:hint="eastAsia" w:ascii="Times New Roman" w:hAnsi="Times New Roman" w:cs="Times New Roman"/>
          <w:sz w:val="22"/>
        </w:rPr>
        <w:t>the regulation efficiencies differ markedly</w:t>
      </w:r>
      <w:r>
        <w:rPr>
          <w:rFonts w:ascii="Times New Roman" w:hAnsi="Times New Roman" w:cs="Times New Roman"/>
          <w:sz w:val="22"/>
        </w:rPr>
        <w:t xml:space="preserve">: </w:t>
      </w:r>
      <w:r>
        <w:rPr>
          <w:rFonts w:hint="eastAsia" w:ascii="Times New Roman" w:hAnsi="Times New Roman" w:cs="Times New Roman"/>
          <w:sz w:val="22"/>
        </w:rPr>
        <w:t xml:space="preserve">raising </w:t>
      </w:r>
      <w:r>
        <w:rPr>
          <w:rFonts w:ascii="Times New Roman" w:hAnsi="Times New Roman" w:cs="Times New Roman"/>
          <w:sz w:val="22"/>
        </w:rPr>
        <w:t xml:space="preserve">the Young's modulus from 3.0 GPa to 4.6 GPa </w:t>
      </w:r>
      <w:r>
        <w:rPr>
          <w:rFonts w:hint="eastAsia" w:ascii="Times New Roman" w:hAnsi="Times New Roman" w:cs="Times New Roman"/>
          <w:sz w:val="22"/>
        </w:rPr>
        <w:t>required</w:t>
      </w:r>
      <w:r>
        <w:rPr>
          <w:rFonts w:ascii="Times New Roman" w:hAnsi="Times New Roman" w:cs="Times New Roman"/>
          <w:sz w:val="22"/>
        </w:rPr>
        <w:t xml:space="preserve"> an additional 44 h of incubation, </w:t>
      </w:r>
      <w:r>
        <w:rPr>
          <w:rFonts w:hint="eastAsia" w:ascii="Times New Roman" w:hAnsi="Times New Roman" w:cs="Times New Roman"/>
          <w:sz w:val="22"/>
        </w:rPr>
        <w:t>whereas</w:t>
      </w:r>
      <w:r>
        <w:rPr>
          <w:rFonts w:ascii="Times New Roman" w:hAnsi="Times New Roman" w:cs="Times New Roman"/>
          <w:sz w:val="22"/>
        </w:rPr>
        <w:t xml:space="preserve"> the same improvement </w:t>
      </w:r>
      <w:r>
        <w:rPr>
          <w:rFonts w:hint="eastAsia" w:ascii="Times New Roman" w:hAnsi="Times New Roman" w:cs="Times New Roman"/>
          <w:sz w:val="22"/>
        </w:rPr>
        <w:t>was achieved with only a 16% increase in</w:t>
      </w:r>
      <w:r>
        <w:rPr>
          <w:rFonts w:ascii="Times New Roman" w:hAnsi="Times New Roman" w:cs="Times New Roman"/>
          <w:sz w:val="22"/>
        </w:rPr>
        <w:t xml:space="preserve"> SWCNT dosage.</w:t>
      </w:r>
    </w:p>
    <w:p w14:paraId="0BDE420C">
      <w:pPr>
        <w:widowControl/>
        <w:rPr>
          <w:rFonts w:ascii="Times New Roman" w:hAnsi="Times New Roman" w:eastAsia="宋体" w:cs="Times New Roman"/>
          <w:color w:val="1F2329"/>
          <w:kern w:val="0"/>
          <w:sz w:val="22"/>
        </w:rPr>
      </w:pPr>
    </w:p>
    <w:p w14:paraId="5F3D8327">
      <w:pPr>
        <w:widowControl/>
        <w:rPr>
          <w:rFonts w:ascii="Times New Roman" w:hAnsi="Times New Roman" w:eastAsia="宋体" w:cs="Times New Roman"/>
          <w:color w:val="1F2329"/>
          <w:kern w:val="0"/>
          <w:sz w:val="22"/>
        </w:rPr>
      </w:pPr>
      <w:r>
        <w:rPr>
          <w:rFonts w:ascii="Times New Roman" w:hAnsi="Times New Roman" w:eastAsia="宋体" w:cs="Times New Roman"/>
          <w:color w:val="1F2329"/>
          <w:kern w:val="0"/>
          <w:sz w:val="22"/>
        </w:rPr>
        <w:t>Tensile tests</w:t>
      </w:r>
      <w:r>
        <w:rPr>
          <w:rFonts w:hint="eastAsia" w:ascii="Times New Roman" w:hAnsi="Times New Roman" w:eastAsia="宋体" w:cs="Times New Roman"/>
          <w:color w:val="1F2329"/>
          <w:kern w:val="0"/>
          <w:sz w:val="22"/>
          <w:lang w:val="en-US" w:eastAsia="zh-CN"/>
        </w:rPr>
        <w:t xml:space="preserve"> </w:t>
      </w:r>
      <w:r>
        <w:rPr>
          <w:rFonts w:ascii="Times New Roman" w:hAnsi="Times New Roman" w:eastAsia="宋体" w:cs="Times New Roman"/>
          <w:color w:val="1F2329"/>
          <w:kern w:val="0"/>
          <w:sz w:val="22"/>
        </w:rPr>
        <w:t>((</w:t>
      </w:r>
      <w:r>
        <w:rPr>
          <w:rFonts w:hint="eastAsia" w:ascii="Times New Roman" w:hAnsi="Times New Roman" w:cs="Times New Roman"/>
          <w:sz w:val="22"/>
        </w:rPr>
        <w:t>Supplementary</w:t>
      </w:r>
      <w:r>
        <w:rPr>
          <w:rFonts w:hint="eastAsia" w:ascii="Times New Roman" w:hAnsi="Times New Roman" w:cs="Times New Roman"/>
          <w:sz w:val="22"/>
          <w:lang w:val="en-US" w:eastAsia="zh-CN"/>
        </w:rPr>
        <w:t xml:space="preserve"> </w:t>
      </w:r>
      <w:r>
        <w:rPr>
          <w:rFonts w:ascii="Times New Roman" w:hAnsi="Times New Roman" w:eastAsia="宋体" w:cs="Times New Roman"/>
          <w:color w:val="1F2329"/>
          <w:kern w:val="0"/>
          <w:sz w:val="22"/>
        </w:rPr>
        <w:t>Fig.</w:t>
      </w:r>
      <w:r>
        <w:rPr>
          <w:rFonts w:hint="eastAsia" w:ascii="Times New Roman" w:hAnsi="Times New Roman" w:eastAsia="宋体" w:cs="Times New Roman"/>
          <w:color w:val="1F2329"/>
          <w:kern w:val="0"/>
          <w:sz w:val="22"/>
          <w:lang w:val="en-US" w:eastAsia="zh-CN"/>
        </w:rPr>
        <w:t xml:space="preserve"> </w:t>
      </w:r>
      <w:r>
        <w:rPr>
          <w:rFonts w:hint="eastAsia" w:ascii="Times New Roman" w:hAnsi="Times New Roman" w:eastAsia="宋体" w:cs="Times New Roman"/>
          <w:color w:val="1F2329"/>
          <w:kern w:val="0"/>
          <w:sz w:val="22"/>
        </w:rPr>
        <w:t>1</w:t>
      </w:r>
      <w:r>
        <w:rPr>
          <w:rFonts w:hint="eastAsia" w:ascii="Times New Roman" w:hAnsi="Times New Roman" w:eastAsia="宋体" w:cs="Times New Roman"/>
          <w:color w:val="1F2329"/>
          <w:kern w:val="0"/>
          <w:sz w:val="22"/>
          <w:lang w:val="en-US" w:eastAsia="zh-CN"/>
        </w:rPr>
        <w:t xml:space="preserve">3c-d and </w:t>
      </w:r>
      <w:r>
        <w:rPr>
          <w:rFonts w:hint="eastAsia" w:ascii="Times New Roman" w:hAnsi="Times New Roman" w:cs="Times New Roman"/>
          <w:sz w:val="22"/>
        </w:rPr>
        <w:t>Supplementary</w:t>
      </w:r>
      <w:r>
        <w:rPr>
          <w:rFonts w:hint="eastAsia" w:ascii="Times New Roman" w:hAnsi="Times New Roman" w:cs="Times New Roman"/>
          <w:sz w:val="22"/>
          <w:lang w:val="en-US" w:eastAsia="zh-CN"/>
        </w:rPr>
        <w:t xml:space="preserve"> </w:t>
      </w:r>
      <w:r>
        <w:rPr>
          <w:rFonts w:ascii="Times New Roman" w:hAnsi="Times New Roman" w:eastAsia="宋体" w:cs="Times New Roman"/>
          <w:color w:val="1F2329"/>
          <w:kern w:val="0"/>
          <w:sz w:val="22"/>
        </w:rPr>
        <w:t>Fig.</w:t>
      </w:r>
      <w:r>
        <w:rPr>
          <w:rFonts w:hint="eastAsia" w:ascii="Times New Roman" w:hAnsi="Times New Roman" w:eastAsia="宋体" w:cs="Times New Roman"/>
          <w:color w:val="1F2329"/>
          <w:kern w:val="0"/>
          <w:sz w:val="22"/>
          <w:lang w:val="en-US" w:eastAsia="zh-CN"/>
        </w:rPr>
        <w:t xml:space="preserve"> </w:t>
      </w:r>
      <w:r>
        <w:rPr>
          <w:rFonts w:hint="eastAsia" w:ascii="Times New Roman" w:hAnsi="Times New Roman" w:eastAsia="宋体" w:cs="Times New Roman"/>
          <w:color w:val="1F2329"/>
          <w:kern w:val="0"/>
          <w:sz w:val="22"/>
        </w:rPr>
        <w:t>15</w:t>
      </w:r>
      <w:r>
        <w:rPr>
          <w:rFonts w:ascii="Times New Roman" w:hAnsi="Times New Roman" w:eastAsia="宋体" w:cs="Times New Roman"/>
          <w:color w:val="1F2329"/>
          <w:kern w:val="0"/>
          <w:sz w:val="22"/>
        </w:rPr>
        <w:t>)</w:t>
      </w:r>
      <w:r>
        <w:rPr>
          <w:rFonts w:hint="eastAsia" w:ascii="Times New Roman" w:hAnsi="Times New Roman" w:eastAsia="宋体" w:cs="Times New Roman"/>
          <w:color w:val="1F2329"/>
          <w:kern w:val="0"/>
          <w:sz w:val="22"/>
          <w:lang w:val="en-US" w:eastAsia="zh-CN"/>
        </w:rPr>
        <w:t xml:space="preserve"> </w:t>
      </w:r>
      <w:r>
        <w:rPr>
          <w:rFonts w:ascii="Times New Roman" w:hAnsi="Times New Roman" w:eastAsia="宋体" w:cs="Times New Roman"/>
          <w:color w:val="1F2329"/>
          <w:kern w:val="0"/>
          <w:sz w:val="22"/>
        </w:rPr>
        <w:t>showed that the effect of deposition time on CF tensile strength was stage</w:t>
      </w:r>
      <w:r>
        <w:rPr>
          <w:rFonts w:ascii="Times New Roman" w:hAnsi="Times New Roman" w:eastAsia="宋体" w:cs="Times New Roman"/>
          <w:color w:val="1F2329"/>
          <w:kern w:val="0"/>
          <w:sz w:val="22"/>
        </w:rPr>
        <w:noBreakHyphen/>
      </w:r>
      <w:r>
        <w:rPr>
          <w:rFonts w:ascii="Times New Roman" w:hAnsi="Times New Roman" w:eastAsia="宋体" w:cs="Times New Roman"/>
          <w:color w:val="1F2329"/>
          <w:kern w:val="0"/>
          <w:sz w:val="22"/>
        </w:rPr>
        <w:t>dependent. Tensile strength increased significantly within the first 4 h but showed no obvious improvement afterward, likely due to the stable coordination bond number and SWCNT concentration in the film. In contrast, tensile strength decreased notably with increasing SWCNT content, which was closely related to film density and coordination bond evolution, and can be divided into two stages:</w:t>
      </w:r>
    </w:p>
    <w:p w14:paraId="6D167C8D">
      <w:pPr>
        <w:widowControl/>
        <w:numPr>
          <w:ilvl w:val="0"/>
          <w:numId w:val="1"/>
        </w:numPr>
        <w:rPr>
          <w:rFonts w:ascii="Times New Roman" w:hAnsi="Times New Roman" w:eastAsia="宋体" w:cs="Times New Roman"/>
          <w:color w:val="1F2329"/>
          <w:kern w:val="0"/>
          <w:sz w:val="22"/>
        </w:rPr>
      </w:pPr>
      <w:r>
        <w:rPr>
          <w:rFonts w:ascii="Times New Roman" w:hAnsi="Times New Roman" w:eastAsia="宋体" w:cs="Times New Roman"/>
          <w:b/>
          <w:bCs/>
          <w:color w:val="1F2329"/>
          <w:kern w:val="0"/>
          <w:sz w:val="22"/>
        </w:rPr>
        <w:t>Low SWCNT content (0%–</w:t>
      </w:r>
      <w:r>
        <w:rPr>
          <w:rFonts w:hint="eastAsia" w:ascii="Times New Roman" w:hAnsi="Times New Roman" w:eastAsia="宋体" w:cs="Times New Roman"/>
          <w:b/>
          <w:bCs/>
          <w:color w:val="1F2329"/>
          <w:kern w:val="0"/>
          <w:sz w:val="22"/>
        </w:rPr>
        <w:t>32</w:t>
      </w:r>
      <w:r>
        <w:rPr>
          <w:rFonts w:ascii="Times New Roman" w:hAnsi="Times New Roman" w:eastAsia="宋体" w:cs="Times New Roman"/>
          <w:b/>
          <w:bCs/>
          <w:color w:val="1F2329"/>
          <w:kern w:val="0"/>
          <w:sz w:val="22"/>
        </w:rPr>
        <w:t>%)</w:t>
      </w:r>
      <w:r>
        <w:rPr>
          <w:rFonts w:ascii="Times New Roman" w:hAnsi="Times New Roman" w:eastAsia="宋体" w:cs="Times New Roman"/>
          <w:color w:val="1F2329"/>
          <w:kern w:val="0"/>
          <w:sz w:val="22"/>
        </w:rPr>
        <w:t>: SWCNT intercalation between RGO and GO layers expanded the interlayer distance and reduced film density. The lower density overestimated the actual stress</w:t>
      </w:r>
      <w:r>
        <w:rPr>
          <w:rFonts w:ascii="Times New Roman" w:hAnsi="Times New Roman" w:eastAsia="宋体" w:cs="Times New Roman"/>
          <w:color w:val="1F2329"/>
          <w:kern w:val="0"/>
          <w:sz w:val="22"/>
        </w:rPr>
        <w:noBreakHyphen/>
      </w:r>
      <w:r>
        <w:rPr>
          <w:rFonts w:ascii="Times New Roman" w:hAnsi="Times New Roman" w:eastAsia="宋体" w:cs="Times New Roman"/>
          <w:color w:val="1F2329"/>
          <w:kern w:val="0"/>
          <w:sz w:val="22"/>
        </w:rPr>
        <w:t>bearing area, leading to lower tensile strength than SWCNT</w:t>
      </w:r>
      <w:r>
        <w:rPr>
          <w:rFonts w:ascii="Times New Roman" w:hAnsi="Times New Roman" w:eastAsia="宋体" w:cs="Times New Roman"/>
          <w:color w:val="1F2329"/>
          <w:kern w:val="0"/>
          <w:sz w:val="22"/>
        </w:rPr>
        <w:noBreakHyphen/>
      </w:r>
      <w:r>
        <w:rPr>
          <w:rFonts w:ascii="Times New Roman" w:hAnsi="Times New Roman" w:eastAsia="宋体" w:cs="Times New Roman"/>
          <w:color w:val="1F2329"/>
          <w:kern w:val="0"/>
          <w:sz w:val="22"/>
        </w:rPr>
        <w:t>free films.</w:t>
      </w:r>
    </w:p>
    <w:p w14:paraId="4F997658">
      <w:pPr>
        <w:widowControl/>
        <w:numPr>
          <w:ilvl w:val="0"/>
          <w:numId w:val="1"/>
        </w:numPr>
        <w:rPr>
          <w:rFonts w:ascii="Times New Roman" w:hAnsi="Times New Roman" w:eastAsia="宋体" w:cs="Times New Roman"/>
          <w:color w:val="1F2329"/>
          <w:kern w:val="0"/>
          <w:sz w:val="22"/>
        </w:rPr>
      </w:pPr>
      <w:r>
        <w:rPr>
          <w:rFonts w:ascii="Times New Roman" w:hAnsi="Times New Roman" w:eastAsia="宋体" w:cs="Times New Roman"/>
          <w:b/>
          <w:bCs/>
          <w:color w:val="1F2329"/>
          <w:kern w:val="0"/>
          <w:sz w:val="22"/>
        </w:rPr>
        <w:t>High SWCNT content (&gt;</w:t>
      </w:r>
      <w:r>
        <w:rPr>
          <w:rFonts w:hint="eastAsia" w:ascii="Times New Roman" w:hAnsi="Times New Roman" w:eastAsia="宋体" w:cs="Times New Roman"/>
          <w:b/>
          <w:bCs/>
          <w:color w:val="1F2329"/>
          <w:kern w:val="0"/>
          <w:sz w:val="22"/>
        </w:rPr>
        <w:t>32</w:t>
      </w:r>
      <w:r>
        <w:rPr>
          <w:rFonts w:ascii="Times New Roman" w:hAnsi="Times New Roman" w:eastAsia="宋体" w:cs="Times New Roman"/>
          <w:b/>
          <w:bCs/>
          <w:color w:val="1F2329"/>
          <w:kern w:val="0"/>
          <w:sz w:val="22"/>
        </w:rPr>
        <w:t>%)</w:t>
      </w:r>
      <w:r>
        <w:rPr>
          <w:rFonts w:ascii="Times New Roman" w:hAnsi="Times New Roman" w:eastAsia="宋体" w:cs="Times New Roman"/>
          <w:color w:val="1F2329"/>
          <w:kern w:val="0"/>
          <w:sz w:val="22"/>
        </w:rPr>
        <w:t>: Further increasing SWCNT loading disrupted coordination bonds. Excessive CMC raised oxygen</w:t>
      </w:r>
      <w:r>
        <w:rPr>
          <w:rFonts w:ascii="Times New Roman" w:hAnsi="Times New Roman" w:eastAsia="宋体" w:cs="Times New Roman"/>
          <w:color w:val="1F2329"/>
          <w:kern w:val="0"/>
          <w:sz w:val="22"/>
        </w:rPr>
        <w:noBreakHyphen/>
      </w:r>
      <w:r>
        <w:rPr>
          <w:rFonts w:ascii="Times New Roman" w:hAnsi="Times New Roman" w:eastAsia="宋体" w:cs="Times New Roman"/>
          <w:color w:val="1F2329"/>
          <w:kern w:val="0"/>
          <w:sz w:val="22"/>
        </w:rPr>
        <w:t>containing group levels and hindered the redox reaction between GO and Cu foil, both of which reduced Cu</w:t>
      </w:r>
      <w:r>
        <w:rPr>
          <w:rFonts w:ascii="Times New Roman" w:hAnsi="Times New Roman" w:eastAsia="宋体" w:cs="Times New Roman"/>
          <w:color w:val="1F2329"/>
          <w:kern w:val="0"/>
          <w:sz w:val="22"/>
        </w:rPr>
        <w:noBreakHyphen/>
      </w:r>
      <w:r>
        <w:rPr>
          <w:rFonts w:ascii="Times New Roman" w:hAnsi="Times New Roman" w:eastAsia="宋体" w:cs="Times New Roman"/>
          <w:color w:val="1F2329"/>
          <w:kern w:val="0"/>
          <w:sz w:val="22"/>
        </w:rPr>
        <w:t>O coordination bonds. The loss of Cu</w:t>
      </w:r>
      <w:r>
        <w:rPr>
          <w:rFonts w:ascii="Times New Roman" w:hAnsi="Times New Roman" w:eastAsia="宋体" w:cs="Times New Roman"/>
          <w:color w:val="1F2329"/>
          <w:kern w:val="0"/>
          <w:sz w:val="22"/>
        </w:rPr>
        <w:noBreakHyphen/>
      </w:r>
      <w:r>
        <w:rPr>
          <w:rFonts w:ascii="Times New Roman" w:hAnsi="Times New Roman" w:eastAsia="宋体" w:cs="Times New Roman"/>
          <w:color w:val="1F2329"/>
          <w:kern w:val="0"/>
          <w:sz w:val="22"/>
        </w:rPr>
        <w:t>O bonds weakened interlayer connections and interfacial bridging, causing a continuous decline in tensile strength.</w:t>
      </w:r>
    </w:p>
    <w:p w14:paraId="0E4ECCEE">
      <w:pPr>
        <w:widowControl/>
        <w:rPr>
          <w:rFonts w:ascii="Times New Roman" w:hAnsi="Times New Roman" w:eastAsia="宋体" w:cs="Times New Roman"/>
          <w:color w:val="1F2329"/>
          <w:kern w:val="0"/>
          <w:sz w:val="22"/>
        </w:rPr>
      </w:pPr>
    </w:p>
    <w:p w14:paraId="05FE3E43">
      <w:pPr>
        <w:widowControl/>
        <w:rPr>
          <w:rFonts w:ascii="Times New Roman" w:hAnsi="Times New Roman" w:eastAsia="宋体" w:cs="Times New Roman"/>
          <w:color w:val="1F2329"/>
          <w:kern w:val="0"/>
          <w:sz w:val="22"/>
        </w:rPr>
      </w:pPr>
      <w:r>
        <w:rPr>
          <w:rFonts w:ascii="Times New Roman" w:hAnsi="Times New Roman" w:eastAsia="宋体" w:cs="Times New Roman"/>
          <w:color w:val="1F2329"/>
          <w:kern w:val="0"/>
          <w:sz w:val="22"/>
        </w:rPr>
        <w:t>Even the TCF with the lowest tensile strength (48% SWCNT) still outperformed pure GO films (~20 MPa), confirming the mechanical reinforcement of the composite. Bending tests (</w:t>
      </w:r>
      <w:r>
        <w:rPr>
          <w:rFonts w:hint="eastAsia" w:ascii="Times New Roman" w:hAnsi="Times New Roman" w:cs="Times New Roman"/>
          <w:sz w:val="22"/>
        </w:rPr>
        <w:t>Supplementary</w:t>
      </w:r>
      <w:r>
        <w:rPr>
          <w:rFonts w:hint="eastAsia" w:ascii="Times New Roman" w:hAnsi="Times New Roman" w:cs="Times New Roman"/>
          <w:sz w:val="22"/>
          <w:lang w:val="en-US" w:eastAsia="zh-CN"/>
        </w:rPr>
        <w:t xml:space="preserve"> </w:t>
      </w:r>
      <w:r>
        <w:rPr>
          <w:rFonts w:ascii="Times New Roman" w:hAnsi="Times New Roman" w:eastAsia="宋体" w:cs="Times New Roman"/>
          <w:color w:val="1F2329"/>
          <w:kern w:val="0"/>
          <w:sz w:val="22"/>
        </w:rPr>
        <w:t>Fig.</w:t>
      </w:r>
      <w:r>
        <w:rPr>
          <w:rFonts w:hint="eastAsia" w:ascii="Times New Roman" w:hAnsi="Times New Roman" w:eastAsia="宋体" w:cs="Times New Roman"/>
          <w:color w:val="1F2329"/>
          <w:kern w:val="0"/>
          <w:sz w:val="22"/>
          <w:lang w:val="en-US" w:eastAsia="zh-CN"/>
        </w:rPr>
        <w:t xml:space="preserve"> </w:t>
      </w:r>
      <w:r>
        <w:rPr>
          <w:rFonts w:hint="eastAsia" w:ascii="Times New Roman" w:hAnsi="Times New Roman" w:eastAsia="宋体" w:cs="Times New Roman"/>
          <w:color w:val="1F2329"/>
          <w:kern w:val="0"/>
          <w:sz w:val="22"/>
        </w:rPr>
        <w:t>1</w:t>
      </w:r>
      <w:r>
        <w:rPr>
          <w:rFonts w:hint="eastAsia" w:ascii="Times New Roman" w:hAnsi="Times New Roman" w:eastAsia="宋体" w:cs="Times New Roman"/>
          <w:color w:val="1F2329"/>
          <w:kern w:val="0"/>
          <w:sz w:val="22"/>
          <w:lang w:val="en-US" w:eastAsia="zh-CN"/>
        </w:rPr>
        <w:t>3e</w:t>
      </w:r>
      <w:r>
        <w:rPr>
          <w:rFonts w:ascii="Times New Roman" w:hAnsi="Times New Roman" w:eastAsia="宋体" w:cs="Times New Roman"/>
          <w:color w:val="1F2329"/>
          <w:kern w:val="0"/>
          <w:sz w:val="22"/>
        </w:rPr>
        <w:t>) revealed excellent flexibility with stable structure and mechanical properties during bending, making the films suitable for flexible electronics and promising for flexible displays, sensors, and wearable devices.</w:t>
      </w:r>
    </w:p>
    <w:p w14:paraId="0E027A55">
      <w:pPr>
        <w:widowControl/>
        <w:ind w:firstLine="360"/>
        <w:rPr>
          <w:rFonts w:ascii="Times New Roman" w:hAnsi="Times New Roman" w:eastAsia="宋体" w:cs="Times New Roman"/>
          <w:color w:val="1F2329"/>
          <w:kern w:val="0"/>
          <w:sz w:val="22"/>
        </w:rPr>
      </w:pPr>
    </w:p>
    <w:p w14:paraId="14E63637">
      <w:pPr>
        <w:rPr>
          <w:rFonts w:ascii="Times New Roman" w:hAnsi="Times New Roman" w:eastAsia="仿宋" w:cs="Times New Roman"/>
          <w:sz w:val="22"/>
        </w:rPr>
      </w:pPr>
    </w:p>
    <w:p w14:paraId="474900C8">
      <w:pPr>
        <w:rPr>
          <w:rFonts w:ascii="Times New Roman" w:hAnsi="Times New Roman" w:eastAsia="仿宋" w:cs="Times New Roman"/>
          <w:sz w:val="22"/>
        </w:rPr>
      </w:pPr>
      <w:r>
        <w:rPr>
          <w:rFonts w:ascii="Times New Roman" w:hAnsi="Times New Roman" w:eastAsia="仿宋" w:cs="Times New Roman"/>
          <w:sz w:val="22"/>
        </w:rPr>
        <w:drawing>
          <wp:inline distT="0" distB="0" distL="0" distR="0">
            <wp:extent cx="5275580" cy="3915410"/>
            <wp:effectExtent l="0" t="0" r="1270" b="889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noChangeArrowheads="1"/>
                    </pic:cNvPicPr>
                  </pic:nvPicPr>
                  <pic:blipFill>
                    <a:blip r:embed="rId19">
                      <a:extLst>
                        <a:ext uri="{28A0092B-C50C-407E-A947-70E740481C1C}">
                          <a14:useLocalDpi xmlns:a14="http://schemas.microsoft.com/office/drawing/2010/main" val="0"/>
                        </a:ext>
                      </a:extLst>
                    </a:blip>
                    <a:srcRect b="32522"/>
                    <a:stretch>
                      <a:fillRect/>
                    </a:stretch>
                  </pic:blipFill>
                  <pic:spPr>
                    <a:xfrm>
                      <a:off x="0" y="0"/>
                      <a:ext cx="5275580" cy="3915508"/>
                    </a:xfrm>
                    <a:prstGeom prst="rect">
                      <a:avLst/>
                    </a:prstGeom>
                    <a:noFill/>
                    <a:ln>
                      <a:noFill/>
                    </a:ln>
                  </pic:spPr>
                </pic:pic>
              </a:graphicData>
            </a:graphic>
          </wp:inline>
        </w:drawing>
      </w:r>
    </w:p>
    <w:p w14:paraId="1950436D">
      <w:pPr>
        <w:jc w:val="center"/>
        <w:rPr>
          <w:rFonts w:hint="default" w:ascii="Times New Roman" w:hAnsi="Times New Roman" w:eastAsia="仿宋" w:cs="Times New Roman"/>
          <w:sz w:val="22"/>
          <w:lang w:val="en-US" w:eastAsia="zh-CN"/>
        </w:rPr>
      </w:pPr>
      <w:r>
        <w:rPr>
          <w:rFonts w:hint="eastAsia" w:ascii="Times New Roman" w:hAnsi="Times New Roman" w:eastAsia="仿宋" w:cs="Times New Roman"/>
          <w:b/>
          <w:bCs/>
          <w:sz w:val="22"/>
        </w:rPr>
        <w:t>Supplementary Figure 16.</w:t>
      </w:r>
      <w:r>
        <w:rPr>
          <w:rFonts w:hint="eastAsia" w:ascii="Times New Roman" w:hAnsi="Times New Roman" w:eastAsia="仿宋" w:cs="Times New Roman"/>
          <w:sz w:val="22"/>
        </w:rPr>
        <w:t xml:space="preserve"> </w:t>
      </w:r>
      <w:r>
        <w:rPr>
          <w:rFonts w:hint="eastAsia" w:ascii="Times New Roman" w:hAnsi="Times New Roman" w:eastAsia="仿宋" w:cs="Times New Roman"/>
          <w:b/>
          <w:bCs/>
          <w:sz w:val="22"/>
        </w:rPr>
        <w:t>T</w:t>
      </w:r>
      <w:r>
        <w:rPr>
          <w:rFonts w:ascii="Times New Roman" w:hAnsi="Times New Roman" w:eastAsia="仿宋" w:cs="Times New Roman"/>
          <w:b/>
          <w:bCs/>
          <w:sz w:val="22"/>
        </w:rPr>
        <w:t>h</w:t>
      </w:r>
      <w:r>
        <w:rPr>
          <w:rFonts w:hint="eastAsia" w:ascii="Times New Roman" w:hAnsi="Times New Roman" w:eastAsia="仿宋" w:cs="Times New Roman"/>
          <w:b/>
          <w:bCs/>
          <w:sz w:val="22"/>
        </w:rPr>
        <w:t xml:space="preserve">e heat </w:t>
      </w:r>
      <w:r>
        <w:rPr>
          <w:rFonts w:ascii="Times New Roman" w:hAnsi="Times New Roman" w:eastAsia="仿宋" w:cs="Times New Roman"/>
          <w:b/>
          <w:bCs/>
          <w:sz w:val="22"/>
        </w:rPr>
        <w:t>responds</w:t>
      </w:r>
      <w:r>
        <w:rPr>
          <w:rFonts w:hint="eastAsia" w:ascii="Times New Roman" w:hAnsi="Times New Roman" w:eastAsia="仿宋" w:cs="Times New Roman"/>
          <w:b/>
          <w:bCs/>
          <w:sz w:val="22"/>
        </w:rPr>
        <w:t xml:space="preserve"> of CF and TCF.</w:t>
      </w:r>
      <w:r>
        <w:rPr>
          <w:rFonts w:hint="eastAsia" w:ascii="Times New Roman" w:hAnsi="Times New Roman" w:eastAsia="仿宋" w:cs="Times New Roman"/>
          <w:sz w:val="22"/>
        </w:rPr>
        <w:t xml:space="preserve"> T</w:t>
      </w:r>
      <w:r>
        <w:rPr>
          <w:rFonts w:ascii="Times New Roman" w:hAnsi="Times New Roman" w:eastAsia="仿宋" w:cs="Times New Roman"/>
          <w:sz w:val="22"/>
        </w:rPr>
        <w:t>h</w:t>
      </w:r>
      <w:r>
        <w:rPr>
          <w:rFonts w:hint="eastAsia" w:ascii="Times New Roman" w:hAnsi="Times New Roman" w:eastAsia="仿宋" w:cs="Times New Roman"/>
          <w:sz w:val="22"/>
        </w:rPr>
        <w:t xml:space="preserve">e rolling and flatting process of (a) 1-0%-4h CF and (b) 1-32%-4h TCF. (c) displays the </w:t>
      </w:r>
      <w:r>
        <w:rPr>
          <w:rFonts w:ascii="Times New Roman" w:hAnsi="Times New Roman" w:eastAsia="仿宋" w:cs="Times New Roman"/>
          <w:sz w:val="22"/>
        </w:rPr>
        <w:t>Multiphysics</w:t>
      </w:r>
      <w:r>
        <w:rPr>
          <w:rFonts w:hint="eastAsia" w:ascii="Times New Roman" w:hAnsi="Times New Roman" w:eastAsia="仿宋" w:cs="Times New Roman"/>
          <w:sz w:val="22"/>
        </w:rPr>
        <w:t xml:space="preserve"> s</w:t>
      </w:r>
      <w:r>
        <w:rPr>
          <w:rFonts w:ascii="Times New Roman" w:hAnsi="Times New Roman" w:eastAsia="仿宋" w:cs="Times New Roman"/>
          <w:sz w:val="22"/>
        </w:rPr>
        <w:t xml:space="preserve">imulation </w:t>
      </w:r>
      <w:r>
        <w:rPr>
          <w:rFonts w:hint="eastAsia" w:ascii="Times New Roman" w:hAnsi="Times New Roman" w:eastAsia="仿宋" w:cs="Times New Roman"/>
          <w:sz w:val="22"/>
        </w:rPr>
        <w:t>m</w:t>
      </w:r>
      <w:r>
        <w:rPr>
          <w:rFonts w:ascii="Times New Roman" w:hAnsi="Times New Roman" w:eastAsia="仿宋" w:cs="Times New Roman"/>
          <w:sz w:val="22"/>
        </w:rPr>
        <w:t>odel</w:t>
      </w:r>
      <w:r>
        <w:rPr>
          <w:rFonts w:hint="eastAsia" w:ascii="Times New Roman" w:hAnsi="Times New Roman" w:eastAsia="仿宋" w:cs="Times New Roman"/>
          <w:sz w:val="22"/>
          <w:lang w:val="en-US" w:eastAsia="zh-CN"/>
        </w:rPr>
        <w:t xml:space="preserve"> (</w:t>
      </w:r>
      <w:r>
        <w:rPr>
          <w:rFonts w:hint="default" w:ascii="Times New Roman" w:hAnsi="Times New Roman" w:eastAsia="宋体" w:cs="Times New Roman"/>
          <w:sz w:val="24"/>
          <w:szCs w:val="24"/>
        </w:rPr>
        <w:t>effective model</w:t>
      </w:r>
      <w:r>
        <w:rPr>
          <w:rFonts w:hint="eastAsia" w:ascii="Times New Roman" w:hAnsi="Times New Roman" w:eastAsia="仿宋" w:cs="Times New Roman"/>
          <w:sz w:val="22"/>
          <w:lang w:val="en-US" w:eastAsia="zh-CN"/>
        </w:rPr>
        <w:t>)</w:t>
      </w:r>
      <w:r>
        <w:rPr>
          <w:rFonts w:hint="eastAsia" w:ascii="Times New Roman" w:hAnsi="Times New Roman" w:eastAsia="仿宋" w:cs="Times New Roman"/>
          <w:sz w:val="22"/>
        </w:rPr>
        <w:t xml:space="preserve"> of 1-32%-4h TCF</w:t>
      </w:r>
      <w:r>
        <w:rPr>
          <w:rFonts w:ascii="Times New Roman" w:hAnsi="Times New Roman" w:eastAsia="仿宋" w:cs="Times New Roman"/>
          <w:sz w:val="22"/>
        </w:rPr>
        <w:t>’</w:t>
      </w:r>
      <w:r>
        <w:rPr>
          <w:rFonts w:hint="eastAsia" w:ascii="Times New Roman" w:hAnsi="Times New Roman" w:eastAsia="仿宋" w:cs="Times New Roman"/>
          <w:sz w:val="22"/>
        </w:rPr>
        <w:t xml:space="preserve">s displacement under heating and cooling </w:t>
      </w:r>
      <w:r>
        <w:rPr>
          <w:rFonts w:ascii="Times New Roman" w:hAnsi="Times New Roman" w:eastAsia="仿宋" w:cs="Times New Roman"/>
          <w:sz w:val="22"/>
        </w:rPr>
        <w:t>procedure</w:t>
      </w:r>
      <w:r>
        <w:rPr>
          <w:rFonts w:hint="eastAsia" w:ascii="Times New Roman" w:hAnsi="Times New Roman" w:eastAsia="仿宋" w:cs="Times New Roman"/>
          <w:sz w:val="22"/>
        </w:rPr>
        <w:t>.</w:t>
      </w:r>
    </w:p>
    <w:p w14:paraId="22221941">
      <w:pPr>
        <w:widowControl/>
        <w:rPr>
          <w:rFonts w:ascii="Times New Roman" w:hAnsi="Times New Roman" w:cs="Times New Roman"/>
          <w:sz w:val="22"/>
        </w:rPr>
      </w:pPr>
    </w:p>
    <w:p w14:paraId="5DBFD5DA">
      <w:pPr>
        <w:widowControl/>
        <w:rPr>
          <w:rFonts w:hint="eastAsia" w:ascii="Times New Roman" w:hAnsi="Times New Roman" w:cs="Times New Roman"/>
          <w:b/>
          <w:bCs/>
          <w:sz w:val="22"/>
        </w:rPr>
      </w:pPr>
      <w:r>
        <w:rPr>
          <w:rFonts w:hint="eastAsia" w:ascii="Times New Roman" w:hAnsi="Times New Roman" w:cs="Times New Roman"/>
          <w:b/>
          <w:bCs/>
          <w:sz w:val="22"/>
        </w:rPr>
        <w:t>Supplementary note 3: The hea</w:t>
      </w:r>
      <w:r>
        <w:rPr>
          <w:rFonts w:hint="eastAsia" w:ascii="Times New Roman" w:hAnsi="Times New Roman" w:cs="Times New Roman"/>
          <w:b/>
          <w:bCs/>
          <w:sz w:val="22"/>
          <w:lang w:val="en-US" w:eastAsia="zh-CN"/>
        </w:rPr>
        <w:t>t</w:t>
      </w:r>
      <w:r>
        <w:rPr>
          <w:rFonts w:hint="eastAsia" w:ascii="Times New Roman" w:hAnsi="Times New Roman" w:cs="Times New Roman"/>
          <w:b/>
          <w:bCs/>
          <w:sz w:val="22"/>
        </w:rPr>
        <w:t xml:space="preserve"> respond of TCF:</w:t>
      </w:r>
    </w:p>
    <w:p w14:paraId="6E74CC50">
      <w:pPr>
        <w:widowControl/>
        <w:rPr>
          <w:rFonts w:ascii="Times New Roman" w:hAnsi="Times New Roman" w:cs="Times New Roman"/>
          <w:sz w:val="22"/>
        </w:rPr>
      </w:pPr>
      <w:r>
        <w:rPr>
          <w:rFonts w:ascii="Times New Roman" w:hAnsi="Times New Roman" w:cs="Times New Roman"/>
          <w:sz w:val="22"/>
        </w:rPr>
        <w:t xml:space="preserve">The reversible thermal deformation of flexible carbon-based films is a core prerequisite for their application in intelligent thermal switches and temperature-adaptive devices; thus, the thermal response of the CF was </w:t>
      </w:r>
      <w:r>
        <w:rPr>
          <w:rFonts w:hint="eastAsia" w:ascii="Times New Roman" w:hAnsi="Times New Roman" w:cs="Times New Roman"/>
          <w:sz w:val="22"/>
        </w:rPr>
        <w:t xml:space="preserve">also </w:t>
      </w:r>
      <w:r>
        <w:rPr>
          <w:rFonts w:ascii="Times New Roman" w:hAnsi="Times New Roman" w:cs="Times New Roman"/>
          <w:sz w:val="22"/>
        </w:rPr>
        <w:t xml:space="preserve">investigated. As shown in SI Video 2, </w:t>
      </w:r>
      <w:r>
        <w:rPr>
          <w:rFonts w:hint="eastAsia" w:ascii="Times New Roman" w:hAnsi="Times New Roman" w:cs="Times New Roman"/>
          <w:sz w:val="22"/>
        </w:rPr>
        <w:t>RGO@CM-SWCNT@GO TCFs</w:t>
      </w:r>
      <w:r>
        <w:rPr>
          <w:rFonts w:ascii="Times New Roman" w:hAnsi="Times New Roman" w:cs="Times New Roman"/>
          <w:sz w:val="22"/>
        </w:rPr>
        <w:t xml:space="preserve"> and RGO@GO films were </w:t>
      </w:r>
      <w:r>
        <w:rPr>
          <w:rFonts w:hint="eastAsia" w:ascii="Times New Roman" w:hAnsi="Times New Roman" w:cs="Times New Roman"/>
          <w:sz w:val="22"/>
        </w:rPr>
        <w:t xml:space="preserve">placed </w:t>
      </w:r>
      <w:r>
        <w:rPr>
          <w:rFonts w:ascii="Times New Roman" w:hAnsi="Times New Roman" w:cs="Times New Roman"/>
          <w:sz w:val="22"/>
        </w:rPr>
        <w:t xml:space="preserve">separately on a heating stage. After removal from the heating stage, </w:t>
      </w:r>
      <w:r>
        <w:rPr>
          <w:rFonts w:hint="eastAsia" w:ascii="Times New Roman" w:hAnsi="Times New Roman" w:cs="Times New Roman"/>
          <w:sz w:val="22"/>
        </w:rPr>
        <w:t>RGO@CM-SWCNT@GO TCFs</w:t>
      </w:r>
      <w:r>
        <w:rPr>
          <w:rFonts w:ascii="Times New Roman" w:hAnsi="Times New Roman" w:cs="Times New Roman"/>
          <w:sz w:val="22"/>
        </w:rPr>
        <w:t xml:space="preserve"> exhibited significant curling</w:t>
      </w:r>
      <w:r>
        <w:rPr>
          <w:rFonts w:hint="eastAsia" w:ascii="Times New Roman" w:hAnsi="Times New Roman" w:cs="Times New Roman"/>
          <w:sz w:val="22"/>
        </w:rPr>
        <w:t xml:space="preserve"> within 3 seconds</w:t>
      </w:r>
      <w:r>
        <w:rPr>
          <w:rFonts w:ascii="Times New Roman" w:hAnsi="Times New Roman" w:cs="Times New Roman"/>
          <w:sz w:val="22"/>
        </w:rPr>
        <w:t xml:space="preserve">, which relaxed and flattened </w:t>
      </w:r>
      <w:r>
        <w:rPr>
          <w:rFonts w:hint="eastAsia" w:ascii="Times New Roman" w:hAnsi="Times New Roman" w:cs="Times New Roman"/>
          <w:sz w:val="22"/>
        </w:rPr>
        <w:t xml:space="preserve">completely </w:t>
      </w:r>
      <w:r>
        <w:rPr>
          <w:rFonts w:ascii="Times New Roman" w:hAnsi="Times New Roman" w:cs="Times New Roman"/>
          <w:sz w:val="22"/>
        </w:rPr>
        <w:t xml:space="preserve">again </w:t>
      </w:r>
      <w:r>
        <w:rPr>
          <w:rFonts w:hint="eastAsia" w:ascii="Times New Roman" w:hAnsi="Times New Roman" w:cs="Times New Roman"/>
          <w:sz w:val="22"/>
        </w:rPr>
        <w:t>after</w:t>
      </w:r>
      <w:r>
        <w:rPr>
          <w:rFonts w:ascii="Times New Roman" w:hAnsi="Times New Roman" w:cs="Times New Roman"/>
          <w:sz w:val="22"/>
        </w:rPr>
        <w:t xml:space="preserve"> </w:t>
      </w:r>
      <w:r>
        <w:rPr>
          <w:rFonts w:hint="eastAsia" w:ascii="Times New Roman" w:hAnsi="Times New Roman" w:cs="Times New Roman"/>
          <w:sz w:val="22"/>
        </w:rPr>
        <w:t xml:space="preserve">21 </w:t>
      </w:r>
      <w:r>
        <w:rPr>
          <w:rFonts w:ascii="Times New Roman" w:hAnsi="Times New Roman" w:cs="Times New Roman"/>
          <w:sz w:val="22"/>
        </w:rPr>
        <w:t xml:space="preserve">seconds; in contrast, RGO@GO only showed slight, insignificant curling, with similarly minor flattening after </w:t>
      </w:r>
      <w:r>
        <w:rPr>
          <w:rFonts w:hint="eastAsia" w:ascii="Times New Roman" w:hAnsi="Times New Roman" w:cs="Times New Roman"/>
          <w:sz w:val="22"/>
        </w:rPr>
        <w:t xml:space="preserve">21 </w:t>
      </w:r>
      <w:r>
        <w:rPr>
          <w:rFonts w:ascii="Times New Roman" w:hAnsi="Times New Roman" w:cs="Times New Roman"/>
          <w:sz w:val="22"/>
        </w:rPr>
        <w:t>seconds</w:t>
      </w:r>
      <w:r>
        <w:rPr>
          <w:rFonts w:ascii="Times New Roman" w:hAnsi="Times New Roman" w:eastAsia="仿宋" w:cs="Times New Roman"/>
          <w:sz w:val="22"/>
        </w:rPr>
        <w:t>—</w:t>
      </w:r>
      <w:r>
        <w:rPr>
          <w:rFonts w:ascii="Times New Roman" w:hAnsi="Times New Roman" w:cs="Times New Roman"/>
          <w:sz w:val="22"/>
        </w:rPr>
        <w:t>indicating distinct thermal responses between the two CFs.</w:t>
      </w:r>
    </w:p>
    <w:p w14:paraId="44F88251">
      <w:pPr>
        <w:widowControl/>
        <w:rPr>
          <w:rFonts w:ascii="Times New Roman" w:hAnsi="Times New Roman" w:cs="Times New Roman"/>
          <w:sz w:val="22"/>
        </w:rPr>
      </w:pPr>
      <w:r>
        <w:rPr>
          <w:rFonts w:ascii="Times New Roman" w:hAnsi="Times New Roman" w:cs="Times New Roman"/>
          <w:sz w:val="22"/>
        </w:rPr>
        <w:t>The difference essentially arises from the combined effects of mismatched thermal expansion coefficients (TECs), stress release, and environmental thermal equilibrium. It can be decomposed into three stages: "Flat</w:t>
      </w:r>
      <w:r>
        <w:rPr>
          <w:rFonts w:hint="eastAsia" w:ascii="Times New Roman" w:hAnsi="Times New Roman" w:cs="Times New Roman"/>
          <w:sz w:val="22"/>
        </w:rPr>
        <w:t>tening</w:t>
      </w:r>
      <w:r>
        <w:rPr>
          <w:rFonts w:ascii="Times New Roman" w:hAnsi="Times New Roman" w:cs="Times New Roman"/>
          <w:sz w:val="22"/>
        </w:rPr>
        <w:t xml:space="preserve"> on the heating stage (stable state) → </w:t>
      </w:r>
      <w:r>
        <w:rPr>
          <w:rFonts w:hint="eastAsia" w:ascii="Times New Roman" w:hAnsi="Times New Roman" w:cs="Times New Roman"/>
          <w:sz w:val="22"/>
        </w:rPr>
        <w:t>I</w:t>
      </w:r>
      <w:r>
        <w:rPr>
          <w:rFonts w:ascii="Times New Roman" w:hAnsi="Times New Roman" w:cs="Times New Roman"/>
          <w:sz w:val="22"/>
        </w:rPr>
        <w:t>mmediate</w:t>
      </w:r>
      <w:r>
        <w:rPr>
          <w:rFonts w:hint="eastAsia" w:ascii="Times New Roman" w:hAnsi="Times New Roman" w:cs="Times New Roman"/>
          <w:sz w:val="22"/>
        </w:rPr>
        <w:t xml:space="preserve"> </w:t>
      </w:r>
      <w:r>
        <w:rPr>
          <w:rFonts w:ascii="Times New Roman" w:hAnsi="Times New Roman" w:cs="Times New Roman"/>
          <w:sz w:val="22"/>
        </w:rPr>
        <w:t xml:space="preserve">curling upon removal → </w:t>
      </w:r>
      <w:r>
        <w:rPr>
          <w:rFonts w:hint="eastAsia" w:ascii="Times New Roman" w:hAnsi="Times New Roman" w:cs="Times New Roman"/>
          <w:sz w:val="22"/>
        </w:rPr>
        <w:t>e</w:t>
      </w:r>
      <w:r>
        <w:rPr>
          <w:rFonts w:ascii="Times New Roman" w:hAnsi="Times New Roman" w:cs="Times New Roman"/>
          <w:sz w:val="22"/>
        </w:rPr>
        <w:t>nvironmental cooling-induced flattening":</w:t>
      </w:r>
    </w:p>
    <w:p w14:paraId="03DAC5F3">
      <w:pPr>
        <w:widowControl/>
        <w:ind w:firstLine="440" w:firstLineChars="200"/>
        <w:rPr>
          <w:rFonts w:ascii="Times New Roman" w:hAnsi="Times New Roman" w:cs="Times New Roman"/>
          <w:b/>
          <w:bCs/>
          <w:sz w:val="22"/>
        </w:rPr>
      </w:pPr>
      <w:r>
        <w:rPr>
          <w:rFonts w:hint="eastAsia" w:ascii="Times New Roman" w:hAnsi="Times New Roman" w:cs="Times New Roman"/>
          <w:b/>
          <w:bCs/>
          <w:sz w:val="22"/>
        </w:rPr>
        <w:t>Stage 1: Flattening on the Heating Stage (Stable State)</w:t>
      </w:r>
    </w:p>
    <w:p w14:paraId="0EFC6F9A">
      <w:pPr>
        <w:widowControl/>
        <w:ind w:firstLine="440" w:firstLineChars="200"/>
        <w:rPr>
          <w:rFonts w:ascii="Times New Roman" w:hAnsi="Times New Roman" w:cs="Times New Roman"/>
          <w:sz w:val="22"/>
        </w:rPr>
      </w:pPr>
      <w:r>
        <w:rPr>
          <w:rFonts w:hint="eastAsia" w:ascii="Times New Roman" w:hAnsi="Times New Roman" w:cs="Times New Roman"/>
          <w:sz w:val="22"/>
        </w:rPr>
        <w:t xml:space="preserve">When both films are heated and flattened on the heating stage, internal stress accumulates due to mismatched </w:t>
      </w:r>
      <w:r>
        <w:rPr>
          <w:rFonts w:ascii="Times New Roman" w:hAnsi="Times New Roman" w:cs="Times New Roman"/>
          <w:sz w:val="22"/>
        </w:rPr>
        <w:t>TECs</w:t>
      </w:r>
      <w:r>
        <w:rPr>
          <w:rFonts w:hint="eastAsia" w:ascii="Times New Roman" w:hAnsi="Times New Roman" w:cs="Times New Roman"/>
          <w:sz w:val="22"/>
        </w:rPr>
        <w:t xml:space="preserve"> of the components</w:t>
      </w:r>
      <w:r>
        <w:rPr>
          <w:rFonts w:ascii="Times New Roman" w:hAnsi="Times New Roman" w:cs="Times New Roman"/>
          <w:sz w:val="22"/>
        </w:rPr>
        <w:t>–</w:t>
      </w:r>
      <w:r>
        <w:rPr>
          <w:rFonts w:hint="eastAsia" w:ascii="Times New Roman" w:hAnsi="Times New Roman" w:cs="Times New Roman"/>
          <w:sz w:val="22"/>
        </w:rPr>
        <w:t>though the degree of stress accumulation differs significantly between the two films, origining from the "stress amplification and transfer effect" of CM-SWCNTs:</w:t>
      </w:r>
    </w:p>
    <w:p w14:paraId="4A681F65">
      <w:pPr>
        <w:widowControl/>
        <w:ind w:firstLine="440" w:firstLineChars="200"/>
        <w:rPr>
          <w:rFonts w:ascii="Times New Roman" w:hAnsi="Times New Roman" w:cs="Times New Roman"/>
          <w:sz w:val="22"/>
        </w:rPr>
      </w:pPr>
      <w:r>
        <w:rPr>
          <w:rFonts w:hint="eastAsia" w:ascii="Times New Roman" w:hAnsi="Times New Roman" w:cs="Times New Roman"/>
          <w:sz w:val="22"/>
        </w:rPr>
        <w:t>For RGO@GO, stress accumulation is weak and dispersed. GO and RGO are 2D sheets bound by weak van der Waals forces and hydrogen bonds, which cannot efficiently transfer interlayer deformation differences. Thus, internal stress is released via "interlayer micro-sliding", resulting in weak, uniform residual stress. Constrained by the heating stage, stress cannot be released, and the film remains flattened in a "stretched state" (Supplementary</w:t>
      </w:r>
      <w:r>
        <w:rPr>
          <w:rFonts w:hint="eastAsia" w:ascii="Times New Roman" w:hAnsi="Times New Roman" w:cs="Times New Roman"/>
          <w:sz w:val="22"/>
          <w:lang w:val="en-US" w:eastAsia="zh-CN"/>
        </w:rPr>
        <w:t xml:space="preserve"> </w:t>
      </w:r>
      <w:r>
        <w:rPr>
          <w:rFonts w:hint="eastAsia" w:ascii="Times New Roman" w:hAnsi="Times New Roman" w:cs="Times New Roman"/>
          <w:sz w:val="22"/>
        </w:rPr>
        <w:t xml:space="preserve">Fig. </w:t>
      </w:r>
      <w:r>
        <w:rPr>
          <w:rFonts w:hint="eastAsia" w:ascii="Times New Roman" w:hAnsi="Times New Roman" w:cs="Times New Roman"/>
          <w:sz w:val="22"/>
          <w:lang w:val="en-US" w:eastAsia="zh-CN"/>
        </w:rPr>
        <w:t>16</w:t>
      </w:r>
      <w:r>
        <w:rPr>
          <w:rFonts w:hint="eastAsia" w:ascii="Times New Roman" w:hAnsi="Times New Roman" w:cs="Times New Roman"/>
          <w:sz w:val="22"/>
        </w:rPr>
        <w:t>a</w:t>
      </w:r>
      <w:r>
        <w:rPr>
          <w:rFonts w:hint="eastAsia" w:ascii="Times New Roman" w:hAnsi="Times New Roman" w:cs="Times New Roman"/>
          <w:sz w:val="22"/>
          <w:vertAlign w:val="subscript"/>
        </w:rPr>
        <w:t>1</w:t>
      </w:r>
      <w:r>
        <w:rPr>
          <w:rFonts w:hint="eastAsia" w:ascii="Times New Roman" w:hAnsi="Times New Roman" w:cs="Times New Roman"/>
          <w:sz w:val="22"/>
        </w:rPr>
        <w:t>).</w:t>
      </w:r>
    </w:p>
    <w:p w14:paraId="029C0A04">
      <w:pPr>
        <w:widowControl/>
        <w:ind w:firstLine="440" w:firstLineChars="200"/>
        <w:rPr>
          <w:rFonts w:ascii="Times New Roman" w:hAnsi="Times New Roman" w:cs="Times New Roman"/>
          <w:sz w:val="22"/>
        </w:rPr>
      </w:pPr>
      <w:r>
        <w:rPr>
          <w:rFonts w:hint="eastAsia" w:ascii="Times New Roman" w:hAnsi="Times New Roman" w:cs="Times New Roman"/>
          <w:sz w:val="22"/>
        </w:rPr>
        <w:t xml:space="preserve">For RGO@CM-SWCNT@GO TCFs, stress accumulation is strong and concentrated. M-SWCNTs act as "bridges" between 2D sheets, rigidly connecting </w:t>
      </w:r>
      <w:r>
        <w:rPr>
          <w:rFonts w:ascii="Times New Roman" w:hAnsi="Times New Roman" w:cs="Times New Roman"/>
          <w:sz w:val="22"/>
        </w:rPr>
        <w:t xml:space="preserve">adjacent layers and preventing interlayer sliding. At this point, the "deformation difference" caused by mismatched </w:t>
      </w:r>
      <w:r>
        <w:rPr>
          <w:rFonts w:hint="eastAsia" w:ascii="Times New Roman" w:hAnsi="Times New Roman" w:cs="Times New Roman"/>
          <w:sz w:val="22"/>
        </w:rPr>
        <w:t>TEC</w:t>
      </w:r>
      <w:r>
        <w:rPr>
          <w:rFonts w:ascii="Times New Roman" w:hAnsi="Times New Roman" w:cs="Times New Roman"/>
          <w:sz w:val="22"/>
        </w:rPr>
        <w:t xml:space="preserve">s of GO and </w:t>
      </w:r>
      <w:r>
        <w:rPr>
          <w:rFonts w:hint="eastAsia" w:ascii="Times New Roman" w:hAnsi="Times New Roman" w:cs="Times New Roman"/>
          <w:sz w:val="22"/>
        </w:rPr>
        <w:t>RGO</w:t>
      </w:r>
      <w:r>
        <w:rPr>
          <w:rFonts w:ascii="Times New Roman" w:hAnsi="Times New Roman" w:cs="Times New Roman"/>
          <w:sz w:val="22"/>
        </w:rPr>
        <w:t xml:space="preserve"> cannot be released via interlayer sliding and can only be accommodated by "stretching/compressing </w:t>
      </w:r>
      <w:r>
        <w:rPr>
          <w:rFonts w:hint="eastAsia" w:ascii="Times New Roman" w:hAnsi="Times New Roman" w:cs="Times New Roman"/>
          <w:sz w:val="22"/>
        </w:rPr>
        <w:t>C</w:t>
      </w:r>
      <w:r>
        <w:rPr>
          <w:rFonts w:ascii="Times New Roman" w:hAnsi="Times New Roman" w:cs="Times New Roman"/>
          <w:sz w:val="22"/>
        </w:rPr>
        <w:t xml:space="preserve">M-SWCNTs," leading to high stress concentration at the interface between M-SWCNTs and sheets. Additionally, the axial TEC of </w:t>
      </w:r>
      <w:r>
        <w:rPr>
          <w:rFonts w:hint="eastAsia" w:ascii="Times New Roman" w:hAnsi="Times New Roman" w:cs="Times New Roman"/>
          <w:sz w:val="22"/>
        </w:rPr>
        <w:t>C</w:t>
      </w:r>
      <w:r>
        <w:rPr>
          <w:rFonts w:ascii="Times New Roman" w:hAnsi="Times New Roman" w:cs="Times New Roman"/>
          <w:sz w:val="22"/>
        </w:rPr>
        <w:t xml:space="preserve">M-SWCNTs (~-0.5×10⁻⁶/°C) is closer to "zero expansion" than GO’s in-plane TEC (~-10×10⁻⁶/°C), exacerbating deformation mismatches and stress accumulation. </w:t>
      </w:r>
      <w:r>
        <w:rPr>
          <w:rFonts w:hint="eastAsia" w:ascii="Times New Roman" w:hAnsi="Times New Roman" w:cs="Times New Roman"/>
          <w:sz w:val="22"/>
        </w:rPr>
        <w:t>Ultimately, the RGO@CM-SWCNT@GO TCFs accumulates significantly more internal stress than RGO@GO during heating; however, constrained by the "rigid support" of the heating stage, this stress is temporarily "locked," and the film remains flattened (Supplementary</w:t>
      </w:r>
      <w:r>
        <w:rPr>
          <w:rFonts w:hint="eastAsia" w:ascii="Times New Roman" w:hAnsi="Times New Roman" w:cs="Times New Roman"/>
          <w:sz w:val="22"/>
          <w:lang w:val="en-US" w:eastAsia="zh-CN"/>
        </w:rPr>
        <w:t xml:space="preserve"> </w:t>
      </w:r>
      <w:r>
        <w:rPr>
          <w:rFonts w:hint="eastAsia" w:ascii="Times New Roman" w:hAnsi="Times New Roman" w:cs="Times New Roman"/>
          <w:sz w:val="22"/>
        </w:rPr>
        <w:t xml:space="preserve">Fig. </w:t>
      </w:r>
      <w:r>
        <w:rPr>
          <w:rFonts w:hint="eastAsia" w:ascii="Times New Roman" w:hAnsi="Times New Roman" w:cs="Times New Roman"/>
          <w:sz w:val="22"/>
          <w:lang w:val="en-US" w:eastAsia="zh-CN"/>
        </w:rPr>
        <w:t>16</w:t>
      </w:r>
      <w:r>
        <w:rPr>
          <w:rFonts w:hint="eastAsia" w:ascii="Times New Roman" w:hAnsi="Times New Roman" w:cs="Times New Roman"/>
          <w:sz w:val="22"/>
        </w:rPr>
        <w:t>b</w:t>
      </w:r>
      <w:r>
        <w:rPr>
          <w:rFonts w:hint="eastAsia" w:ascii="Times New Roman" w:hAnsi="Times New Roman" w:cs="Times New Roman"/>
          <w:sz w:val="22"/>
          <w:vertAlign w:val="subscript"/>
        </w:rPr>
        <w:t>1</w:t>
      </w:r>
      <w:r>
        <w:rPr>
          <w:rFonts w:hint="eastAsia" w:ascii="Times New Roman" w:hAnsi="Times New Roman" w:cs="Times New Roman"/>
          <w:sz w:val="22"/>
        </w:rPr>
        <w:t>).</w:t>
      </w:r>
    </w:p>
    <w:p w14:paraId="02B3EFA2">
      <w:pPr>
        <w:widowControl/>
        <w:ind w:firstLine="440" w:firstLineChars="200"/>
        <w:rPr>
          <w:rFonts w:ascii="Times New Roman" w:hAnsi="Times New Roman" w:cs="Times New Roman"/>
          <w:b/>
          <w:bCs/>
          <w:sz w:val="22"/>
        </w:rPr>
      </w:pPr>
      <w:r>
        <w:rPr>
          <w:rFonts w:hint="eastAsia" w:ascii="Times New Roman" w:hAnsi="Times New Roman" w:cs="Times New Roman"/>
          <w:b/>
          <w:bCs/>
          <w:sz w:val="22"/>
        </w:rPr>
        <w:t>Stage 2: Immediate curling upon removal from the heating stage (stress release)</w:t>
      </w:r>
    </w:p>
    <w:p w14:paraId="42982083">
      <w:pPr>
        <w:widowControl/>
        <w:ind w:firstLine="440" w:firstLineChars="200"/>
        <w:rPr>
          <w:rFonts w:ascii="Times New Roman" w:hAnsi="Times New Roman" w:cs="Times New Roman"/>
          <w:sz w:val="22"/>
        </w:rPr>
      </w:pPr>
      <w:r>
        <w:rPr>
          <w:rFonts w:hint="eastAsia" w:ascii="Times New Roman" w:hAnsi="Times New Roman" w:cs="Times New Roman"/>
          <w:sz w:val="22"/>
        </w:rPr>
        <w:t>After removing the film from the heating stage, the constraint of the heating stage is eliminated, and accumulated internal stress is released</w:t>
      </w:r>
      <w:r>
        <w:rPr>
          <w:rFonts w:ascii="Times New Roman" w:hAnsi="Times New Roman" w:eastAsia="仿宋" w:cs="Times New Roman"/>
          <w:sz w:val="22"/>
        </w:rPr>
        <w:t>—</w:t>
      </w:r>
      <w:r>
        <w:rPr>
          <w:rFonts w:hint="eastAsia" w:ascii="Times New Roman" w:hAnsi="Times New Roman" w:cs="Times New Roman"/>
          <w:sz w:val="22"/>
        </w:rPr>
        <w:t>revealing macroscopic behavioral differences between the two films:</w:t>
      </w:r>
    </w:p>
    <w:p w14:paraId="44C78131">
      <w:pPr>
        <w:widowControl/>
        <w:ind w:firstLine="440" w:firstLineChars="200"/>
        <w:rPr>
          <w:rFonts w:ascii="Times New Roman" w:hAnsi="Times New Roman" w:cs="Times New Roman"/>
          <w:sz w:val="22"/>
        </w:rPr>
      </w:pPr>
      <w:r>
        <w:rPr>
          <w:rFonts w:hint="eastAsia" w:ascii="Times New Roman" w:hAnsi="Times New Roman" w:cs="Times New Roman"/>
          <w:sz w:val="22"/>
        </w:rPr>
        <w:t>For RGO@CM-SWCNT@GO TCFs: The strong internal stress accumulated within the film loses its constraint and is rapidly released via "macroscopic deformation." Since stress is concentrated at the interface between M-SWCNTs and sheets, and the rigid connection of CM-SWCNTs renders the film an "integral stress-bearing body" deformation occurs in the "stress-minimizing direction" typically curling along the CM-SWCNT axial direction or sheet edges to spontaneously release internal stress, resulting in obvious curling (Supplementary</w:t>
      </w:r>
      <w:r>
        <w:rPr>
          <w:rFonts w:hint="eastAsia" w:ascii="Times New Roman" w:hAnsi="Times New Roman" w:cs="Times New Roman"/>
          <w:sz w:val="22"/>
          <w:lang w:val="en-US" w:eastAsia="zh-CN"/>
        </w:rPr>
        <w:t xml:space="preserve"> </w:t>
      </w:r>
      <w:r>
        <w:rPr>
          <w:rFonts w:hint="eastAsia" w:ascii="Times New Roman" w:hAnsi="Times New Roman" w:cs="Times New Roman"/>
          <w:sz w:val="22"/>
        </w:rPr>
        <w:t>Fig. 16b</w:t>
      </w:r>
      <w:r>
        <w:rPr>
          <w:rFonts w:hint="eastAsia" w:ascii="Times New Roman" w:hAnsi="Times New Roman" w:cs="Times New Roman"/>
          <w:sz w:val="22"/>
          <w:vertAlign w:val="subscript"/>
        </w:rPr>
        <w:t>2</w:t>
      </w:r>
      <w:r>
        <w:rPr>
          <w:rFonts w:hint="eastAsia" w:ascii="Times New Roman" w:hAnsi="Times New Roman" w:cs="Times New Roman"/>
          <w:sz w:val="22"/>
        </w:rPr>
        <w:t>).</w:t>
      </w:r>
    </w:p>
    <w:p w14:paraId="09137B0E">
      <w:pPr>
        <w:widowControl/>
        <w:ind w:firstLine="440" w:firstLineChars="200"/>
        <w:rPr>
          <w:rFonts w:ascii="Times New Roman" w:hAnsi="Times New Roman" w:cs="Times New Roman"/>
          <w:sz w:val="22"/>
        </w:rPr>
      </w:pPr>
      <w:r>
        <w:rPr>
          <w:rFonts w:hint="eastAsia" w:ascii="Times New Roman" w:hAnsi="Times New Roman" w:cs="Times New Roman"/>
          <w:sz w:val="22"/>
        </w:rPr>
        <w:t>For RGO@GO: The weak and dispersed internal stress accumulated within the film can only induce "minor interlayer contraction/expansion" after removing the heating stage, which is insufficient to drive significant macroscopic curling (Supplementary</w:t>
      </w:r>
      <w:r>
        <w:rPr>
          <w:rFonts w:hint="eastAsia" w:ascii="Times New Roman" w:hAnsi="Times New Roman" w:cs="Times New Roman"/>
          <w:sz w:val="22"/>
          <w:lang w:val="en-US" w:eastAsia="zh-CN"/>
        </w:rPr>
        <w:t xml:space="preserve"> </w:t>
      </w:r>
      <w:r>
        <w:rPr>
          <w:rFonts w:hint="eastAsia" w:ascii="Times New Roman" w:hAnsi="Times New Roman" w:cs="Times New Roman"/>
          <w:sz w:val="22"/>
        </w:rPr>
        <w:t>Fig. 16a</w:t>
      </w:r>
      <w:r>
        <w:rPr>
          <w:rFonts w:hint="eastAsia" w:ascii="Times New Roman" w:hAnsi="Times New Roman" w:cs="Times New Roman"/>
          <w:sz w:val="22"/>
          <w:vertAlign w:val="subscript"/>
        </w:rPr>
        <w:t>2</w:t>
      </w:r>
      <w:r>
        <w:rPr>
          <w:rFonts w:hint="eastAsia" w:ascii="Times New Roman" w:hAnsi="Times New Roman" w:cs="Times New Roman"/>
          <w:sz w:val="22"/>
        </w:rPr>
        <w:t>).</w:t>
      </w:r>
    </w:p>
    <w:p w14:paraId="42EDABA8">
      <w:pPr>
        <w:widowControl/>
        <w:ind w:firstLine="440" w:firstLineChars="200"/>
        <w:rPr>
          <w:rFonts w:ascii="Times New Roman" w:hAnsi="Times New Roman" w:cs="Times New Roman"/>
          <w:b/>
          <w:bCs/>
          <w:sz w:val="22"/>
        </w:rPr>
      </w:pPr>
      <w:r>
        <w:rPr>
          <w:rFonts w:hint="eastAsia" w:ascii="Times New Roman" w:hAnsi="Times New Roman" w:cs="Times New Roman"/>
          <w:b/>
          <w:bCs/>
          <w:sz w:val="22"/>
        </w:rPr>
        <w:t>Stage 3: Re-flattening (Thermal Equilibrium and Stress Relaxation)</w:t>
      </w:r>
    </w:p>
    <w:p w14:paraId="564F18C7">
      <w:pPr>
        <w:widowControl/>
        <w:ind w:firstLine="440" w:firstLineChars="200"/>
        <w:rPr>
          <w:rFonts w:ascii="Times New Roman" w:hAnsi="Times New Roman" w:cs="Times New Roman"/>
          <w:sz w:val="22"/>
        </w:rPr>
      </w:pPr>
      <w:r>
        <w:rPr>
          <w:rFonts w:hint="eastAsia" w:ascii="Times New Roman" w:hAnsi="Times New Roman" w:cs="Times New Roman"/>
          <w:sz w:val="22"/>
        </w:rPr>
        <w:t>Re-flattening is primarily driven by complete stress release and thermal equilibrium: The curling process is a "rapid stress release process," during which concentrated internal stress is fully released via curling deformation within seconds. Simultaneously, after removal from the heating stage, the film exchanges heat with ambient air, and its temperature gradually decreases to room temperature. When internal stress is fully released and temperature stabilizes (thermal deformation ceases), the film loses the "stress driving force to maintain curling" and re-flattens due to its inherent elasticity</w:t>
      </w:r>
      <w:r>
        <w:rPr>
          <w:rFonts w:ascii="Times New Roman" w:hAnsi="Times New Roman" w:eastAsia="仿宋" w:cs="Times New Roman"/>
          <w:sz w:val="22"/>
        </w:rPr>
        <w:t>—</w:t>
      </w:r>
      <w:r>
        <w:rPr>
          <w:rFonts w:hint="eastAsia" w:ascii="Times New Roman" w:hAnsi="Times New Roman" w:cs="Times New Roman"/>
          <w:sz w:val="22"/>
        </w:rPr>
        <w:t>particularly when placed on a flat surface (e.g., a desktop), surface support further assists in flattening (Supplementary</w:t>
      </w:r>
      <w:r>
        <w:rPr>
          <w:rFonts w:hint="eastAsia" w:ascii="Times New Roman" w:hAnsi="Times New Roman" w:cs="Times New Roman"/>
          <w:sz w:val="22"/>
          <w:lang w:val="en-US" w:eastAsia="zh-CN"/>
        </w:rPr>
        <w:t xml:space="preserve"> </w:t>
      </w:r>
      <w:r>
        <w:rPr>
          <w:rFonts w:hint="eastAsia" w:ascii="Times New Roman" w:hAnsi="Times New Roman" w:cs="Times New Roman"/>
          <w:sz w:val="22"/>
        </w:rPr>
        <w:t>Fig. 16b</w:t>
      </w:r>
      <w:r>
        <w:rPr>
          <w:rFonts w:hint="eastAsia" w:ascii="Times New Roman" w:hAnsi="Times New Roman" w:cs="Times New Roman"/>
          <w:sz w:val="22"/>
          <w:vertAlign w:val="subscript"/>
        </w:rPr>
        <w:t>3</w:t>
      </w:r>
      <w:r>
        <w:rPr>
          <w:rFonts w:hint="eastAsia" w:ascii="Times New Roman" w:hAnsi="Times New Roman" w:cs="Times New Roman"/>
          <w:sz w:val="22"/>
        </w:rPr>
        <w:t>). Leveraging its exceptional thermoresponsive performance, this composite film holds substantial potential for addressing damage issues of precision electronic components (e.g., chips, microsensors, flexible circuit boards) caused by vibration and impact during transportation and storage. It enables adaptive protection without the need for additional cushioning materials, through temperature-controlled deformation of the film (Supplementary</w:t>
      </w:r>
      <w:r>
        <w:rPr>
          <w:rFonts w:hint="eastAsia" w:ascii="Times New Roman" w:hAnsi="Times New Roman" w:cs="Times New Roman"/>
          <w:sz w:val="22"/>
          <w:lang w:val="en-US" w:eastAsia="zh-CN"/>
        </w:rPr>
        <w:t xml:space="preserve"> </w:t>
      </w:r>
      <w:r>
        <w:rPr>
          <w:rFonts w:hint="eastAsia" w:ascii="Times New Roman" w:hAnsi="Times New Roman" w:cs="Times New Roman"/>
          <w:sz w:val="22"/>
        </w:rPr>
        <w:t>Fig. 16c).</w:t>
      </w:r>
    </w:p>
    <w:p w14:paraId="79EAC063">
      <w:pPr>
        <w:widowControl/>
        <w:ind w:firstLine="440" w:firstLineChars="200"/>
        <w:rPr>
          <w:rFonts w:ascii="Times New Roman" w:hAnsi="Times New Roman" w:cs="Times New Roman"/>
          <w:sz w:val="22"/>
        </w:rPr>
      </w:pPr>
    </w:p>
    <w:p w14:paraId="67CF4EF3">
      <w:pPr>
        <w:rPr>
          <w:rFonts w:ascii="Times New Roman" w:hAnsi="Times New Roman" w:cs="Times New Roman"/>
          <w:sz w:val="22"/>
        </w:rPr>
      </w:pPr>
    </w:p>
    <w:p w14:paraId="2243FE73">
      <w:pPr>
        <w:rPr>
          <w:rFonts w:ascii="Times New Roman" w:hAnsi="Times New Roman" w:cs="Times New Roman"/>
          <w:sz w:val="22"/>
        </w:rPr>
      </w:pPr>
    </w:p>
    <w:p w14:paraId="1F8BD910">
      <w:pPr>
        <w:rPr>
          <w:rFonts w:ascii="Times New Roman" w:hAnsi="Times New Roman" w:cs="Times New Roman"/>
          <w:sz w:val="22"/>
        </w:rPr>
      </w:pPr>
    </w:p>
    <w:p w14:paraId="23F325E9">
      <w:pPr>
        <w:jc w:val="center"/>
        <w:rPr>
          <w:rFonts w:ascii="Times New Roman" w:hAnsi="Times New Roman" w:cs="Times New Roman"/>
          <w:b/>
          <w:bCs/>
          <w:sz w:val="22"/>
        </w:rPr>
      </w:pPr>
      <w:r>
        <w:rPr>
          <w:rFonts w:hint="eastAsia" w:ascii="Times New Roman" w:hAnsi="Times New Roman" w:cs="Times New Roman"/>
          <w:sz w:val="22"/>
        </w:rPr>
        <w:drawing>
          <wp:inline distT="0" distB="0" distL="0" distR="0">
            <wp:extent cx="5272405" cy="4227830"/>
            <wp:effectExtent l="0" t="0" r="4445" b="127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2405" cy="4227830"/>
                    </a:xfrm>
                    <a:prstGeom prst="rect">
                      <a:avLst/>
                    </a:prstGeom>
                    <a:noFill/>
                    <a:ln>
                      <a:noFill/>
                    </a:ln>
                  </pic:spPr>
                </pic:pic>
              </a:graphicData>
            </a:graphic>
          </wp:inline>
        </w:drawing>
      </w:r>
    </w:p>
    <w:p w14:paraId="73BA8C1F">
      <w:pPr>
        <w:jc w:val="center"/>
        <w:rPr>
          <w:rFonts w:ascii="Times New Roman" w:hAnsi="Times New Roman" w:eastAsia="仿宋" w:cs="Times New Roman"/>
          <w:sz w:val="22"/>
        </w:rPr>
      </w:pPr>
      <w:r>
        <w:rPr>
          <w:rFonts w:hint="eastAsia" w:ascii="Times New Roman" w:hAnsi="Times New Roman" w:eastAsia="仿宋" w:cs="Times New Roman"/>
          <w:b/>
          <w:bCs/>
          <w:sz w:val="22"/>
        </w:rPr>
        <w:t xml:space="preserve">Supplementary </w:t>
      </w:r>
      <w:r>
        <w:rPr>
          <w:rFonts w:ascii="Times New Roman" w:hAnsi="Times New Roman" w:eastAsia="仿宋" w:cs="Times New Roman"/>
          <w:b/>
          <w:bCs/>
          <w:sz w:val="22"/>
        </w:rPr>
        <w:t>Figure</w:t>
      </w:r>
      <w:r>
        <w:rPr>
          <w:rFonts w:hint="eastAsia" w:ascii="Times New Roman" w:hAnsi="Times New Roman" w:eastAsia="仿宋" w:cs="Times New Roman"/>
          <w:b/>
          <w:bCs/>
          <w:sz w:val="22"/>
        </w:rPr>
        <w:t xml:space="preserve"> </w:t>
      </w:r>
      <w:r>
        <w:rPr>
          <w:rFonts w:ascii="Times New Roman" w:hAnsi="Times New Roman" w:eastAsia="仿宋" w:cs="Times New Roman"/>
          <w:b/>
          <w:bCs/>
          <w:sz w:val="22"/>
        </w:rPr>
        <w:t>1</w:t>
      </w:r>
      <w:r>
        <w:rPr>
          <w:rFonts w:hint="eastAsia" w:ascii="Times New Roman" w:hAnsi="Times New Roman" w:eastAsia="仿宋" w:cs="Times New Roman"/>
          <w:b/>
          <w:bCs/>
          <w:sz w:val="22"/>
        </w:rPr>
        <w:t>7.</w:t>
      </w:r>
      <w:r>
        <w:rPr>
          <w:rFonts w:ascii="Times New Roman" w:hAnsi="Times New Roman" w:eastAsia="仿宋" w:cs="Times New Roman"/>
          <w:sz w:val="22"/>
        </w:rPr>
        <w:t xml:space="preserve"> </w:t>
      </w:r>
      <w:r>
        <w:rPr>
          <w:rFonts w:hint="eastAsia" w:ascii="Times New Roman" w:hAnsi="Times New Roman" w:eastAsia="仿宋" w:cs="Times New Roman"/>
          <w:b/>
          <w:bCs/>
          <w:sz w:val="22"/>
        </w:rPr>
        <w:t>E</w:t>
      </w:r>
      <w:r>
        <w:rPr>
          <w:rFonts w:ascii="Times New Roman" w:hAnsi="Times New Roman" w:eastAsia="仿宋" w:cs="Times New Roman"/>
          <w:b/>
          <w:bCs/>
          <w:sz w:val="22"/>
        </w:rPr>
        <w:t xml:space="preserve">lectromagnetic shielding effectiveness </w:t>
      </w:r>
      <w:r>
        <w:rPr>
          <w:rFonts w:hint="eastAsia" w:ascii="Times New Roman" w:hAnsi="Times New Roman" w:eastAsia="仿宋" w:cs="Times New Roman"/>
          <w:b/>
          <w:bCs/>
          <w:sz w:val="22"/>
        </w:rPr>
        <w:t>of TCF.</w:t>
      </w:r>
      <w:r>
        <w:rPr>
          <w:rFonts w:hint="eastAsia" w:ascii="Times New Roman" w:hAnsi="Times New Roman" w:eastAsia="仿宋" w:cs="Times New Roman"/>
          <w:sz w:val="22"/>
        </w:rPr>
        <w:t xml:space="preserve"> </w:t>
      </w:r>
      <w:r>
        <w:rPr>
          <w:rFonts w:ascii="Times New Roman" w:hAnsi="Times New Roman" w:eastAsia="仿宋" w:cs="Times New Roman"/>
          <w:sz w:val="22"/>
        </w:rPr>
        <w:t>The Shielding effectiveness (SE</w:t>
      </w:r>
      <w:r>
        <w:rPr>
          <w:rFonts w:ascii="Times New Roman" w:hAnsi="Times New Roman" w:eastAsia="仿宋" w:cs="Times New Roman"/>
          <w:sz w:val="22"/>
          <w:vertAlign w:val="subscript"/>
        </w:rPr>
        <w:t>T</w:t>
      </w:r>
      <w:r>
        <w:rPr>
          <w:rFonts w:ascii="Times New Roman" w:hAnsi="Times New Roman" w:eastAsia="仿宋" w:cs="Times New Roman"/>
          <w:sz w:val="22"/>
        </w:rPr>
        <w:t>), reflection loss (SE</w:t>
      </w:r>
      <w:r>
        <w:rPr>
          <w:rFonts w:ascii="Times New Roman" w:hAnsi="Times New Roman" w:eastAsia="仿宋" w:cs="Times New Roman"/>
          <w:sz w:val="22"/>
          <w:vertAlign w:val="subscript"/>
        </w:rPr>
        <w:t>R</w:t>
      </w:r>
      <w:r>
        <w:rPr>
          <w:rFonts w:ascii="Times New Roman" w:hAnsi="Times New Roman" w:eastAsia="仿宋" w:cs="Times New Roman"/>
          <w:sz w:val="22"/>
        </w:rPr>
        <w:t>), and absorption loss (SE</w:t>
      </w:r>
      <w:r>
        <w:rPr>
          <w:rFonts w:ascii="Times New Roman" w:hAnsi="Times New Roman" w:eastAsia="仿宋" w:cs="Times New Roman"/>
          <w:sz w:val="22"/>
          <w:vertAlign w:val="subscript"/>
        </w:rPr>
        <w:t>A</w:t>
      </w:r>
      <w:r>
        <w:rPr>
          <w:rFonts w:ascii="Times New Roman" w:hAnsi="Times New Roman" w:eastAsia="仿宋" w:cs="Times New Roman"/>
          <w:sz w:val="22"/>
        </w:rPr>
        <w:t>) of 1-32%-4h membrane in the range of (a) 2.60-4.95 GHz, (b) 4.00-5.99 GHz, (c) 6.00-8.10 GHz , and (d) 8.20</w:t>
      </w:r>
      <w:r>
        <w:rPr>
          <w:rFonts w:hint="eastAsia" w:ascii="Times New Roman" w:hAnsi="Times New Roman" w:eastAsia="仿宋" w:cs="Times New Roman"/>
          <w:sz w:val="22"/>
          <w:lang w:val="en-US" w:eastAsia="zh-CN"/>
        </w:rPr>
        <w:t>-</w:t>
      </w:r>
      <w:r>
        <w:rPr>
          <w:rFonts w:ascii="Times New Roman" w:hAnsi="Times New Roman" w:eastAsia="仿宋" w:cs="Times New Roman"/>
          <w:sz w:val="22"/>
        </w:rPr>
        <w:t>12.40 GHz.</w:t>
      </w:r>
    </w:p>
    <w:p w14:paraId="3D2176F9">
      <w:pPr>
        <w:widowControl/>
        <w:ind w:firstLine="440" w:firstLineChars="200"/>
        <w:rPr>
          <w:rFonts w:ascii="Times New Roman" w:hAnsi="Times New Roman" w:eastAsia="仿宋" w:cs="Times New Roman"/>
          <w:sz w:val="22"/>
        </w:rPr>
      </w:pPr>
    </w:p>
    <w:p w14:paraId="5130B625">
      <w:pPr>
        <w:widowControl/>
        <w:rPr>
          <w:rFonts w:hint="eastAsia" w:ascii="Times New Roman" w:hAnsi="Times New Roman" w:eastAsia="仿宋" w:cs="Times New Roman"/>
          <w:b/>
          <w:bCs/>
          <w:sz w:val="22"/>
        </w:rPr>
      </w:pPr>
      <w:r>
        <w:rPr>
          <w:rFonts w:hint="eastAsia" w:ascii="Times New Roman" w:hAnsi="Times New Roman" w:eastAsia="仿宋" w:cs="Times New Roman"/>
          <w:b/>
          <w:bCs/>
          <w:sz w:val="22"/>
        </w:rPr>
        <w:t>Supplementary note 4: Electromagnetic shielding effect of TCF:</w:t>
      </w:r>
    </w:p>
    <w:p w14:paraId="410856D1">
      <w:pPr>
        <w:widowControl/>
        <w:rPr>
          <w:rFonts w:ascii="Times New Roman" w:hAnsi="Times New Roman" w:eastAsia="仿宋" w:cs="Times New Roman"/>
          <w:sz w:val="22"/>
        </w:rPr>
      </w:pPr>
      <w:r>
        <w:rPr>
          <w:rFonts w:ascii="Times New Roman" w:hAnsi="Times New Roman" w:eastAsia="仿宋" w:cs="Times New Roman"/>
          <w:sz w:val="22"/>
        </w:rPr>
        <w:t>Graphene materials are known to exhibit electromagnetic shielding effectiveness; thus, the shielding effectiveness of CFs in the 2.6 GHz-12.4 GHz frequency range was measured using a waveguide method (</w:t>
      </w:r>
      <w:r>
        <w:rPr>
          <w:rFonts w:hint="eastAsia" w:ascii="Times New Roman" w:hAnsi="Times New Roman" w:cs="Times New Roman"/>
          <w:sz w:val="22"/>
        </w:rPr>
        <w:t>Supplementary</w:t>
      </w:r>
      <w:r>
        <w:rPr>
          <w:rFonts w:hint="eastAsia" w:ascii="Times New Roman" w:hAnsi="Times New Roman" w:cs="Times New Roman"/>
          <w:sz w:val="22"/>
          <w:lang w:val="en-US" w:eastAsia="zh-CN"/>
        </w:rPr>
        <w:t xml:space="preserve"> </w:t>
      </w:r>
      <w:r>
        <w:rPr>
          <w:rFonts w:ascii="Times New Roman" w:hAnsi="Times New Roman" w:eastAsia="仿宋" w:cs="Times New Roman"/>
          <w:sz w:val="22"/>
        </w:rPr>
        <w:t>Fig. 1</w:t>
      </w:r>
      <w:r>
        <w:rPr>
          <w:rFonts w:hint="eastAsia" w:ascii="Times New Roman" w:hAnsi="Times New Roman" w:eastAsia="仿宋" w:cs="Times New Roman"/>
          <w:sz w:val="22"/>
        </w:rPr>
        <w:t>7</w:t>
      </w:r>
      <w:r>
        <w:rPr>
          <w:rFonts w:ascii="Times New Roman" w:hAnsi="Times New Roman" w:eastAsia="仿宋" w:cs="Times New Roman"/>
          <w:sz w:val="22"/>
        </w:rPr>
        <w:t>). The results confirm that the 1-32%-4h sample exhibits an average shielding effectiveness (SET) of over 30 dB in the 2.6 GHz-12.4 GHz range, primarily contributed by reflection loss (SER) while pure GO film showed low shielding effectiveness (~0 dB). At 2.64 GHz and 12.2 GHz, the 1-32%-4h film exhibits excellent shielding effectiveness, reaching 85 dB (31 dB/μm) and 74 dB (27 dB/μm), respectively—demonstrating great potential for electromagnetic shielding applications. It is significantly improved compared with the pure GO film (~0 dB).</w:t>
      </w:r>
      <w:r>
        <w:rPr>
          <w:rFonts w:ascii="Times New Roman" w:hAnsi="Times New Roman" w:eastAsia="仿宋" w:cs="Times New Roman"/>
          <w:sz w:val="22"/>
        </w:rPr>
        <w:fldChar w:fldCharType="begin"/>
      </w:r>
      <w:r>
        <w:rPr>
          <w:rFonts w:ascii="Times New Roman" w:hAnsi="Times New Roman" w:eastAsia="仿宋" w:cs="Times New Roman"/>
          <w:sz w:val="22"/>
        </w:rPr>
        <w:instrText xml:space="preserve"> ADDIN ZOTERO_ITEM CSL_CITATION {"citationID":"GgM0duLs","properties":{"formattedCitation":"\\super 5,6\\nosupersub{}","plainCitation":"5,6","noteIndex":0},"citationItems":[{"id":2517,"uris":["http://zotero.org/users/16084765/items/E7W62448"],"itemData":{"id":2517,"type":"article-journal","abstract":"Silver nanoparticles (Ag NPs) have been produced by low-dose (1–20 kGy) gamma irradiation of silver nitrate in the presence of graphene-based material (graphene oxide or electrochemically exfoliated graphene). The large surface area of those graphene-based materials combined with the presence of oxygen-containing functional groups on the surface provided successful nucleation and growth of Ag nanoparticles, which resulted in a uniformly covered graphene surface. The obtained Ag nanoparticles were spherical with a predominant size distribution of 10–50 nm for graphene oxide and 10–100 nm for electrochemically exfoliated graphene. The photothermal efficiency measurement showed a temperature increase upon exposure to a 532 nm laser for all samples and the highest photothermal efficiency was measured for the graphene oxide/Ag NP sample prepared at 5 kGy. Electromagnetic interference (EMI) shielding efficiency measurements showed poor shielding for the composites prepared with graphene oxide. On the other hand, all composites prepared with electrochemically exfoliated graphene showed EMI shielding to some extent, and the best performance was measured for the samples prepared at 5 and 20 kGy doses.","citation-key":"stefanovicDeterminationPhotothermalEMI2024","container-title":"Nanomaterials","DOI":"10.3390/nano14110912","ISSN":"2079-4991","issue":"11","journalAbbreviation":"Nanomaterials","language":"en","page":"912","source":"DOI.org (Crossref)","title":"Determination of photothermal and EMI shielding efficiency of graphene–silver nanoparticle composites prepared under low-dose gamma irradiation","volume":"14","author":[{"family":"Stefanović","given":"Andjela"},{"family":"Kepić","given":"Dejan"},{"family":"Momčilović","given":"Miloš"},{"family":"Mead","given":"James L."},{"family":"Huskić","given":"Miroslav"},{"family":"Haddadi","given":"Kamel"},{"family":"Sebbache","given":"Mohamed"},{"family":"Todorović Marković","given":"Biljana"},{"family":"Jovanović","given":"Svetlana"}],"issued":{"date-parts":[["2024",5,23]]}}},{"id":2518,"uris":["http://zotero.org/users/16084765/items/RIS89VS8"],"itemData":{"id":2518,"type":"article-journal","abstract":"Abstract\n            A low-dose gamma irradiation was used for the one-step synthesis of graphene oxide/platinum nanoparticle composites. Various spectroscopic and microscopic methods were employed to structurally and morphologically characterize the prepared composites, and the nature of the interactions between graphene oxide sheets and platinum clusters was investigated using density function theory (DFT). Gamma irradiation caused the reduction of hexachloroplatinic acid, resulting in the formation of Pt nanoparticles and the simultaneous partial reduction of graphene oxide (GO). Pt nanoparticles synthesized at doses of 10 and 20 kGy showed a homogeneous GO surface coverage with a high portion of particles with sizes of up to 10 nm. The DFT results indicate a difference in electrical conductivity between GO and PtNPs. This could cause charge redistribution across the contact area, creating a conductive network at the interface that should enhance the EMI shielding capabilities of the composite. The shielding efficiency of the composites measured at the X band showed a blockage of 77% of the incident electromagnetic wave at a center frequency of 10 GHz. The composite prepared at a 20 kGy dose exhibited a greater contribution from a mismatch loss component, attributed to the improved electrical conductivity induced by irradiation.","citation-key":"kepicInvestigationInteractionsElectromagnetic2025","container-title":"Scientific Reports","DOI":"10.1038/s41598-025-12655-7","ISSN":"2045-2322","issue":"1","journalAbbreviation":"Sci. Rep.","language":"en","page":"26924","source":"DOI.org (Crossref)","title":"Investigation of the interactions and electromagnetic shielding properties of graphene oxide/platinum nanoparticle composites prepared under low-dose gamma irradiation","volume":"15","author":[{"family":"Kepić","given":"Dejan"},{"family":"Milović","given":"Miloš"},{"family":"Sredojević","given":"Dušan"},{"family":"Stefanović","given":"Andjela"},{"family":"Gajić","given":"Brankica"},{"family":"Mead","given":"James L."},{"family":"Nardin","given":"Blaž"},{"family":"Likozar","given":"Blaž"},{"family":"Teržan","given":"Janvit"},{"family":"Yasir","given":"Muhammad"},{"family":"Saeed","given":"Warda"},{"family":"Jovanović","given":"Svetlana"}],"issued":{"date-parts":[["2025",7,24]]}}}],"schema":"https://github.com/citation-style-language/schema/raw/master/csl-citation.json"} </w:instrText>
      </w:r>
      <w:r>
        <w:rPr>
          <w:rFonts w:ascii="Times New Roman" w:hAnsi="Times New Roman" w:eastAsia="仿宋" w:cs="Times New Roman"/>
          <w:sz w:val="22"/>
        </w:rPr>
        <w:fldChar w:fldCharType="separate"/>
      </w:r>
      <w:r>
        <w:rPr>
          <w:rFonts w:ascii="Times New Roman" w:hAnsi="Times New Roman" w:cs="Times New Roman"/>
          <w:kern w:val="0"/>
          <w:sz w:val="22"/>
          <w:vertAlign w:val="superscript"/>
        </w:rPr>
        <w:t>5,6</w:t>
      </w:r>
      <w:r>
        <w:rPr>
          <w:rFonts w:ascii="Times New Roman" w:hAnsi="Times New Roman" w:eastAsia="仿宋" w:cs="Times New Roman"/>
          <w:sz w:val="22"/>
        </w:rPr>
        <w:fldChar w:fldCharType="end"/>
      </w:r>
      <w:r>
        <w:rPr>
          <w:rFonts w:ascii="Times New Roman" w:hAnsi="Times New Roman" w:eastAsia="仿宋" w:cs="Times New Roman"/>
          <w:sz w:val="22"/>
        </w:rPr>
        <w:t xml:space="preserve"> </w:t>
      </w:r>
    </w:p>
    <w:p w14:paraId="2603182A">
      <w:pPr>
        <w:widowControl/>
        <w:jc w:val="center"/>
        <w:rPr>
          <w:rFonts w:ascii="Times New Roman" w:hAnsi="Times New Roman" w:cs="Times New Roman"/>
          <w:sz w:val="22"/>
        </w:rPr>
      </w:pPr>
    </w:p>
    <w:p w14:paraId="3CC9BB47">
      <w:pPr>
        <w:widowControl/>
        <w:jc w:val="center"/>
        <w:rPr>
          <w:rFonts w:ascii="Times New Roman" w:hAnsi="Times New Roman" w:eastAsia="宋体" w:cs="Times New Roman"/>
          <w:color w:val="1F2329"/>
          <w:kern w:val="0"/>
          <w:sz w:val="22"/>
        </w:rPr>
      </w:pPr>
    </w:p>
    <w:p w14:paraId="5E1B90ED">
      <w:pPr>
        <w:jc w:val="center"/>
        <w:rPr>
          <w:rFonts w:ascii="Times New Roman" w:hAnsi="Times New Roman" w:cs="Times New Roman"/>
          <w:sz w:val="22"/>
        </w:rPr>
      </w:pPr>
      <w:bookmarkStart w:id="5" w:name="OLE_LINK5"/>
      <w:r>
        <w:rPr>
          <w:rFonts w:hint="eastAsia" w:ascii="Times New Roman" w:hAnsi="Times New Roman" w:cs="Times New Roman"/>
          <w:b/>
          <w:bCs/>
          <w:sz w:val="22"/>
        </w:rPr>
        <w:t xml:space="preserve">Supplementary </w:t>
      </w:r>
      <w:bookmarkEnd w:id="5"/>
      <w:r>
        <w:rPr>
          <w:rFonts w:ascii="Times New Roman" w:hAnsi="Times New Roman" w:cs="Times New Roman"/>
          <w:b/>
          <w:bCs/>
          <w:sz w:val="22"/>
        </w:rPr>
        <w:t>Table</w:t>
      </w:r>
      <w:r>
        <w:rPr>
          <w:rFonts w:hint="eastAsia" w:ascii="Times New Roman" w:hAnsi="Times New Roman" w:cs="Times New Roman"/>
          <w:b/>
          <w:bCs/>
          <w:sz w:val="22"/>
        </w:rPr>
        <w:t xml:space="preserve"> </w:t>
      </w:r>
      <w:r>
        <w:rPr>
          <w:rFonts w:ascii="Times New Roman" w:hAnsi="Times New Roman" w:cs="Times New Roman"/>
          <w:b/>
          <w:bCs/>
          <w:sz w:val="22"/>
        </w:rPr>
        <w:t>1</w:t>
      </w:r>
      <w:r>
        <w:rPr>
          <w:rFonts w:hint="eastAsia" w:ascii="Times New Roman" w:hAnsi="Times New Roman" w:cs="Times New Roman"/>
          <w:b/>
          <w:bCs/>
          <w:sz w:val="22"/>
        </w:rPr>
        <w:t xml:space="preserve">. </w:t>
      </w:r>
      <w:r>
        <w:rPr>
          <w:rFonts w:hint="eastAsia" w:ascii="Times New Roman" w:hAnsi="Times New Roman" w:cs="Times New Roman"/>
          <w:sz w:val="22"/>
        </w:rPr>
        <w:t>Component of composite solution and incubation time of RGO@CM-SWCNT@GO TCFs.</w:t>
      </w:r>
    </w:p>
    <w:tbl>
      <w:tblPr>
        <w:tblStyle w:val="41"/>
        <w:tblW w:w="8522" w:type="dxa"/>
        <w:jc w:val="center"/>
        <w:tblLayout w:type="fixed"/>
        <w:tblCellMar>
          <w:top w:w="0" w:type="dxa"/>
          <w:left w:w="108" w:type="dxa"/>
          <w:bottom w:w="0" w:type="dxa"/>
          <w:right w:w="108" w:type="dxa"/>
        </w:tblCellMar>
      </w:tblPr>
      <w:tblGrid>
        <w:gridCol w:w="1701"/>
        <w:gridCol w:w="1867"/>
        <w:gridCol w:w="1707"/>
        <w:gridCol w:w="988"/>
        <w:gridCol w:w="854"/>
        <w:gridCol w:w="1405"/>
      </w:tblGrid>
      <w:tr w14:paraId="665F829A">
        <w:tblPrEx>
          <w:tblCellMar>
            <w:top w:w="0" w:type="dxa"/>
            <w:left w:w="108" w:type="dxa"/>
            <w:bottom w:w="0" w:type="dxa"/>
            <w:right w:w="108" w:type="dxa"/>
          </w:tblCellMar>
        </w:tblPrEx>
        <w:trPr>
          <w:jc w:val="center"/>
        </w:trPr>
        <w:tc>
          <w:tcPr>
            <w:tcW w:w="1701" w:type="dxa"/>
            <w:tcBorders>
              <w:top w:val="single" w:color="auto" w:sz="12" w:space="0"/>
              <w:bottom w:val="single" w:color="auto" w:sz="12" w:space="0"/>
            </w:tcBorders>
          </w:tcPr>
          <w:p w14:paraId="2C7E9C41">
            <w:pPr>
              <w:jc w:val="center"/>
              <w:rPr>
                <w:rFonts w:ascii="Times New Roman" w:hAnsi="Times New Roman" w:cs="Times New Roman"/>
                <w:b w:val="0"/>
                <w:bCs w:val="0"/>
                <w:sz w:val="22"/>
              </w:rPr>
            </w:pPr>
            <w:bookmarkStart w:id="6" w:name="OLE_LINK7" w:colFirst="0" w:colLast="5"/>
            <w:r>
              <w:rPr>
                <w:rFonts w:ascii="Times New Roman" w:hAnsi="Times New Roman" w:cs="Times New Roman"/>
                <w:b/>
                <w:bCs/>
                <w:sz w:val="22"/>
              </w:rPr>
              <w:t>Sample</w:t>
            </w:r>
          </w:p>
        </w:tc>
        <w:tc>
          <w:tcPr>
            <w:tcW w:w="1867" w:type="dxa"/>
            <w:tcBorders>
              <w:top w:val="single" w:color="auto" w:sz="12" w:space="0"/>
              <w:bottom w:val="single" w:color="auto" w:sz="12" w:space="0"/>
            </w:tcBorders>
          </w:tcPr>
          <w:p w14:paraId="7F3DAE24">
            <w:pPr>
              <w:jc w:val="center"/>
              <w:rPr>
                <w:rFonts w:ascii="Times New Roman" w:hAnsi="Times New Roman" w:cs="Times New Roman"/>
                <w:b w:val="0"/>
                <w:bCs w:val="0"/>
                <w:sz w:val="22"/>
              </w:rPr>
            </w:pPr>
            <w:r>
              <w:rPr>
                <w:rFonts w:hint="eastAsia" w:ascii="Times New Roman" w:hAnsi="Times New Roman" w:cs="Times New Roman"/>
                <w:b/>
                <w:bCs/>
                <w:sz w:val="22"/>
              </w:rPr>
              <w:t>CM-SW</w:t>
            </w:r>
            <w:r>
              <w:rPr>
                <w:rFonts w:ascii="Times New Roman" w:hAnsi="Times New Roman" w:cs="Times New Roman"/>
                <w:b/>
                <w:bCs/>
                <w:sz w:val="22"/>
              </w:rPr>
              <w:t xml:space="preserve">CNT/GO </w:t>
            </w:r>
            <w:r>
              <w:rPr>
                <w:rFonts w:hint="eastAsia" w:ascii="Times New Roman" w:hAnsi="Times New Roman" w:cs="Times New Roman"/>
                <w:b/>
                <w:bCs/>
                <w:sz w:val="22"/>
              </w:rPr>
              <w:t>(%)</w:t>
            </w:r>
          </w:p>
        </w:tc>
        <w:tc>
          <w:tcPr>
            <w:tcW w:w="1707" w:type="dxa"/>
            <w:tcBorders>
              <w:top w:val="single" w:color="auto" w:sz="12" w:space="0"/>
              <w:bottom w:val="single" w:color="auto" w:sz="12" w:space="0"/>
            </w:tcBorders>
          </w:tcPr>
          <w:p w14:paraId="34C58672">
            <w:pPr>
              <w:jc w:val="center"/>
              <w:rPr>
                <w:rFonts w:ascii="Times New Roman" w:hAnsi="Times New Roman" w:cs="Times New Roman"/>
                <w:b w:val="0"/>
                <w:bCs w:val="0"/>
                <w:sz w:val="22"/>
              </w:rPr>
            </w:pPr>
            <w:r>
              <w:rPr>
                <w:rFonts w:hint="eastAsia" w:ascii="Times New Roman" w:hAnsi="Times New Roman" w:cs="Times New Roman"/>
                <w:b/>
                <w:bCs/>
                <w:sz w:val="22"/>
              </w:rPr>
              <w:t>CM-</w:t>
            </w:r>
            <w:r>
              <w:rPr>
                <w:rFonts w:ascii="Times New Roman" w:hAnsi="Times New Roman" w:cs="Times New Roman"/>
                <w:b/>
                <w:bCs/>
                <w:sz w:val="22"/>
              </w:rPr>
              <w:t>SWCNT</w:t>
            </w:r>
            <w:r>
              <w:rPr>
                <w:rFonts w:hint="eastAsia" w:ascii="Times New Roman" w:hAnsi="Times New Roman" w:cs="Times New Roman"/>
                <w:b/>
                <w:bCs/>
                <w:sz w:val="22"/>
              </w:rPr>
              <w:t xml:space="preserve"> (mg)</w:t>
            </w:r>
          </w:p>
        </w:tc>
        <w:tc>
          <w:tcPr>
            <w:tcW w:w="988" w:type="dxa"/>
            <w:tcBorders>
              <w:top w:val="single" w:color="auto" w:sz="12" w:space="0"/>
              <w:bottom w:val="single" w:color="auto" w:sz="12" w:space="0"/>
            </w:tcBorders>
          </w:tcPr>
          <w:p w14:paraId="3E1794CB">
            <w:pPr>
              <w:jc w:val="center"/>
              <w:rPr>
                <w:rFonts w:ascii="Times New Roman" w:hAnsi="Times New Roman" w:cs="Times New Roman"/>
                <w:b w:val="0"/>
                <w:bCs w:val="0"/>
                <w:sz w:val="22"/>
              </w:rPr>
            </w:pPr>
            <w:r>
              <w:rPr>
                <w:rFonts w:ascii="Times New Roman" w:hAnsi="Times New Roman" w:cs="Times New Roman"/>
                <w:b/>
                <w:bCs/>
                <w:sz w:val="22"/>
              </w:rPr>
              <w:t>CMC</w:t>
            </w:r>
            <w:r>
              <w:rPr>
                <w:rFonts w:hint="eastAsia" w:ascii="Times New Roman" w:hAnsi="Times New Roman" w:cs="Times New Roman"/>
                <w:b/>
                <w:bCs/>
                <w:sz w:val="22"/>
              </w:rPr>
              <w:t xml:space="preserve"> (mg)</w:t>
            </w:r>
          </w:p>
        </w:tc>
        <w:tc>
          <w:tcPr>
            <w:tcW w:w="854" w:type="dxa"/>
            <w:tcBorders>
              <w:top w:val="single" w:color="auto" w:sz="12" w:space="0"/>
              <w:bottom w:val="single" w:color="auto" w:sz="12" w:space="0"/>
            </w:tcBorders>
          </w:tcPr>
          <w:p w14:paraId="1C7A9D6C">
            <w:pPr>
              <w:jc w:val="center"/>
              <w:rPr>
                <w:rFonts w:ascii="Times New Roman" w:hAnsi="Times New Roman" w:cs="Times New Roman"/>
                <w:b w:val="0"/>
                <w:bCs w:val="0"/>
                <w:sz w:val="22"/>
              </w:rPr>
            </w:pPr>
            <w:r>
              <w:rPr>
                <w:rFonts w:ascii="Times New Roman" w:hAnsi="Times New Roman" w:cs="Times New Roman"/>
                <w:b/>
                <w:bCs/>
                <w:sz w:val="22"/>
              </w:rPr>
              <w:t>GO</w:t>
            </w:r>
            <w:r>
              <w:rPr>
                <w:rFonts w:hint="eastAsia" w:ascii="Times New Roman" w:hAnsi="Times New Roman" w:cs="Times New Roman"/>
                <w:b/>
                <w:bCs/>
                <w:sz w:val="22"/>
              </w:rPr>
              <w:t xml:space="preserve"> (mg)</w:t>
            </w:r>
          </w:p>
        </w:tc>
        <w:tc>
          <w:tcPr>
            <w:tcW w:w="1405" w:type="dxa"/>
            <w:tcBorders>
              <w:top w:val="single" w:color="auto" w:sz="12" w:space="0"/>
              <w:bottom w:val="single" w:color="auto" w:sz="12" w:space="0"/>
            </w:tcBorders>
          </w:tcPr>
          <w:p w14:paraId="7037B461">
            <w:pPr>
              <w:jc w:val="center"/>
              <w:rPr>
                <w:rFonts w:ascii="Times New Roman" w:hAnsi="Times New Roman" w:cs="Times New Roman"/>
                <w:b w:val="0"/>
                <w:bCs w:val="0"/>
                <w:sz w:val="22"/>
              </w:rPr>
            </w:pPr>
            <w:r>
              <w:rPr>
                <w:rFonts w:ascii="Times New Roman" w:hAnsi="Times New Roman" w:cs="Times New Roman"/>
                <w:b/>
                <w:bCs/>
                <w:sz w:val="22"/>
              </w:rPr>
              <w:t>Incubation</w:t>
            </w:r>
            <w:r>
              <w:rPr>
                <w:rFonts w:hint="eastAsia" w:ascii="Times New Roman" w:hAnsi="Times New Roman" w:cs="Times New Roman"/>
                <w:b/>
                <w:bCs/>
                <w:sz w:val="22"/>
              </w:rPr>
              <w:t xml:space="preserve"> (</w:t>
            </w:r>
            <w:r>
              <w:rPr>
                <w:rFonts w:ascii="Times New Roman" w:hAnsi="Times New Roman" w:cs="Times New Roman"/>
                <w:b/>
                <w:bCs/>
                <w:sz w:val="22"/>
              </w:rPr>
              <w:t>h</w:t>
            </w:r>
            <w:r>
              <w:rPr>
                <w:rFonts w:hint="eastAsia" w:ascii="Times New Roman" w:hAnsi="Times New Roman" w:cs="Times New Roman"/>
                <w:b/>
                <w:bCs/>
                <w:sz w:val="22"/>
              </w:rPr>
              <w:t>)</w:t>
            </w:r>
          </w:p>
        </w:tc>
      </w:tr>
      <w:tr w14:paraId="6CF5E8B1">
        <w:tblPrEx>
          <w:tblCellMar>
            <w:top w:w="0" w:type="dxa"/>
            <w:left w:w="108" w:type="dxa"/>
            <w:bottom w:w="0" w:type="dxa"/>
            <w:right w:w="108" w:type="dxa"/>
          </w:tblCellMar>
        </w:tblPrEx>
        <w:trPr>
          <w:jc w:val="center"/>
        </w:trPr>
        <w:tc>
          <w:tcPr>
            <w:tcW w:w="1701" w:type="dxa"/>
            <w:tcBorders>
              <w:top w:val="single" w:color="auto" w:sz="12" w:space="0"/>
            </w:tcBorders>
          </w:tcPr>
          <w:p w14:paraId="0C4BEE54">
            <w:pPr>
              <w:jc w:val="center"/>
              <w:rPr>
                <w:rFonts w:ascii="Times New Roman" w:hAnsi="Times New Roman" w:cs="Times New Roman"/>
                <w:b w:val="0"/>
                <w:bCs w:val="0"/>
                <w:sz w:val="22"/>
              </w:rPr>
            </w:pPr>
            <w:r>
              <w:rPr>
                <w:rFonts w:hint="eastAsia" w:ascii="Times New Roman" w:hAnsi="Times New Roman" w:cs="Times New Roman"/>
                <w:b/>
                <w:bCs/>
                <w:sz w:val="22"/>
              </w:rPr>
              <w:t>1-0%-4h</w:t>
            </w:r>
          </w:p>
        </w:tc>
        <w:tc>
          <w:tcPr>
            <w:tcW w:w="1867" w:type="dxa"/>
            <w:tcBorders>
              <w:top w:val="single" w:color="auto" w:sz="12" w:space="0"/>
            </w:tcBorders>
          </w:tcPr>
          <w:p w14:paraId="4F864643">
            <w:pPr>
              <w:jc w:val="center"/>
              <w:rPr>
                <w:rFonts w:ascii="Times New Roman" w:hAnsi="Times New Roman" w:cs="Times New Roman"/>
                <w:sz w:val="22"/>
              </w:rPr>
            </w:pPr>
            <w:r>
              <w:rPr>
                <w:rFonts w:hint="eastAsia" w:ascii="Times New Roman" w:hAnsi="Times New Roman" w:cs="Times New Roman"/>
                <w:sz w:val="22"/>
              </w:rPr>
              <w:t>0</w:t>
            </w:r>
          </w:p>
        </w:tc>
        <w:tc>
          <w:tcPr>
            <w:tcW w:w="1707" w:type="dxa"/>
            <w:tcBorders>
              <w:top w:val="single" w:color="auto" w:sz="12" w:space="0"/>
            </w:tcBorders>
          </w:tcPr>
          <w:p w14:paraId="48CE08B4">
            <w:pPr>
              <w:jc w:val="center"/>
              <w:rPr>
                <w:rFonts w:ascii="Times New Roman" w:hAnsi="Times New Roman" w:cs="Times New Roman"/>
                <w:sz w:val="22"/>
              </w:rPr>
            </w:pPr>
            <w:r>
              <w:rPr>
                <w:rFonts w:hint="eastAsia" w:ascii="Times New Roman" w:hAnsi="Times New Roman" w:cs="Times New Roman"/>
                <w:sz w:val="22"/>
              </w:rPr>
              <w:t>0</w:t>
            </w:r>
          </w:p>
        </w:tc>
        <w:tc>
          <w:tcPr>
            <w:tcW w:w="988" w:type="dxa"/>
            <w:tcBorders>
              <w:top w:val="single" w:color="auto" w:sz="12" w:space="0"/>
            </w:tcBorders>
          </w:tcPr>
          <w:p w14:paraId="68944ED9">
            <w:pPr>
              <w:jc w:val="center"/>
              <w:rPr>
                <w:rFonts w:ascii="Times New Roman" w:hAnsi="Times New Roman" w:cs="Times New Roman"/>
                <w:sz w:val="22"/>
              </w:rPr>
            </w:pPr>
            <w:r>
              <w:rPr>
                <w:rFonts w:hint="eastAsia" w:ascii="Times New Roman" w:hAnsi="Times New Roman" w:cs="Times New Roman"/>
                <w:sz w:val="22"/>
              </w:rPr>
              <w:t>0</w:t>
            </w:r>
          </w:p>
        </w:tc>
        <w:tc>
          <w:tcPr>
            <w:tcW w:w="854" w:type="dxa"/>
            <w:tcBorders>
              <w:top w:val="single" w:color="auto" w:sz="12" w:space="0"/>
            </w:tcBorders>
          </w:tcPr>
          <w:p w14:paraId="1EF88B54">
            <w:pPr>
              <w:jc w:val="center"/>
              <w:rPr>
                <w:rFonts w:ascii="Times New Roman" w:hAnsi="Times New Roman" w:cs="Times New Roman"/>
                <w:sz w:val="22"/>
              </w:rPr>
            </w:pPr>
            <w:r>
              <w:rPr>
                <w:rFonts w:hint="eastAsia" w:ascii="Times New Roman" w:hAnsi="Times New Roman" w:cs="Times New Roman"/>
                <w:sz w:val="22"/>
              </w:rPr>
              <w:t>25</w:t>
            </w:r>
          </w:p>
        </w:tc>
        <w:tc>
          <w:tcPr>
            <w:tcW w:w="1405" w:type="dxa"/>
            <w:tcBorders>
              <w:top w:val="single" w:color="auto" w:sz="12" w:space="0"/>
            </w:tcBorders>
          </w:tcPr>
          <w:p w14:paraId="4EE99611">
            <w:pPr>
              <w:jc w:val="center"/>
              <w:rPr>
                <w:rFonts w:ascii="Times New Roman" w:hAnsi="Times New Roman" w:cs="Times New Roman"/>
                <w:sz w:val="22"/>
              </w:rPr>
            </w:pPr>
            <w:r>
              <w:rPr>
                <w:rFonts w:hint="eastAsia" w:ascii="Times New Roman" w:hAnsi="Times New Roman" w:cs="Times New Roman"/>
                <w:sz w:val="22"/>
              </w:rPr>
              <w:t>4</w:t>
            </w:r>
          </w:p>
        </w:tc>
      </w:tr>
      <w:tr w14:paraId="1D338A8C">
        <w:tblPrEx>
          <w:tblCellMar>
            <w:top w:w="0" w:type="dxa"/>
            <w:left w:w="108" w:type="dxa"/>
            <w:bottom w:w="0" w:type="dxa"/>
            <w:right w:w="108" w:type="dxa"/>
          </w:tblCellMar>
        </w:tblPrEx>
        <w:trPr>
          <w:jc w:val="center"/>
        </w:trPr>
        <w:tc>
          <w:tcPr>
            <w:tcW w:w="1701" w:type="dxa"/>
          </w:tcPr>
          <w:p w14:paraId="2B37EF82">
            <w:pPr>
              <w:jc w:val="center"/>
              <w:rPr>
                <w:rFonts w:ascii="Times New Roman" w:hAnsi="Times New Roman" w:cs="Times New Roman"/>
                <w:b w:val="0"/>
                <w:bCs w:val="0"/>
                <w:sz w:val="22"/>
              </w:rPr>
            </w:pPr>
            <w:r>
              <w:rPr>
                <w:rFonts w:hint="eastAsia" w:ascii="Times New Roman" w:hAnsi="Times New Roman" w:cs="Times New Roman"/>
                <w:b/>
                <w:bCs/>
                <w:sz w:val="22"/>
              </w:rPr>
              <w:t>1-8%-4h</w:t>
            </w:r>
          </w:p>
        </w:tc>
        <w:tc>
          <w:tcPr>
            <w:tcW w:w="1867" w:type="dxa"/>
          </w:tcPr>
          <w:p w14:paraId="53E22A9C">
            <w:pPr>
              <w:jc w:val="center"/>
              <w:rPr>
                <w:rFonts w:ascii="Times New Roman" w:hAnsi="Times New Roman" w:cs="Times New Roman"/>
                <w:sz w:val="22"/>
              </w:rPr>
            </w:pPr>
            <w:r>
              <w:rPr>
                <w:rFonts w:hint="eastAsia" w:ascii="Times New Roman" w:hAnsi="Times New Roman" w:cs="Times New Roman"/>
                <w:sz w:val="22"/>
              </w:rPr>
              <w:t>8</w:t>
            </w:r>
          </w:p>
        </w:tc>
        <w:tc>
          <w:tcPr>
            <w:tcW w:w="1707" w:type="dxa"/>
          </w:tcPr>
          <w:p w14:paraId="56CD3BA3">
            <w:pPr>
              <w:jc w:val="center"/>
              <w:rPr>
                <w:rFonts w:ascii="Times New Roman" w:hAnsi="Times New Roman" w:cs="Times New Roman"/>
                <w:sz w:val="22"/>
              </w:rPr>
            </w:pPr>
            <w:r>
              <w:rPr>
                <w:rFonts w:hint="eastAsia" w:ascii="Times New Roman" w:hAnsi="Times New Roman" w:cs="Times New Roman"/>
                <w:sz w:val="22"/>
              </w:rPr>
              <w:t>2</w:t>
            </w:r>
          </w:p>
        </w:tc>
        <w:tc>
          <w:tcPr>
            <w:tcW w:w="988" w:type="dxa"/>
          </w:tcPr>
          <w:p w14:paraId="16458C93">
            <w:pPr>
              <w:jc w:val="center"/>
              <w:rPr>
                <w:rFonts w:ascii="Times New Roman" w:hAnsi="Times New Roman" w:cs="Times New Roman"/>
                <w:sz w:val="22"/>
              </w:rPr>
            </w:pPr>
            <w:r>
              <w:rPr>
                <w:rFonts w:hint="eastAsia" w:ascii="Times New Roman" w:hAnsi="Times New Roman" w:cs="Times New Roman"/>
                <w:sz w:val="22"/>
              </w:rPr>
              <w:t>3</w:t>
            </w:r>
          </w:p>
        </w:tc>
        <w:tc>
          <w:tcPr>
            <w:tcW w:w="854" w:type="dxa"/>
          </w:tcPr>
          <w:p w14:paraId="1E8C44E9">
            <w:pPr>
              <w:jc w:val="center"/>
              <w:rPr>
                <w:rFonts w:ascii="Times New Roman" w:hAnsi="Times New Roman" w:cs="Times New Roman"/>
                <w:sz w:val="22"/>
              </w:rPr>
            </w:pPr>
            <w:r>
              <w:rPr>
                <w:rFonts w:hint="eastAsia" w:ascii="Times New Roman" w:hAnsi="Times New Roman" w:cs="Times New Roman"/>
                <w:sz w:val="22"/>
              </w:rPr>
              <w:t>25</w:t>
            </w:r>
          </w:p>
        </w:tc>
        <w:tc>
          <w:tcPr>
            <w:tcW w:w="1405" w:type="dxa"/>
          </w:tcPr>
          <w:p w14:paraId="0CDFED62">
            <w:pPr>
              <w:jc w:val="center"/>
              <w:rPr>
                <w:rFonts w:ascii="Times New Roman" w:hAnsi="Times New Roman" w:cs="Times New Roman"/>
                <w:sz w:val="22"/>
              </w:rPr>
            </w:pPr>
            <w:r>
              <w:rPr>
                <w:rFonts w:hint="eastAsia" w:ascii="Times New Roman" w:hAnsi="Times New Roman" w:cs="Times New Roman"/>
                <w:sz w:val="22"/>
              </w:rPr>
              <w:t>4</w:t>
            </w:r>
          </w:p>
        </w:tc>
      </w:tr>
      <w:tr w14:paraId="092B2CDD">
        <w:tblPrEx>
          <w:tblCellMar>
            <w:top w:w="0" w:type="dxa"/>
            <w:left w:w="108" w:type="dxa"/>
            <w:bottom w:w="0" w:type="dxa"/>
            <w:right w:w="108" w:type="dxa"/>
          </w:tblCellMar>
        </w:tblPrEx>
        <w:trPr>
          <w:jc w:val="center"/>
        </w:trPr>
        <w:tc>
          <w:tcPr>
            <w:tcW w:w="1701" w:type="dxa"/>
          </w:tcPr>
          <w:p w14:paraId="2D0F8D10">
            <w:pPr>
              <w:jc w:val="center"/>
              <w:rPr>
                <w:rFonts w:ascii="Times New Roman" w:hAnsi="Times New Roman" w:cs="Times New Roman"/>
                <w:b w:val="0"/>
                <w:bCs w:val="0"/>
                <w:sz w:val="22"/>
              </w:rPr>
            </w:pPr>
            <w:r>
              <w:rPr>
                <w:rFonts w:hint="eastAsia" w:ascii="Times New Roman" w:hAnsi="Times New Roman" w:cs="Times New Roman"/>
                <w:b/>
                <w:bCs/>
                <w:sz w:val="22"/>
              </w:rPr>
              <w:t>1-16%-4h</w:t>
            </w:r>
          </w:p>
        </w:tc>
        <w:tc>
          <w:tcPr>
            <w:tcW w:w="1867" w:type="dxa"/>
          </w:tcPr>
          <w:p w14:paraId="0A758642">
            <w:pPr>
              <w:jc w:val="center"/>
              <w:rPr>
                <w:rFonts w:ascii="Times New Roman" w:hAnsi="Times New Roman" w:cs="Times New Roman"/>
                <w:sz w:val="22"/>
              </w:rPr>
            </w:pPr>
            <w:r>
              <w:rPr>
                <w:rFonts w:hint="eastAsia" w:ascii="Times New Roman" w:hAnsi="Times New Roman" w:cs="Times New Roman"/>
                <w:sz w:val="22"/>
              </w:rPr>
              <w:t>16</w:t>
            </w:r>
          </w:p>
        </w:tc>
        <w:tc>
          <w:tcPr>
            <w:tcW w:w="1707" w:type="dxa"/>
          </w:tcPr>
          <w:p w14:paraId="0FF714CD">
            <w:pPr>
              <w:jc w:val="center"/>
              <w:rPr>
                <w:rFonts w:ascii="Times New Roman" w:hAnsi="Times New Roman" w:cs="Times New Roman"/>
                <w:sz w:val="22"/>
              </w:rPr>
            </w:pPr>
            <w:r>
              <w:rPr>
                <w:rFonts w:hint="eastAsia" w:ascii="Times New Roman" w:hAnsi="Times New Roman" w:cs="Times New Roman"/>
                <w:sz w:val="22"/>
              </w:rPr>
              <w:t>4</w:t>
            </w:r>
          </w:p>
        </w:tc>
        <w:tc>
          <w:tcPr>
            <w:tcW w:w="988" w:type="dxa"/>
          </w:tcPr>
          <w:p w14:paraId="215A59B3">
            <w:pPr>
              <w:jc w:val="center"/>
              <w:rPr>
                <w:rFonts w:ascii="Times New Roman" w:hAnsi="Times New Roman" w:cs="Times New Roman"/>
                <w:sz w:val="22"/>
              </w:rPr>
            </w:pPr>
            <w:r>
              <w:rPr>
                <w:rFonts w:hint="eastAsia" w:ascii="Times New Roman" w:hAnsi="Times New Roman" w:cs="Times New Roman"/>
                <w:sz w:val="22"/>
              </w:rPr>
              <w:t>6</w:t>
            </w:r>
          </w:p>
        </w:tc>
        <w:tc>
          <w:tcPr>
            <w:tcW w:w="854" w:type="dxa"/>
          </w:tcPr>
          <w:p w14:paraId="7D5D646F">
            <w:pPr>
              <w:jc w:val="center"/>
              <w:rPr>
                <w:rFonts w:ascii="Times New Roman" w:hAnsi="Times New Roman" w:cs="Times New Roman"/>
                <w:sz w:val="22"/>
              </w:rPr>
            </w:pPr>
            <w:r>
              <w:rPr>
                <w:rFonts w:hint="eastAsia" w:ascii="Times New Roman" w:hAnsi="Times New Roman" w:cs="Times New Roman"/>
                <w:sz w:val="22"/>
              </w:rPr>
              <w:t>25</w:t>
            </w:r>
          </w:p>
        </w:tc>
        <w:tc>
          <w:tcPr>
            <w:tcW w:w="1405" w:type="dxa"/>
          </w:tcPr>
          <w:p w14:paraId="368B72E4">
            <w:pPr>
              <w:jc w:val="center"/>
              <w:rPr>
                <w:rFonts w:ascii="Times New Roman" w:hAnsi="Times New Roman" w:cs="Times New Roman"/>
                <w:sz w:val="22"/>
              </w:rPr>
            </w:pPr>
            <w:r>
              <w:rPr>
                <w:rFonts w:hint="eastAsia" w:ascii="Times New Roman" w:hAnsi="Times New Roman" w:cs="Times New Roman"/>
                <w:sz w:val="22"/>
              </w:rPr>
              <w:t>4</w:t>
            </w:r>
          </w:p>
        </w:tc>
      </w:tr>
      <w:tr w14:paraId="2E39769B">
        <w:tblPrEx>
          <w:tblCellMar>
            <w:top w:w="0" w:type="dxa"/>
            <w:left w:w="108" w:type="dxa"/>
            <w:bottom w:w="0" w:type="dxa"/>
            <w:right w:w="108" w:type="dxa"/>
          </w:tblCellMar>
        </w:tblPrEx>
        <w:trPr>
          <w:jc w:val="center"/>
        </w:trPr>
        <w:tc>
          <w:tcPr>
            <w:tcW w:w="1701" w:type="dxa"/>
          </w:tcPr>
          <w:p w14:paraId="13C4FADE">
            <w:pPr>
              <w:jc w:val="center"/>
              <w:rPr>
                <w:rFonts w:ascii="Times New Roman" w:hAnsi="Times New Roman" w:cs="Times New Roman"/>
                <w:b w:val="0"/>
                <w:bCs w:val="0"/>
                <w:sz w:val="22"/>
              </w:rPr>
            </w:pPr>
            <w:r>
              <w:rPr>
                <w:rFonts w:hint="eastAsia" w:ascii="Times New Roman" w:hAnsi="Times New Roman" w:cs="Times New Roman"/>
                <w:b/>
                <w:bCs/>
                <w:sz w:val="22"/>
              </w:rPr>
              <w:t>1-32%-4h</w:t>
            </w:r>
          </w:p>
        </w:tc>
        <w:tc>
          <w:tcPr>
            <w:tcW w:w="1867" w:type="dxa"/>
          </w:tcPr>
          <w:p w14:paraId="7FE3EE6D">
            <w:pPr>
              <w:jc w:val="center"/>
              <w:rPr>
                <w:rFonts w:ascii="Times New Roman" w:hAnsi="Times New Roman" w:cs="Times New Roman"/>
                <w:sz w:val="22"/>
              </w:rPr>
            </w:pPr>
            <w:r>
              <w:rPr>
                <w:rFonts w:hint="eastAsia" w:ascii="Times New Roman" w:hAnsi="Times New Roman" w:cs="Times New Roman"/>
                <w:sz w:val="22"/>
              </w:rPr>
              <w:t>32</w:t>
            </w:r>
          </w:p>
        </w:tc>
        <w:tc>
          <w:tcPr>
            <w:tcW w:w="1707" w:type="dxa"/>
          </w:tcPr>
          <w:p w14:paraId="4ADCEFCD">
            <w:pPr>
              <w:jc w:val="center"/>
              <w:rPr>
                <w:rFonts w:ascii="Times New Roman" w:hAnsi="Times New Roman" w:cs="Times New Roman"/>
                <w:sz w:val="22"/>
              </w:rPr>
            </w:pPr>
            <w:r>
              <w:rPr>
                <w:rFonts w:hint="eastAsia" w:ascii="Times New Roman" w:hAnsi="Times New Roman" w:cs="Times New Roman"/>
                <w:sz w:val="22"/>
              </w:rPr>
              <w:t>8</w:t>
            </w:r>
          </w:p>
        </w:tc>
        <w:tc>
          <w:tcPr>
            <w:tcW w:w="988" w:type="dxa"/>
          </w:tcPr>
          <w:p w14:paraId="471BD2C8">
            <w:pPr>
              <w:jc w:val="center"/>
              <w:rPr>
                <w:rFonts w:ascii="Times New Roman" w:hAnsi="Times New Roman" w:cs="Times New Roman"/>
                <w:sz w:val="22"/>
              </w:rPr>
            </w:pPr>
            <w:r>
              <w:rPr>
                <w:rFonts w:hint="eastAsia" w:ascii="Times New Roman" w:hAnsi="Times New Roman" w:cs="Times New Roman"/>
                <w:sz w:val="22"/>
              </w:rPr>
              <w:t>12</w:t>
            </w:r>
          </w:p>
        </w:tc>
        <w:tc>
          <w:tcPr>
            <w:tcW w:w="854" w:type="dxa"/>
          </w:tcPr>
          <w:p w14:paraId="2987CD06">
            <w:pPr>
              <w:jc w:val="center"/>
              <w:rPr>
                <w:rFonts w:ascii="Times New Roman" w:hAnsi="Times New Roman" w:cs="Times New Roman"/>
                <w:sz w:val="22"/>
              </w:rPr>
            </w:pPr>
            <w:r>
              <w:rPr>
                <w:rFonts w:hint="eastAsia" w:ascii="Times New Roman" w:hAnsi="Times New Roman" w:cs="Times New Roman"/>
                <w:sz w:val="22"/>
              </w:rPr>
              <w:t>25</w:t>
            </w:r>
          </w:p>
        </w:tc>
        <w:tc>
          <w:tcPr>
            <w:tcW w:w="1405" w:type="dxa"/>
          </w:tcPr>
          <w:p w14:paraId="1806EF65">
            <w:pPr>
              <w:jc w:val="center"/>
              <w:rPr>
                <w:rFonts w:ascii="Times New Roman" w:hAnsi="Times New Roman" w:cs="Times New Roman"/>
                <w:sz w:val="22"/>
              </w:rPr>
            </w:pPr>
            <w:r>
              <w:rPr>
                <w:rFonts w:hint="eastAsia" w:ascii="Times New Roman" w:hAnsi="Times New Roman" w:cs="Times New Roman"/>
                <w:sz w:val="22"/>
              </w:rPr>
              <w:t>4</w:t>
            </w:r>
          </w:p>
        </w:tc>
      </w:tr>
      <w:tr w14:paraId="0D22FD80">
        <w:tblPrEx>
          <w:tblCellMar>
            <w:top w:w="0" w:type="dxa"/>
            <w:left w:w="108" w:type="dxa"/>
            <w:bottom w:w="0" w:type="dxa"/>
            <w:right w:w="108" w:type="dxa"/>
          </w:tblCellMar>
        </w:tblPrEx>
        <w:trPr>
          <w:jc w:val="center"/>
        </w:trPr>
        <w:tc>
          <w:tcPr>
            <w:tcW w:w="1701" w:type="dxa"/>
            <w:tcBorders>
              <w:bottom w:val="single" w:color="auto" w:sz="12" w:space="0"/>
            </w:tcBorders>
          </w:tcPr>
          <w:p w14:paraId="7E8A6CDB">
            <w:pPr>
              <w:jc w:val="center"/>
              <w:rPr>
                <w:rFonts w:ascii="Times New Roman" w:hAnsi="Times New Roman" w:cs="Times New Roman"/>
                <w:b w:val="0"/>
                <w:bCs w:val="0"/>
                <w:sz w:val="22"/>
              </w:rPr>
            </w:pPr>
            <w:r>
              <w:rPr>
                <w:rFonts w:hint="eastAsia" w:ascii="Times New Roman" w:hAnsi="Times New Roman" w:cs="Times New Roman"/>
                <w:b/>
                <w:bCs/>
                <w:sz w:val="22"/>
              </w:rPr>
              <w:t>1-48%-4h</w:t>
            </w:r>
          </w:p>
        </w:tc>
        <w:tc>
          <w:tcPr>
            <w:tcW w:w="1867" w:type="dxa"/>
            <w:tcBorders>
              <w:bottom w:val="single" w:color="auto" w:sz="12" w:space="0"/>
            </w:tcBorders>
          </w:tcPr>
          <w:p w14:paraId="58468AAB">
            <w:pPr>
              <w:jc w:val="center"/>
              <w:rPr>
                <w:rFonts w:ascii="Times New Roman" w:hAnsi="Times New Roman" w:cs="Times New Roman"/>
                <w:sz w:val="22"/>
              </w:rPr>
            </w:pPr>
            <w:r>
              <w:rPr>
                <w:rFonts w:hint="eastAsia" w:ascii="Times New Roman" w:hAnsi="Times New Roman" w:cs="Times New Roman"/>
                <w:sz w:val="22"/>
              </w:rPr>
              <w:t>48</w:t>
            </w:r>
          </w:p>
        </w:tc>
        <w:tc>
          <w:tcPr>
            <w:tcW w:w="1707" w:type="dxa"/>
            <w:tcBorders>
              <w:bottom w:val="single" w:color="auto" w:sz="12" w:space="0"/>
            </w:tcBorders>
          </w:tcPr>
          <w:p w14:paraId="0002B73D">
            <w:pPr>
              <w:jc w:val="center"/>
              <w:rPr>
                <w:rFonts w:ascii="Times New Roman" w:hAnsi="Times New Roman" w:cs="Times New Roman"/>
                <w:sz w:val="22"/>
              </w:rPr>
            </w:pPr>
            <w:r>
              <w:rPr>
                <w:rFonts w:hint="eastAsia" w:ascii="Times New Roman" w:hAnsi="Times New Roman" w:cs="Times New Roman"/>
                <w:sz w:val="22"/>
              </w:rPr>
              <w:t>12</w:t>
            </w:r>
          </w:p>
        </w:tc>
        <w:tc>
          <w:tcPr>
            <w:tcW w:w="988" w:type="dxa"/>
            <w:tcBorders>
              <w:bottom w:val="single" w:color="auto" w:sz="12" w:space="0"/>
            </w:tcBorders>
          </w:tcPr>
          <w:p w14:paraId="166F8E39">
            <w:pPr>
              <w:jc w:val="center"/>
              <w:rPr>
                <w:rFonts w:ascii="Times New Roman" w:hAnsi="Times New Roman" w:cs="Times New Roman"/>
                <w:sz w:val="22"/>
              </w:rPr>
            </w:pPr>
            <w:r>
              <w:rPr>
                <w:rFonts w:hint="eastAsia" w:ascii="Times New Roman" w:hAnsi="Times New Roman" w:cs="Times New Roman"/>
                <w:sz w:val="22"/>
              </w:rPr>
              <w:t>18</w:t>
            </w:r>
          </w:p>
        </w:tc>
        <w:tc>
          <w:tcPr>
            <w:tcW w:w="854" w:type="dxa"/>
            <w:tcBorders>
              <w:bottom w:val="single" w:color="auto" w:sz="12" w:space="0"/>
            </w:tcBorders>
          </w:tcPr>
          <w:p w14:paraId="661218CC">
            <w:pPr>
              <w:jc w:val="center"/>
              <w:rPr>
                <w:rFonts w:ascii="Times New Roman" w:hAnsi="Times New Roman" w:cs="Times New Roman"/>
                <w:sz w:val="22"/>
              </w:rPr>
            </w:pPr>
            <w:r>
              <w:rPr>
                <w:rFonts w:hint="eastAsia" w:ascii="Times New Roman" w:hAnsi="Times New Roman" w:cs="Times New Roman"/>
                <w:sz w:val="22"/>
              </w:rPr>
              <w:t>25</w:t>
            </w:r>
          </w:p>
        </w:tc>
        <w:tc>
          <w:tcPr>
            <w:tcW w:w="1405" w:type="dxa"/>
            <w:tcBorders>
              <w:bottom w:val="single" w:color="auto" w:sz="12" w:space="0"/>
            </w:tcBorders>
          </w:tcPr>
          <w:p w14:paraId="7A7EC95A">
            <w:pPr>
              <w:jc w:val="center"/>
              <w:rPr>
                <w:rFonts w:ascii="Times New Roman" w:hAnsi="Times New Roman" w:cs="Times New Roman"/>
                <w:sz w:val="22"/>
              </w:rPr>
            </w:pPr>
            <w:r>
              <w:rPr>
                <w:rFonts w:hint="eastAsia" w:ascii="Times New Roman" w:hAnsi="Times New Roman" w:cs="Times New Roman"/>
                <w:sz w:val="22"/>
              </w:rPr>
              <w:t>4</w:t>
            </w:r>
          </w:p>
        </w:tc>
      </w:tr>
      <w:bookmarkEnd w:id="6"/>
      <w:tr w14:paraId="04D3B4F8">
        <w:tblPrEx>
          <w:tblCellMar>
            <w:top w:w="0" w:type="dxa"/>
            <w:left w:w="108" w:type="dxa"/>
            <w:bottom w:w="0" w:type="dxa"/>
            <w:right w:w="108" w:type="dxa"/>
          </w:tblCellMar>
        </w:tblPrEx>
        <w:trPr>
          <w:jc w:val="center"/>
        </w:trPr>
        <w:tc>
          <w:tcPr>
            <w:tcW w:w="1701" w:type="dxa"/>
            <w:tcBorders>
              <w:top w:val="single" w:color="auto" w:sz="12" w:space="0"/>
              <w:bottom w:val="single" w:color="auto" w:sz="12" w:space="0"/>
            </w:tcBorders>
          </w:tcPr>
          <w:p w14:paraId="098CA113">
            <w:pPr>
              <w:jc w:val="center"/>
              <w:rPr>
                <w:rFonts w:ascii="Times New Roman" w:hAnsi="Times New Roman" w:cs="Times New Roman"/>
                <w:b w:val="0"/>
                <w:bCs w:val="0"/>
                <w:sz w:val="22"/>
              </w:rPr>
            </w:pPr>
          </w:p>
        </w:tc>
        <w:tc>
          <w:tcPr>
            <w:tcW w:w="1867" w:type="dxa"/>
            <w:tcBorders>
              <w:top w:val="single" w:color="auto" w:sz="12" w:space="0"/>
              <w:bottom w:val="single" w:color="auto" w:sz="12" w:space="0"/>
            </w:tcBorders>
          </w:tcPr>
          <w:p w14:paraId="31765013">
            <w:pPr>
              <w:jc w:val="center"/>
              <w:rPr>
                <w:rFonts w:ascii="Times New Roman" w:hAnsi="Times New Roman" w:cs="Times New Roman"/>
                <w:sz w:val="22"/>
              </w:rPr>
            </w:pPr>
          </w:p>
        </w:tc>
        <w:tc>
          <w:tcPr>
            <w:tcW w:w="1707" w:type="dxa"/>
            <w:tcBorders>
              <w:top w:val="single" w:color="auto" w:sz="12" w:space="0"/>
              <w:bottom w:val="single" w:color="auto" w:sz="12" w:space="0"/>
            </w:tcBorders>
          </w:tcPr>
          <w:p w14:paraId="3A73ECF7">
            <w:pPr>
              <w:jc w:val="center"/>
              <w:rPr>
                <w:rFonts w:ascii="Times New Roman" w:hAnsi="Times New Roman" w:cs="Times New Roman"/>
                <w:sz w:val="22"/>
              </w:rPr>
            </w:pPr>
          </w:p>
        </w:tc>
        <w:tc>
          <w:tcPr>
            <w:tcW w:w="988" w:type="dxa"/>
            <w:tcBorders>
              <w:top w:val="single" w:color="auto" w:sz="12" w:space="0"/>
              <w:bottom w:val="single" w:color="auto" w:sz="12" w:space="0"/>
            </w:tcBorders>
          </w:tcPr>
          <w:p w14:paraId="36CF5C91">
            <w:pPr>
              <w:jc w:val="center"/>
              <w:rPr>
                <w:rFonts w:ascii="Times New Roman" w:hAnsi="Times New Roman" w:cs="Times New Roman"/>
                <w:sz w:val="22"/>
              </w:rPr>
            </w:pPr>
          </w:p>
        </w:tc>
        <w:tc>
          <w:tcPr>
            <w:tcW w:w="854" w:type="dxa"/>
            <w:tcBorders>
              <w:top w:val="single" w:color="auto" w:sz="12" w:space="0"/>
              <w:bottom w:val="single" w:color="auto" w:sz="12" w:space="0"/>
            </w:tcBorders>
          </w:tcPr>
          <w:p w14:paraId="0977D2C5">
            <w:pPr>
              <w:jc w:val="center"/>
              <w:rPr>
                <w:rFonts w:ascii="Times New Roman" w:hAnsi="Times New Roman" w:cs="Times New Roman"/>
                <w:sz w:val="22"/>
              </w:rPr>
            </w:pPr>
          </w:p>
        </w:tc>
        <w:tc>
          <w:tcPr>
            <w:tcW w:w="1405" w:type="dxa"/>
            <w:tcBorders>
              <w:top w:val="single" w:color="auto" w:sz="12" w:space="0"/>
              <w:bottom w:val="single" w:color="auto" w:sz="12" w:space="0"/>
            </w:tcBorders>
          </w:tcPr>
          <w:p w14:paraId="1FF8583F">
            <w:pPr>
              <w:jc w:val="center"/>
              <w:rPr>
                <w:rFonts w:ascii="Times New Roman" w:hAnsi="Times New Roman" w:cs="Times New Roman"/>
                <w:sz w:val="22"/>
              </w:rPr>
            </w:pPr>
          </w:p>
        </w:tc>
      </w:tr>
      <w:tr w14:paraId="1786F777">
        <w:tblPrEx>
          <w:tblCellMar>
            <w:top w:w="0" w:type="dxa"/>
            <w:left w:w="108" w:type="dxa"/>
            <w:bottom w:w="0" w:type="dxa"/>
            <w:right w:w="108" w:type="dxa"/>
          </w:tblCellMar>
        </w:tblPrEx>
        <w:trPr>
          <w:jc w:val="center"/>
        </w:trPr>
        <w:tc>
          <w:tcPr>
            <w:tcW w:w="1701" w:type="dxa"/>
            <w:tcBorders>
              <w:top w:val="single" w:color="auto" w:sz="12" w:space="0"/>
              <w:bottom w:val="single" w:color="auto" w:sz="12" w:space="0"/>
            </w:tcBorders>
          </w:tcPr>
          <w:p w14:paraId="3121B984">
            <w:pPr>
              <w:jc w:val="center"/>
              <w:rPr>
                <w:rFonts w:ascii="Times New Roman" w:hAnsi="Times New Roman" w:cs="Times New Roman"/>
                <w:b w:val="0"/>
                <w:bCs w:val="0"/>
                <w:sz w:val="22"/>
              </w:rPr>
            </w:pPr>
            <w:r>
              <w:rPr>
                <w:rFonts w:ascii="Times New Roman" w:hAnsi="Times New Roman" w:cs="Times New Roman"/>
                <w:b/>
                <w:bCs/>
                <w:sz w:val="22"/>
              </w:rPr>
              <w:t>Sample</w:t>
            </w:r>
          </w:p>
        </w:tc>
        <w:tc>
          <w:tcPr>
            <w:tcW w:w="1867" w:type="dxa"/>
            <w:tcBorders>
              <w:top w:val="single" w:color="auto" w:sz="12" w:space="0"/>
              <w:bottom w:val="single" w:color="auto" w:sz="12" w:space="0"/>
            </w:tcBorders>
          </w:tcPr>
          <w:p w14:paraId="37ABC9B2">
            <w:pPr>
              <w:jc w:val="center"/>
              <w:rPr>
                <w:rFonts w:ascii="Times New Roman" w:hAnsi="Times New Roman" w:cs="Times New Roman"/>
                <w:b/>
                <w:bCs/>
                <w:sz w:val="22"/>
              </w:rPr>
            </w:pPr>
            <w:r>
              <w:rPr>
                <w:rFonts w:hint="eastAsia" w:ascii="Times New Roman" w:hAnsi="Times New Roman" w:cs="Times New Roman"/>
                <w:b/>
                <w:bCs/>
                <w:sz w:val="22"/>
              </w:rPr>
              <w:t>CM-SW</w:t>
            </w:r>
            <w:r>
              <w:rPr>
                <w:rFonts w:ascii="Times New Roman" w:hAnsi="Times New Roman" w:cs="Times New Roman"/>
                <w:b/>
                <w:bCs/>
                <w:sz w:val="22"/>
              </w:rPr>
              <w:t xml:space="preserve">CNT/GO </w:t>
            </w:r>
            <w:r>
              <w:rPr>
                <w:rFonts w:hint="eastAsia" w:ascii="Times New Roman" w:hAnsi="Times New Roman" w:cs="Times New Roman"/>
                <w:b/>
                <w:bCs/>
                <w:sz w:val="22"/>
              </w:rPr>
              <w:t>(%)</w:t>
            </w:r>
          </w:p>
        </w:tc>
        <w:tc>
          <w:tcPr>
            <w:tcW w:w="1707" w:type="dxa"/>
            <w:tcBorders>
              <w:top w:val="single" w:color="auto" w:sz="12" w:space="0"/>
              <w:bottom w:val="single" w:color="auto" w:sz="12" w:space="0"/>
            </w:tcBorders>
          </w:tcPr>
          <w:p w14:paraId="7F0BEBD8">
            <w:pPr>
              <w:jc w:val="center"/>
              <w:rPr>
                <w:rFonts w:ascii="Times New Roman" w:hAnsi="Times New Roman" w:cs="Times New Roman"/>
                <w:b/>
                <w:bCs/>
                <w:sz w:val="22"/>
              </w:rPr>
            </w:pPr>
            <w:r>
              <w:rPr>
                <w:rFonts w:hint="eastAsia" w:ascii="Times New Roman" w:hAnsi="Times New Roman" w:cs="Times New Roman"/>
                <w:b/>
                <w:bCs/>
                <w:sz w:val="22"/>
              </w:rPr>
              <w:t>CM-</w:t>
            </w:r>
            <w:r>
              <w:rPr>
                <w:rFonts w:ascii="Times New Roman" w:hAnsi="Times New Roman" w:cs="Times New Roman"/>
                <w:b/>
                <w:bCs/>
                <w:sz w:val="22"/>
              </w:rPr>
              <w:t>SWCNT</w:t>
            </w:r>
            <w:r>
              <w:rPr>
                <w:rFonts w:hint="eastAsia" w:ascii="Times New Roman" w:hAnsi="Times New Roman" w:cs="Times New Roman"/>
                <w:b/>
                <w:bCs/>
                <w:sz w:val="22"/>
              </w:rPr>
              <w:t xml:space="preserve"> (mg)</w:t>
            </w:r>
          </w:p>
        </w:tc>
        <w:tc>
          <w:tcPr>
            <w:tcW w:w="988" w:type="dxa"/>
            <w:tcBorders>
              <w:top w:val="single" w:color="auto" w:sz="12" w:space="0"/>
              <w:bottom w:val="single" w:color="auto" w:sz="12" w:space="0"/>
            </w:tcBorders>
          </w:tcPr>
          <w:p w14:paraId="77C681C9">
            <w:pPr>
              <w:jc w:val="center"/>
              <w:rPr>
                <w:rFonts w:ascii="Times New Roman" w:hAnsi="Times New Roman" w:cs="Times New Roman"/>
                <w:b/>
                <w:bCs/>
                <w:sz w:val="22"/>
              </w:rPr>
            </w:pPr>
            <w:r>
              <w:rPr>
                <w:rFonts w:ascii="Times New Roman" w:hAnsi="Times New Roman" w:cs="Times New Roman"/>
                <w:b/>
                <w:bCs/>
                <w:sz w:val="22"/>
              </w:rPr>
              <w:t>CMC</w:t>
            </w:r>
            <w:r>
              <w:rPr>
                <w:rFonts w:hint="eastAsia" w:ascii="Times New Roman" w:hAnsi="Times New Roman" w:cs="Times New Roman"/>
                <w:b/>
                <w:bCs/>
                <w:sz w:val="22"/>
              </w:rPr>
              <w:t xml:space="preserve"> (mg)</w:t>
            </w:r>
          </w:p>
        </w:tc>
        <w:tc>
          <w:tcPr>
            <w:tcW w:w="854" w:type="dxa"/>
            <w:tcBorders>
              <w:top w:val="single" w:color="auto" w:sz="12" w:space="0"/>
              <w:bottom w:val="single" w:color="auto" w:sz="12" w:space="0"/>
            </w:tcBorders>
          </w:tcPr>
          <w:p w14:paraId="357EE39C">
            <w:pPr>
              <w:jc w:val="center"/>
              <w:rPr>
                <w:rFonts w:ascii="Times New Roman" w:hAnsi="Times New Roman" w:cs="Times New Roman"/>
                <w:b/>
                <w:bCs/>
                <w:sz w:val="22"/>
              </w:rPr>
            </w:pPr>
            <w:r>
              <w:rPr>
                <w:rFonts w:ascii="Times New Roman" w:hAnsi="Times New Roman" w:cs="Times New Roman"/>
                <w:b/>
                <w:bCs/>
                <w:sz w:val="22"/>
              </w:rPr>
              <w:t>GO</w:t>
            </w:r>
            <w:r>
              <w:rPr>
                <w:rFonts w:hint="eastAsia" w:ascii="Times New Roman" w:hAnsi="Times New Roman" w:cs="Times New Roman"/>
                <w:b/>
                <w:bCs/>
                <w:sz w:val="22"/>
              </w:rPr>
              <w:t xml:space="preserve"> (mg)</w:t>
            </w:r>
          </w:p>
        </w:tc>
        <w:tc>
          <w:tcPr>
            <w:tcW w:w="1405" w:type="dxa"/>
            <w:tcBorders>
              <w:top w:val="single" w:color="auto" w:sz="12" w:space="0"/>
              <w:bottom w:val="single" w:color="auto" w:sz="12" w:space="0"/>
            </w:tcBorders>
          </w:tcPr>
          <w:p w14:paraId="400D9EFD">
            <w:pPr>
              <w:jc w:val="center"/>
              <w:rPr>
                <w:rFonts w:ascii="Times New Roman" w:hAnsi="Times New Roman" w:cs="Times New Roman"/>
                <w:b/>
                <w:bCs/>
                <w:sz w:val="22"/>
              </w:rPr>
            </w:pPr>
            <w:r>
              <w:rPr>
                <w:rFonts w:ascii="Times New Roman" w:hAnsi="Times New Roman" w:cs="Times New Roman"/>
                <w:b/>
                <w:bCs/>
                <w:sz w:val="22"/>
              </w:rPr>
              <w:t>Incubation</w:t>
            </w:r>
            <w:r>
              <w:rPr>
                <w:rFonts w:hint="eastAsia" w:ascii="Times New Roman" w:hAnsi="Times New Roman" w:cs="Times New Roman"/>
                <w:b/>
                <w:bCs/>
                <w:sz w:val="22"/>
              </w:rPr>
              <w:t xml:space="preserve"> (</w:t>
            </w:r>
            <w:r>
              <w:rPr>
                <w:rFonts w:ascii="Times New Roman" w:hAnsi="Times New Roman" w:cs="Times New Roman"/>
                <w:b/>
                <w:bCs/>
                <w:sz w:val="22"/>
              </w:rPr>
              <w:t>h</w:t>
            </w:r>
            <w:r>
              <w:rPr>
                <w:rFonts w:hint="eastAsia" w:ascii="Times New Roman" w:hAnsi="Times New Roman" w:cs="Times New Roman"/>
                <w:b/>
                <w:bCs/>
                <w:sz w:val="22"/>
              </w:rPr>
              <w:t>)</w:t>
            </w:r>
          </w:p>
        </w:tc>
      </w:tr>
      <w:tr w14:paraId="7F868673">
        <w:tblPrEx>
          <w:tblCellMar>
            <w:top w:w="0" w:type="dxa"/>
            <w:left w:w="108" w:type="dxa"/>
            <w:bottom w:w="0" w:type="dxa"/>
            <w:right w:w="108" w:type="dxa"/>
          </w:tblCellMar>
        </w:tblPrEx>
        <w:trPr>
          <w:jc w:val="center"/>
        </w:trPr>
        <w:tc>
          <w:tcPr>
            <w:tcW w:w="1701" w:type="dxa"/>
            <w:tcBorders>
              <w:top w:val="single" w:color="auto" w:sz="12" w:space="0"/>
            </w:tcBorders>
          </w:tcPr>
          <w:p w14:paraId="03DD4F53">
            <w:pPr>
              <w:jc w:val="center"/>
              <w:rPr>
                <w:rFonts w:ascii="Times New Roman" w:hAnsi="Times New Roman" w:cs="Times New Roman"/>
                <w:b w:val="0"/>
                <w:bCs w:val="0"/>
                <w:sz w:val="22"/>
              </w:rPr>
            </w:pPr>
            <w:r>
              <w:rPr>
                <w:rFonts w:hint="eastAsia" w:ascii="Times New Roman" w:hAnsi="Times New Roman" w:cs="Times New Roman"/>
                <w:b/>
                <w:bCs/>
                <w:sz w:val="22"/>
              </w:rPr>
              <w:t>1-32%-0h</w:t>
            </w:r>
          </w:p>
        </w:tc>
        <w:tc>
          <w:tcPr>
            <w:tcW w:w="1867" w:type="dxa"/>
            <w:tcBorders>
              <w:top w:val="single" w:color="auto" w:sz="12" w:space="0"/>
            </w:tcBorders>
          </w:tcPr>
          <w:p w14:paraId="03A5D3F4">
            <w:pPr>
              <w:jc w:val="center"/>
              <w:rPr>
                <w:rFonts w:ascii="Times New Roman" w:hAnsi="Times New Roman" w:cs="Times New Roman"/>
                <w:sz w:val="22"/>
              </w:rPr>
            </w:pPr>
            <w:r>
              <w:rPr>
                <w:rFonts w:hint="eastAsia" w:ascii="Times New Roman" w:hAnsi="Times New Roman" w:cs="Times New Roman"/>
                <w:sz w:val="22"/>
              </w:rPr>
              <w:t>32</w:t>
            </w:r>
          </w:p>
        </w:tc>
        <w:tc>
          <w:tcPr>
            <w:tcW w:w="1707" w:type="dxa"/>
            <w:tcBorders>
              <w:top w:val="single" w:color="auto" w:sz="12" w:space="0"/>
            </w:tcBorders>
          </w:tcPr>
          <w:p w14:paraId="3A912B59">
            <w:pPr>
              <w:jc w:val="center"/>
              <w:rPr>
                <w:rFonts w:ascii="Times New Roman" w:hAnsi="Times New Roman" w:cs="Times New Roman"/>
                <w:sz w:val="22"/>
              </w:rPr>
            </w:pPr>
            <w:r>
              <w:rPr>
                <w:rFonts w:hint="eastAsia" w:ascii="Times New Roman" w:hAnsi="Times New Roman" w:cs="Times New Roman"/>
                <w:sz w:val="22"/>
              </w:rPr>
              <w:t>8</w:t>
            </w:r>
          </w:p>
        </w:tc>
        <w:tc>
          <w:tcPr>
            <w:tcW w:w="988" w:type="dxa"/>
            <w:tcBorders>
              <w:top w:val="single" w:color="auto" w:sz="12" w:space="0"/>
            </w:tcBorders>
          </w:tcPr>
          <w:p w14:paraId="4A41F9D3">
            <w:pPr>
              <w:jc w:val="center"/>
              <w:rPr>
                <w:rFonts w:ascii="Times New Roman" w:hAnsi="Times New Roman" w:cs="Times New Roman"/>
                <w:sz w:val="22"/>
              </w:rPr>
            </w:pPr>
            <w:r>
              <w:rPr>
                <w:rFonts w:hint="eastAsia" w:ascii="Times New Roman" w:hAnsi="Times New Roman" w:cs="Times New Roman"/>
                <w:sz w:val="22"/>
              </w:rPr>
              <w:t>12</w:t>
            </w:r>
          </w:p>
        </w:tc>
        <w:tc>
          <w:tcPr>
            <w:tcW w:w="854" w:type="dxa"/>
            <w:tcBorders>
              <w:top w:val="single" w:color="auto" w:sz="12" w:space="0"/>
            </w:tcBorders>
          </w:tcPr>
          <w:p w14:paraId="2189AA2C">
            <w:pPr>
              <w:jc w:val="center"/>
              <w:rPr>
                <w:rFonts w:ascii="Times New Roman" w:hAnsi="Times New Roman" w:cs="Times New Roman"/>
                <w:sz w:val="22"/>
              </w:rPr>
            </w:pPr>
            <w:r>
              <w:rPr>
                <w:rFonts w:hint="eastAsia" w:ascii="Times New Roman" w:hAnsi="Times New Roman" w:cs="Times New Roman"/>
                <w:sz w:val="22"/>
              </w:rPr>
              <w:t>25</w:t>
            </w:r>
          </w:p>
        </w:tc>
        <w:tc>
          <w:tcPr>
            <w:tcW w:w="1405" w:type="dxa"/>
            <w:tcBorders>
              <w:top w:val="single" w:color="auto" w:sz="12" w:space="0"/>
            </w:tcBorders>
          </w:tcPr>
          <w:p w14:paraId="39C6D025">
            <w:pPr>
              <w:jc w:val="center"/>
              <w:rPr>
                <w:rFonts w:ascii="Times New Roman" w:hAnsi="Times New Roman" w:cs="Times New Roman"/>
                <w:sz w:val="22"/>
              </w:rPr>
            </w:pPr>
            <w:r>
              <w:rPr>
                <w:rFonts w:hint="eastAsia" w:ascii="Times New Roman" w:hAnsi="Times New Roman" w:cs="Times New Roman"/>
                <w:sz w:val="22"/>
              </w:rPr>
              <w:t>0</w:t>
            </w:r>
          </w:p>
        </w:tc>
      </w:tr>
      <w:tr w14:paraId="6F8D0EF6">
        <w:tblPrEx>
          <w:tblCellMar>
            <w:top w:w="0" w:type="dxa"/>
            <w:left w:w="108" w:type="dxa"/>
            <w:bottom w:w="0" w:type="dxa"/>
            <w:right w:w="108" w:type="dxa"/>
          </w:tblCellMar>
        </w:tblPrEx>
        <w:trPr>
          <w:jc w:val="center"/>
        </w:trPr>
        <w:tc>
          <w:tcPr>
            <w:tcW w:w="1701" w:type="dxa"/>
          </w:tcPr>
          <w:p w14:paraId="4A10F170">
            <w:pPr>
              <w:jc w:val="center"/>
              <w:rPr>
                <w:rFonts w:ascii="Times New Roman" w:hAnsi="Times New Roman" w:cs="Times New Roman"/>
                <w:b w:val="0"/>
                <w:bCs w:val="0"/>
                <w:sz w:val="22"/>
              </w:rPr>
            </w:pPr>
            <w:r>
              <w:rPr>
                <w:rFonts w:hint="eastAsia" w:ascii="Times New Roman" w:hAnsi="Times New Roman" w:cs="Times New Roman"/>
                <w:b/>
                <w:bCs/>
                <w:sz w:val="22"/>
              </w:rPr>
              <w:t>1-32%-4h</w:t>
            </w:r>
          </w:p>
        </w:tc>
        <w:tc>
          <w:tcPr>
            <w:tcW w:w="1867" w:type="dxa"/>
          </w:tcPr>
          <w:p w14:paraId="1E4F442B">
            <w:pPr>
              <w:jc w:val="center"/>
              <w:rPr>
                <w:rFonts w:ascii="Times New Roman" w:hAnsi="Times New Roman" w:cs="Times New Roman"/>
                <w:sz w:val="22"/>
              </w:rPr>
            </w:pPr>
            <w:r>
              <w:rPr>
                <w:rFonts w:hint="eastAsia" w:ascii="Times New Roman" w:hAnsi="Times New Roman" w:cs="Times New Roman"/>
                <w:sz w:val="22"/>
              </w:rPr>
              <w:t>32</w:t>
            </w:r>
          </w:p>
        </w:tc>
        <w:tc>
          <w:tcPr>
            <w:tcW w:w="1707" w:type="dxa"/>
          </w:tcPr>
          <w:p w14:paraId="67AC23D2">
            <w:pPr>
              <w:jc w:val="center"/>
              <w:rPr>
                <w:rFonts w:ascii="Times New Roman" w:hAnsi="Times New Roman" w:cs="Times New Roman"/>
                <w:sz w:val="22"/>
              </w:rPr>
            </w:pPr>
            <w:r>
              <w:rPr>
                <w:rFonts w:hint="eastAsia" w:ascii="Times New Roman" w:hAnsi="Times New Roman" w:cs="Times New Roman"/>
                <w:sz w:val="22"/>
              </w:rPr>
              <w:t>8</w:t>
            </w:r>
          </w:p>
        </w:tc>
        <w:tc>
          <w:tcPr>
            <w:tcW w:w="988" w:type="dxa"/>
          </w:tcPr>
          <w:p w14:paraId="04FFF09A">
            <w:pPr>
              <w:jc w:val="center"/>
              <w:rPr>
                <w:rFonts w:ascii="Times New Roman" w:hAnsi="Times New Roman" w:cs="Times New Roman"/>
                <w:sz w:val="22"/>
              </w:rPr>
            </w:pPr>
            <w:r>
              <w:rPr>
                <w:rFonts w:hint="eastAsia" w:ascii="Times New Roman" w:hAnsi="Times New Roman" w:cs="Times New Roman"/>
                <w:sz w:val="22"/>
              </w:rPr>
              <w:t>12</w:t>
            </w:r>
          </w:p>
        </w:tc>
        <w:tc>
          <w:tcPr>
            <w:tcW w:w="854" w:type="dxa"/>
          </w:tcPr>
          <w:p w14:paraId="53222813">
            <w:pPr>
              <w:jc w:val="center"/>
              <w:rPr>
                <w:rFonts w:ascii="Times New Roman" w:hAnsi="Times New Roman" w:cs="Times New Roman"/>
                <w:sz w:val="22"/>
              </w:rPr>
            </w:pPr>
            <w:r>
              <w:rPr>
                <w:rFonts w:hint="eastAsia" w:ascii="Times New Roman" w:hAnsi="Times New Roman" w:cs="Times New Roman"/>
                <w:sz w:val="22"/>
              </w:rPr>
              <w:t>25</w:t>
            </w:r>
          </w:p>
        </w:tc>
        <w:tc>
          <w:tcPr>
            <w:tcW w:w="1405" w:type="dxa"/>
          </w:tcPr>
          <w:p w14:paraId="667E54B8">
            <w:pPr>
              <w:jc w:val="center"/>
              <w:rPr>
                <w:rFonts w:ascii="Times New Roman" w:hAnsi="Times New Roman" w:cs="Times New Roman"/>
                <w:sz w:val="22"/>
              </w:rPr>
            </w:pPr>
            <w:r>
              <w:rPr>
                <w:rFonts w:hint="eastAsia" w:ascii="Times New Roman" w:hAnsi="Times New Roman" w:cs="Times New Roman"/>
                <w:sz w:val="22"/>
              </w:rPr>
              <w:t>4</w:t>
            </w:r>
          </w:p>
        </w:tc>
      </w:tr>
      <w:tr w14:paraId="0F0E648E">
        <w:tblPrEx>
          <w:tblCellMar>
            <w:top w:w="0" w:type="dxa"/>
            <w:left w:w="108" w:type="dxa"/>
            <w:bottom w:w="0" w:type="dxa"/>
            <w:right w:w="108" w:type="dxa"/>
          </w:tblCellMar>
        </w:tblPrEx>
        <w:trPr>
          <w:jc w:val="center"/>
        </w:trPr>
        <w:tc>
          <w:tcPr>
            <w:tcW w:w="1701" w:type="dxa"/>
          </w:tcPr>
          <w:p w14:paraId="41EE9235">
            <w:pPr>
              <w:jc w:val="center"/>
              <w:rPr>
                <w:rFonts w:ascii="Times New Roman" w:hAnsi="Times New Roman" w:cs="Times New Roman"/>
                <w:b w:val="0"/>
                <w:bCs w:val="0"/>
                <w:sz w:val="22"/>
              </w:rPr>
            </w:pPr>
            <w:r>
              <w:rPr>
                <w:rFonts w:hint="eastAsia" w:ascii="Times New Roman" w:hAnsi="Times New Roman" w:cs="Times New Roman"/>
                <w:b/>
                <w:bCs/>
                <w:sz w:val="22"/>
              </w:rPr>
              <w:t>1-32%-8h</w:t>
            </w:r>
          </w:p>
        </w:tc>
        <w:tc>
          <w:tcPr>
            <w:tcW w:w="1867" w:type="dxa"/>
          </w:tcPr>
          <w:p w14:paraId="20BA6C00">
            <w:pPr>
              <w:jc w:val="center"/>
              <w:rPr>
                <w:rFonts w:ascii="Times New Roman" w:hAnsi="Times New Roman" w:cs="Times New Roman"/>
                <w:sz w:val="22"/>
              </w:rPr>
            </w:pPr>
            <w:r>
              <w:rPr>
                <w:rFonts w:hint="eastAsia" w:ascii="Times New Roman" w:hAnsi="Times New Roman" w:cs="Times New Roman"/>
                <w:sz w:val="22"/>
              </w:rPr>
              <w:t>32</w:t>
            </w:r>
          </w:p>
        </w:tc>
        <w:tc>
          <w:tcPr>
            <w:tcW w:w="1707" w:type="dxa"/>
          </w:tcPr>
          <w:p w14:paraId="146107A1">
            <w:pPr>
              <w:jc w:val="center"/>
              <w:rPr>
                <w:rFonts w:ascii="Times New Roman" w:hAnsi="Times New Roman" w:cs="Times New Roman"/>
                <w:sz w:val="22"/>
              </w:rPr>
            </w:pPr>
            <w:r>
              <w:rPr>
                <w:rFonts w:hint="eastAsia" w:ascii="Times New Roman" w:hAnsi="Times New Roman" w:cs="Times New Roman"/>
                <w:sz w:val="22"/>
              </w:rPr>
              <w:t>8</w:t>
            </w:r>
          </w:p>
        </w:tc>
        <w:tc>
          <w:tcPr>
            <w:tcW w:w="988" w:type="dxa"/>
          </w:tcPr>
          <w:p w14:paraId="359002E9">
            <w:pPr>
              <w:jc w:val="center"/>
              <w:rPr>
                <w:rFonts w:ascii="Times New Roman" w:hAnsi="Times New Roman" w:cs="Times New Roman"/>
                <w:sz w:val="22"/>
              </w:rPr>
            </w:pPr>
            <w:r>
              <w:rPr>
                <w:rFonts w:hint="eastAsia" w:ascii="Times New Roman" w:hAnsi="Times New Roman" w:cs="Times New Roman"/>
                <w:sz w:val="22"/>
              </w:rPr>
              <w:t>12</w:t>
            </w:r>
          </w:p>
        </w:tc>
        <w:tc>
          <w:tcPr>
            <w:tcW w:w="854" w:type="dxa"/>
          </w:tcPr>
          <w:p w14:paraId="67D96FA3">
            <w:pPr>
              <w:jc w:val="center"/>
              <w:rPr>
                <w:rFonts w:ascii="Times New Roman" w:hAnsi="Times New Roman" w:cs="Times New Roman"/>
                <w:sz w:val="22"/>
              </w:rPr>
            </w:pPr>
            <w:r>
              <w:rPr>
                <w:rFonts w:hint="eastAsia" w:ascii="Times New Roman" w:hAnsi="Times New Roman" w:cs="Times New Roman"/>
                <w:sz w:val="22"/>
              </w:rPr>
              <w:t>25</w:t>
            </w:r>
          </w:p>
        </w:tc>
        <w:tc>
          <w:tcPr>
            <w:tcW w:w="1405" w:type="dxa"/>
          </w:tcPr>
          <w:p w14:paraId="300E256F">
            <w:pPr>
              <w:jc w:val="center"/>
              <w:rPr>
                <w:rFonts w:ascii="Times New Roman" w:hAnsi="Times New Roman" w:cs="Times New Roman"/>
                <w:sz w:val="22"/>
              </w:rPr>
            </w:pPr>
            <w:r>
              <w:rPr>
                <w:rFonts w:hint="eastAsia" w:ascii="Times New Roman" w:hAnsi="Times New Roman" w:cs="Times New Roman"/>
                <w:sz w:val="22"/>
              </w:rPr>
              <w:t>8</w:t>
            </w:r>
          </w:p>
        </w:tc>
      </w:tr>
      <w:tr w14:paraId="772B93B8">
        <w:tblPrEx>
          <w:tblCellMar>
            <w:top w:w="0" w:type="dxa"/>
            <w:left w:w="108" w:type="dxa"/>
            <w:bottom w:w="0" w:type="dxa"/>
            <w:right w:w="108" w:type="dxa"/>
          </w:tblCellMar>
        </w:tblPrEx>
        <w:trPr>
          <w:jc w:val="center"/>
        </w:trPr>
        <w:tc>
          <w:tcPr>
            <w:tcW w:w="1701" w:type="dxa"/>
          </w:tcPr>
          <w:p w14:paraId="49242EA4">
            <w:pPr>
              <w:jc w:val="center"/>
              <w:rPr>
                <w:rFonts w:ascii="Times New Roman" w:hAnsi="Times New Roman" w:cs="Times New Roman"/>
                <w:b w:val="0"/>
                <w:bCs w:val="0"/>
                <w:sz w:val="22"/>
              </w:rPr>
            </w:pPr>
            <w:r>
              <w:rPr>
                <w:rFonts w:hint="eastAsia" w:ascii="Times New Roman" w:hAnsi="Times New Roman" w:cs="Times New Roman"/>
                <w:b/>
                <w:bCs/>
                <w:sz w:val="22"/>
              </w:rPr>
              <w:t>1-32%-16h</w:t>
            </w:r>
          </w:p>
        </w:tc>
        <w:tc>
          <w:tcPr>
            <w:tcW w:w="1867" w:type="dxa"/>
          </w:tcPr>
          <w:p w14:paraId="770852B5">
            <w:pPr>
              <w:jc w:val="center"/>
              <w:rPr>
                <w:rFonts w:ascii="Times New Roman" w:hAnsi="Times New Roman" w:cs="Times New Roman"/>
                <w:sz w:val="22"/>
              </w:rPr>
            </w:pPr>
            <w:r>
              <w:rPr>
                <w:rFonts w:hint="eastAsia" w:ascii="Times New Roman" w:hAnsi="Times New Roman" w:cs="Times New Roman"/>
                <w:sz w:val="22"/>
              </w:rPr>
              <w:t>32</w:t>
            </w:r>
          </w:p>
        </w:tc>
        <w:tc>
          <w:tcPr>
            <w:tcW w:w="1707" w:type="dxa"/>
          </w:tcPr>
          <w:p w14:paraId="3F212CE9">
            <w:pPr>
              <w:jc w:val="center"/>
              <w:rPr>
                <w:rFonts w:ascii="Times New Roman" w:hAnsi="Times New Roman" w:cs="Times New Roman"/>
                <w:sz w:val="22"/>
              </w:rPr>
            </w:pPr>
            <w:r>
              <w:rPr>
                <w:rFonts w:hint="eastAsia" w:ascii="Times New Roman" w:hAnsi="Times New Roman" w:cs="Times New Roman"/>
                <w:sz w:val="22"/>
              </w:rPr>
              <w:t>8</w:t>
            </w:r>
          </w:p>
        </w:tc>
        <w:tc>
          <w:tcPr>
            <w:tcW w:w="988" w:type="dxa"/>
          </w:tcPr>
          <w:p w14:paraId="7C2A6534">
            <w:pPr>
              <w:jc w:val="center"/>
              <w:rPr>
                <w:rFonts w:ascii="Times New Roman" w:hAnsi="Times New Roman" w:cs="Times New Roman"/>
                <w:sz w:val="22"/>
              </w:rPr>
            </w:pPr>
            <w:r>
              <w:rPr>
                <w:rFonts w:hint="eastAsia" w:ascii="Times New Roman" w:hAnsi="Times New Roman" w:cs="Times New Roman"/>
                <w:sz w:val="22"/>
              </w:rPr>
              <w:t>12</w:t>
            </w:r>
          </w:p>
        </w:tc>
        <w:tc>
          <w:tcPr>
            <w:tcW w:w="854" w:type="dxa"/>
          </w:tcPr>
          <w:p w14:paraId="403C31B7">
            <w:pPr>
              <w:jc w:val="center"/>
              <w:rPr>
                <w:rFonts w:ascii="Times New Roman" w:hAnsi="Times New Roman" w:cs="Times New Roman"/>
                <w:sz w:val="22"/>
              </w:rPr>
            </w:pPr>
            <w:r>
              <w:rPr>
                <w:rFonts w:hint="eastAsia" w:ascii="Times New Roman" w:hAnsi="Times New Roman" w:cs="Times New Roman"/>
                <w:sz w:val="22"/>
              </w:rPr>
              <w:t>25</w:t>
            </w:r>
          </w:p>
        </w:tc>
        <w:tc>
          <w:tcPr>
            <w:tcW w:w="1405" w:type="dxa"/>
          </w:tcPr>
          <w:p w14:paraId="5406A4EF">
            <w:pPr>
              <w:jc w:val="center"/>
              <w:rPr>
                <w:rFonts w:ascii="Times New Roman" w:hAnsi="Times New Roman" w:cs="Times New Roman"/>
                <w:sz w:val="22"/>
              </w:rPr>
            </w:pPr>
            <w:r>
              <w:rPr>
                <w:rFonts w:hint="eastAsia" w:ascii="Times New Roman" w:hAnsi="Times New Roman" w:cs="Times New Roman"/>
                <w:sz w:val="22"/>
              </w:rPr>
              <w:t>16</w:t>
            </w:r>
          </w:p>
        </w:tc>
      </w:tr>
      <w:tr w14:paraId="67D0F119">
        <w:tblPrEx>
          <w:tblCellMar>
            <w:top w:w="0" w:type="dxa"/>
            <w:left w:w="108" w:type="dxa"/>
            <w:bottom w:w="0" w:type="dxa"/>
            <w:right w:w="108" w:type="dxa"/>
          </w:tblCellMar>
        </w:tblPrEx>
        <w:trPr>
          <w:jc w:val="center"/>
        </w:trPr>
        <w:tc>
          <w:tcPr>
            <w:tcW w:w="1701" w:type="dxa"/>
          </w:tcPr>
          <w:p w14:paraId="53E17215">
            <w:pPr>
              <w:jc w:val="center"/>
              <w:rPr>
                <w:rFonts w:ascii="Times New Roman" w:hAnsi="Times New Roman" w:cs="Times New Roman"/>
                <w:b w:val="0"/>
                <w:bCs w:val="0"/>
                <w:sz w:val="22"/>
              </w:rPr>
            </w:pPr>
            <w:r>
              <w:rPr>
                <w:rFonts w:hint="eastAsia" w:ascii="Times New Roman" w:hAnsi="Times New Roman" w:cs="Times New Roman"/>
                <w:b/>
                <w:bCs/>
                <w:sz w:val="22"/>
              </w:rPr>
              <w:t>1-32%-24h</w:t>
            </w:r>
          </w:p>
        </w:tc>
        <w:tc>
          <w:tcPr>
            <w:tcW w:w="1867" w:type="dxa"/>
          </w:tcPr>
          <w:p w14:paraId="3625172D">
            <w:pPr>
              <w:jc w:val="center"/>
              <w:rPr>
                <w:rFonts w:ascii="Times New Roman" w:hAnsi="Times New Roman" w:cs="Times New Roman"/>
                <w:sz w:val="22"/>
              </w:rPr>
            </w:pPr>
            <w:r>
              <w:rPr>
                <w:rFonts w:hint="eastAsia" w:ascii="Times New Roman" w:hAnsi="Times New Roman" w:cs="Times New Roman"/>
                <w:sz w:val="22"/>
              </w:rPr>
              <w:t>32</w:t>
            </w:r>
          </w:p>
        </w:tc>
        <w:tc>
          <w:tcPr>
            <w:tcW w:w="1707" w:type="dxa"/>
          </w:tcPr>
          <w:p w14:paraId="169722DB">
            <w:pPr>
              <w:jc w:val="center"/>
              <w:rPr>
                <w:rFonts w:ascii="Times New Roman" w:hAnsi="Times New Roman" w:cs="Times New Roman"/>
                <w:sz w:val="22"/>
              </w:rPr>
            </w:pPr>
            <w:r>
              <w:rPr>
                <w:rFonts w:hint="eastAsia" w:ascii="Times New Roman" w:hAnsi="Times New Roman" w:cs="Times New Roman"/>
                <w:sz w:val="22"/>
              </w:rPr>
              <w:t>8</w:t>
            </w:r>
          </w:p>
        </w:tc>
        <w:tc>
          <w:tcPr>
            <w:tcW w:w="988" w:type="dxa"/>
          </w:tcPr>
          <w:p w14:paraId="6EEAD10C">
            <w:pPr>
              <w:jc w:val="center"/>
              <w:rPr>
                <w:rFonts w:ascii="Times New Roman" w:hAnsi="Times New Roman" w:cs="Times New Roman"/>
                <w:sz w:val="22"/>
              </w:rPr>
            </w:pPr>
            <w:r>
              <w:rPr>
                <w:rFonts w:hint="eastAsia" w:ascii="Times New Roman" w:hAnsi="Times New Roman" w:cs="Times New Roman"/>
                <w:sz w:val="22"/>
              </w:rPr>
              <w:t>12</w:t>
            </w:r>
          </w:p>
        </w:tc>
        <w:tc>
          <w:tcPr>
            <w:tcW w:w="854" w:type="dxa"/>
          </w:tcPr>
          <w:p w14:paraId="0EC6EB1E">
            <w:pPr>
              <w:jc w:val="center"/>
              <w:rPr>
                <w:rFonts w:ascii="Times New Roman" w:hAnsi="Times New Roman" w:cs="Times New Roman"/>
                <w:sz w:val="22"/>
              </w:rPr>
            </w:pPr>
            <w:r>
              <w:rPr>
                <w:rFonts w:hint="eastAsia" w:ascii="Times New Roman" w:hAnsi="Times New Roman" w:cs="Times New Roman"/>
                <w:sz w:val="22"/>
              </w:rPr>
              <w:t>25</w:t>
            </w:r>
          </w:p>
        </w:tc>
        <w:tc>
          <w:tcPr>
            <w:tcW w:w="1405" w:type="dxa"/>
          </w:tcPr>
          <w:p w14:paraId="49322903">
            <w:pPr>
              <w:jc w:val="center"/>
              <w:rPr>
                <w:rFonts w:ascii="Times New Roman" w:hAnsi="Times New Roman" w:cs="Times New Roman"/>
                <w:sz w:val="22"/>
              </w:rPr>
            </w:pPr>
            <w:r>
              <w:rPr>
                <w:rFonts w:hint="eastAsia" w:ascii="Times New Roman" w:hAnsi="Times New Roman" w:cs="Times New Roman"/>
                <w:sz w:val="22"/>
              </w:rPr>
              <w:t>24</w:t>
            </w:r>
          </w:p>
        </w:tc>
      </w:tr>
      <w:tr w14:paraId="4D00631D">
        <w:tblPrEx>
          <w:tblCellMar>
            <w:top w:w="0" w:type="dxa"/>
            <w:left w:w="108" w:type="dxa"/>
            <w:bottom w:w="0" w:type="dxa"/>
            <w:right w:w="108" w:type="dxa"/>
          </w:tblCellMar>
        </w:tblPrEx>
        <w:trPr>
          <w:jc w:val="center"/>
        </w:trPr>
        <w:tc>
          <w:tcPr>
            <w:tcW w:w="1701" w:type="dxa"/>
            <w:tcBorders>
              <w:bottom w:val="single" w:color="auto" w:sz="12" w:space="0"/>
            </w:tcBorders>
          </w:tcPr>
          <w:p w14:paraId="5C898D77">
            <w:pPr>
              <w:jc w:val="center"/>
              <w:rPr>
                <w:rFonts w:ascii="Times New Roman" w:hAnsi="Times New Roman" w:cs="Times New Roman"/>
                <w:b w:val="0"/>
                <w:bCs w:val="0"/>
                <w:sz w:val="22"/>
              </w:rPr>
            </w:pPr>
            <w:r>
              <w:rPr>
                <w:rFonts w:hint="eastAsia" w:ascii="Times New Roman" w:hAnsi="Times New Roman" w:cs="Times New Roman"/>
                <w:b/>
                <w:bCs/>
                <w:sz w:val="22"/>
              </w:rPr>
              <w:t>1-32%-48h</w:t>
            </w:r>
          </w:p>
        </w:tc>
        <w:tc>
          <w:tcPr>
            <w:tcW w:w="1867" w:type="dxa"/>
            <w:tcBorders>
              <w:bottom w:val="single" w:color="auto" w:sz="12" w:space="0"/>
            </w:tcBorders>
          </w:tcPr>
          <w:p w14:paraId="0F4D074C">
            <w:pPr>
              <w:jc w:val="center"/>
              <w:rPr>
                <w:rFonts w:ascii="Times New Roman" w:hAnsi="Times New Roman" w:cs="Times New Roman"/>
                <w:sz w:val="22"/>
              </w:rPr>
            </w:pPr>
            <w:r>
              <w:rPr>
                <w:rFonts w:hint="eastAsia" w:ascii="Times New Roman" w:hAnsi="Times New Roman" w:cs="Times New Roman"/>
                <w:sz w:val="22"/>
              </w:rPr>
              <w:t>32</w:t>
            </w:r>
          </w:p>
        </w:tc>
        <w:tc>
          <w:tcPr>
            <w:tcW w:w="1707" w:type="dxa"/>
            <w:tcBorders>
              <w:bottom w:val="single" w:color="auto" w:sz="12" w:space="0"/>
            </w:tcBorders>
          </w:tcPr>
          <w:p w14:paraId="247B082E">
            <w:pPr>
              <w:jc w:val="center"/>
              <w:rPr>
                <w:rFonts w:ascii="Times New Roman" w:hAnsi="Times New Roman" w:cs="Times New Roman"/>
                <w:sz w:val="22"/>
              </w:rPr>
            </w:pPr>
            <w:r>
              <w:rPr>
                <w:rFonts w:hint="eastAsia" w:ascii="Times New Roman" w:hAnsi="Times New Roman" w:cs="Times New Roman"/>
                <w:sz w:val="22"/>
              </w:rPr>
              <w:t>8</w:t>
            </w:r>
          </w:p>
        </w:tc>
        <w:tc>
          <w:tcPr>
            <w:tcW w:w="988" w:type="dxa"/>
            <w:tcBorders>
              <w:bottom w:val="single" w:color="auto" w:sz="12" w:space="0"/>
            </w:tcBorders>
          </w:tcPr>
          <w:p w14:paraId="1635083B">
            <w:pPr>
              <w:jc w:val="center"/>
              <w:rPr>
                <w:rFonts w:ascii="Times New Roman" w:hAnsi="Times New Roman" w:cs="Times New Roman"/>
                <w:sz w:val="22"/>
              </w:rPr>
            </w:pPr>
            <w:r>
              <w:rPr>
                <w:rFonts w:hint="eastAsia" w:ascii="Times New Roman" w:hAnsi="Times New Roman" w:cs="Times New Roman"/>
                <w:sz w:val="22"/>
              </w:rPr>
              <w:t>12</w:t>
            </w:r>
          </w:p>
        </w:tc>
        <w:tc>
          <w:tcPr>
            <w:tcW w:w="854" w:type="dxa"/>
            <w:tcBorders>
              <w:bottom w:val="single" w:color="auto" w:sz="12" w:space="0"/>
            </w:tcBorders>
          </w:tcPr>
          <w:p w14:paraId="0B96ECEE">
            <w:pPr>
              <w:jc w:val="center"/>
              <w:rPr>
                <w:rFonts w:ascii="Times New Roman" w:hAnsi="Times New Roman" w:cs="Times New Roman"/>
                <w:sz w:val="22"/>
              </w:rPr>
            </w:pPr>
            <w:r>
              <w:rPr>
                <w:rFonts w:hint="eastAsia" w:ascii="Times New Roman" w:hAnsi="Times New Roman" w:cs="Times New Roman"/>
                <w:sz w:val="22"/>
              </w:rPr>
              <w:t>25</w:t>
            </w:r>
          </w:p>
        </w:tc>
        <w:tc>
          <w:tcPr>
            <w:tcW w:w="1405" w:type="dxa"/>
            <w:tcBorders>
              <w:bottom w:val="single" w:color="auto" w:sz="12" w:space="0"/>
            </w:tcBorders>
          </w:tcPr>
          <w:p w14:paraId="08D01C5E">
            <w:pPr>
              <w:jc w:val="center"/>
              <w:rPr>
                <w:rFonts w:ascii="Times New Roman" w:hAnsi="Times New Roman" w:cs="Times New Roman"/>
                <w:sz w:val="22"/>
              </w:rPr>
            </w:pPr>
            <w:r>
              <w:rPr>
                <w:rFonts w:hint="eastAsia" w:ascii="Times New Roman" w:hAnsi="Times New Roman" w:cs="Times New Roman"/>
                <w:sz w:val="22"/>
              </w:rPr>
              <w:t>48</w:t>
            </w:r>
          </w:p>
        </w:tc>
      </w:tr>
    </w:tbl>
    <w:p w14:paraId="5F6BBDD2">
      <w:pPr>
        <w:rPr>
          <w:rFonts w:ascii="Times New Roman" w:hAnsi="Times New Roman" w:cs="Times New Roman"/>
          <w:b/>
          <w:bCs/>
          <w:sz w:val="22"/>
        </w:rPr>
      </w:pPr>
    </w:p>
    <w:p w14:paraId="6AE1EF41">
      <w:pPr>
        <w:rPr>
          <w:rFonts w:ascii="Times New Roman" w:hAnsi="Times New Roman" w:cs="Times New Roman"/>
          <w:b/>
          <w:bCs/>
          <w:sz w:val="22"/>
        </w:rPr>
      </w:pPr>
    </w:p>
    <w:p w14:paraId="55255CA4">
      <w:pPr>
        <w:rPr>
          <w:rFonts w:ascii="Times New Roman" w:hAnsi="Times New Roman" w:cs="Times New Roman"/>
          <w:b/>
          <w:bCs/>
          <w:sz w:val="22"/>
        </w:rPr>
      </w:pPr>
    </w:p>
    <w:p w14:paraId="05297CA0">
      <w:pPr>
        <w:rPr>
          <w:rFonts w:ascii="Times New Roman" w:hAnsi="Times New Roman" w:cs="Times New Roman"/>
          <w:b/>
          <w:bCs/>
          <w:sz w:val="22"/>
        </w:rPr>
      </w:pPr>
    </w:p>
    <w:p w14:paraId="11AA7CF3">
      <w:pPr>
        <w:rPr>
          <w:rFonts w:ascii="Times New Roman" w:hAnsi="Times New Roman" w:cs="Times New Roman"/>
          <w:b/>
          <w:bCs/>
          <w:sz w:val="22"/>
        </w:rPr>
      </w:pPr>
    </w:p>
    <w:p w14:paraId="30BA339B">
      <w:pPr>
        <w:rPr>
          <w:rFonts w:ascii="Times New Roman" w:hAnsi="Times New Roman" w:cs="Times New Roman"/>
          <w:b/>
          <w:bCs/>
          <w:sz w:val="22"/>
        </w:rPr>
      </w:pPr>
    </w:p>
    <w:p w14:paraId="12442142">
      <w:pPr>
        <w:rPr>
          <w:rFonts w:ascii="Times New Roman" w:hAnsi="Times New Roman" w:cs="Times New Roman"/>
          <w:b/>
          <w:bCs/>
          <w:sz w:val="22"/>
        </w:rPr>
      </w:pPr>
    </w:p>
    <w:p w14:paraId="794469B2">
      <w:pPr>
        <w:rPr>
          <w:rFonts w:ascii="Times New Roman" w:hAnsi="Times New Roman" w:cs="Times New Roman"/>
          <w:b/>
          <w:bCs/>
          <w:sz w:val="22"/>
        </w:rPr>
      </w:pPr>
    </w:p>
    <w:p w14:paraId="56536982">
      <w:pPr>
        <w:rPr>
          <w:rFonts w:ascii="Times New Roman" w:hAnsi="Times New Roman" w:cs="Times New Roman"/>
          <w:b/>
          <w:bCs/>
          <w:sz w:val="22"/>
        </w:rPr>
      </w:pPr>
    </w:p>
    <w:p w14:paraId="3FA2876B">
      <w:pPr>
        <w:rPr>
          <w:rFonts w:ascii="Times New Roman" w:hAnsi="Times New Roman" w:cs="Times New Roman"/>
          <w:b/>
          <w:bCs/>
          <w:sz w:val="22"/>
        </w:rPr>
      </w:pPr>
    </w:p>
    <w:p w14:paraId="762E5661">
      <w:pPr>
        <w:rPr>
          <w:rFonts w:ascii="Times New Roman" w:hAnsi="Times New Roman" w:cs="Times New Roman"/>
          <w:b/>
          <w:bCs/>
          <w:sz w:val="22"/>
        </w:rPr>
      </w:pPr>
    </w:p>
    <w:p w14:paraId="00FCB222">
      <w:pPr>
        <w:rPr>
          <w:rFonts w:ascii="Times New Roman" w:hAnsi="Times New Roman" w:cs="Times New Roman"/>
          <w:b/>
          <w:bCs/>
          <w:sz w:val="22"/>
        </w:rPr>
      </w:pPr>
    </w:p>
    <w:p w14:paraId="7A54C8E0">
      <w:pPr>
        <w:rPr>
          <w:rFonts w:ascii="Times New Roman" w:hAnsi="Times New Roman" w:cs="Times New Roman"/>
          <w:b/>
          <w:bCs/>
          <w:sz w:val="22"/>
        </w:rPr>
      </w:pPr>
    </w:p>
    <w:p w14:paraId="5540610A">
      <w:pPr>
        <w:rPr>
          <w:rFonts w:ascii="Times New Roman" w:hAnsi="Times New Roman" w:cs="Times New Roman"/>
          <w:b/>
          <w:bCs/>
          <w:sz w:val="22"/>
        </w:rPr>
      </w:pPr>
    </w:p>
    <w:p w14:paraId="299054C9">
      <w:pPr>
        <w:rPr>
          <w:rFonts w:ascii="Times New Roman" w:hAnsi="Times New Roman" w:cs="Times New Roman"/>
          <w:b/>
          <w:bCs/>
          <w:sz w:val="22"/>
        </w:rPr>
      </w:pPr>
    </w:p>
    <w:p w14:paraId="143B1D3A">
      <w:pPr>
        <w:rPr>
          <w:rFonts w:ascii="Times New Roman" w:hAnsi="Times New Roman" w:cs="Times New Roman"/>
          <w:b/>
          <w:bCs/>
          <w:sz w:val="22"/>
        </w:rPr>
      </w:pPr>
    </w:p>
    <w:p w14:paraId="060AE7C1">
      <w:pPr>
        <w:rPr>
          <w:rFonts w:ascii="Times New Roman" w:hAnsi="Times New Roman" w:cs="Times New Roman"/>
          <w:b/>
          <w:bCs/>
          <w:sz w:val="22"/>
        </w:rPr>
      </w:pPr>
    </w:p>
    <w:p w14:paraId="41364028">
      <w:pPr>
        <w:rPr>
          <w:rFonts w:ascii="Times New Roman" w:hAnsi="Times New Roman" w:cs="Times New Roman"/>
          <w:b/>
          <w:bCs/>
          <w:sz w:val="22"/>
        </w:rPr>
      </w:pPr>
    </w:p>
    <w:p w14:paraId="351C9CF1">
      <w:pPr>
        <w:rPr>
          <w:rFonts w:ascii="Times New Roman" w:hAnsi="Times New Roman" w:cs="Times New Roman"/>
          <w:b/>
          <w:bCs/>
          <w:sz w:val="22"/>
        </w:rPr>
      </w:pPr>
    </w:p>
    <w:p w14:paraId="57DE9B02">
      <w:pPr>
        <w:rPr>
          <w:rFonts w:ascii="Times New Roman" w:hAnsi="Times New Roman" w:cs="Times New Roman"/>
          <w:b/>
          <w:bCs/>
          <w:sz w:val="22"/>
        </w:rPr>
      </w:pPr>
    </w:p>
    <w:p w14:paraId="19F7222E">
      <w:pPr>
        <w:rPr>
          <w:rFonts w:ascii="Times New Roman" w:hAnsi="Times New Roman" w:cs="Times New Roman"/>
          <w:b/>
          <w:bCs/>
          <w:sz w:val="22"/>
        </w:rPr>
      </w:pPr>
    </w:p>
    <w:p w14:paraId="2525E5D7">
      <w:pPr>
        <w:rPr>
          <w:rFonts w:ascii="Times New Roman" w:hAnsi="Times New Roman" w:cs="Times New Roman"/>
          <w:b/>
          <w:bCs/>
          <w:sz w:val="22"/>
        </w:rPr>
      </w:pPr>
    </w:p>
    <w:p w14:paraId="77A7AF0E">
      <w:pPr>
        <w:rPr>
          <w:rFonts w:ascii="Times New Roman" w:hAnsi="Times New Roman" w:cs="Times New Roman"/>
          <w:b/>
          <w:bCs/>
          <w:sz w:val="22"/>
        </w:rPr>
      </w:pPr>
    </w:p>
    <w:p w14:paraId="799DD050">
      <w:pPr>
        <w:rPr>
          <w:rFonts w:ascii="Times New Roman" w:hAnsi="Times New Roman" w:cs="Times New Roman"/>
          <w:b/>
          <w:bCs/>
          <w:sz w:val="22"/>
        </w:rPr>
      </w:pPr>
    </w:p>
    <w:p w14:paraId="4AA34D1A">
      <w:pPr>
        <w:rPr>
          <w:rFonts w:ascii="Times New Roman" w:hAnsi="Times New Roman" w:cs="Times New Roman"/>
          <w:b/>
          <w:bCs/>
          <w:sz w:val="22"/>
        </w:rPr>
      </w:pPr>
    </w:p>
    <w:p w14:paraId="6BBDAE78">
      <w:pPr>
        <w:rPr>
          <w:rFonts w:ascii="Times New Roman" w:hAnsi="Times New Roman" w:cs="Times New Roman"/>
          <w:b/>
          <w:bCs/>
          <w:sz w:val="22"/>
        </w:rPr>
      </w:pPr>
    </w:p>
    <w:p w14:paraId="1D23F88A">
      <w:pPr>
        <w:jc w:val="left"/>
        <w:rPr>
          <w:rFonts w:hint="eastAsia"/>
          <w:sz w:val="22"/>
          <w:szCs w:val="22"/>
        </w:rPr>
      </w:pPr>
      <w:r>
        <w:rPr>
          <w:rFonts w:hint="eastAsia" w:ascii="Times New Roman" w:hAnsi="Times New Roman" w:cs="Times New Roman"/>
          <w:b/>
          <w:bCs/>
          <w:sz w:val="22"/>
        </w:rPr>
        <w:t xml:space="preserve">Supplementary </w:t>
      </w:r>
      <w:r>
        <w:rPr>
          <w:rFonts w:ascii="Times New Roman" w:hAnsi="Times New Roman" w:cs="Times New Roman"/>
          <w:b/>
          <w:bCs/>
          <w:sz w:val="22"/>
        </w:rPr>
        <w:t>Table</w:t>
      </w:r>
      <w:r>
        <w:rPr>
          <w:rFonts w:hint="eastAsia" w:ascii="Times New Roman" w:hAnsi="Times New Roman" w:cs="Times New Roman"/>
          <w:b/>
          <w:bCs/>
          <w:sz w:val="22"/>
        </w:rPr>
        <w:t xml:space="preserve"> </w:t>
      </w:r>
      <w:r>
        <w:rPr>
          <w:rFonts w:hint="eastAsia" w:ascii="Times New Roman" w:hAnsi="Times New Roman" w:cs="Times New Roman"/>
          <w:b/>
          <w:bCs/>
          <w:sz w:val="22"/>
          <w:lang w:val="en-US" w:eastAsia="zh-CN"/>
        </w:rPr>
        <w:t>2</w:t>
      </w:r>
      <w:r>
        <w:rPr>
          <w:rFonts w:hint="eastAsia" w:ascii="Times New Roman" w:hAnsi="Times New Roman" w:cs="Times New Roman"/>
          <w:b/>
          <w:bCs/>
          <w:sz w:val="22"/>
        </w:rPr>
        <w:t xml:space="preserve">. </w:t>
      </w:r>
      <w:r>
        <w:rPr>
          <w:rFonts w:hint="eastAsia" w:ascii="Times New Roman" w:hAnsi="Times New Roman" w:cs="Times New Roman"/>
          <w:sz w:val="22"/>
          <w:lang w:val="en-US" w:eastAsia="zh-CN"/>
        </w:rPr>
        <w:t>S</w:t>
      </w:r>
      <w:r>
        <w:rPr>
          <w:rFonts w:hint="eastAsia" w:ascii="Times New Roman" w:hAnsi="Times New Roman" w:cs="Times New Roman"/>
          <w:sz w:val="22"/>
        </w:rPr>
        <w:t>pecific surface area</w:t>
      </w:r>
      <w:r>
        <w:rPr>
          <w:rFonts w:hint="eastAsia" w:ascii="Times New Roman" w:hAnsi="Times New Roman" w:cs="Times New Roman"/>
          <w:sz w:val="22"/>
          <w:lang w:val="en-US" w:eastAsia="zh-CN"/>
        </w:rPr>
        <w:t>s of samples.</w:t>
      </w:r>
    </w:p>
    <w:tbl>
      <w:tblPr>
        <w:tblStyle w:val="41"/>
        <w:tblW w:w="8522" w:type="dxa"/>
        <w:jc w:val="center"/>
        <w:tblLayout w:type="fixed"/>
        <w:tblCellMar>
          <w:top w:w="0" w:type="dxa"/>
          <w:left w:w="108" w:type="dxa"/>
          <w:bottom w:w="0" w:type="dxa"/>
          <w:right w:w="108" w:type="dxa"/>
        </w:tblCellMar>
      </w:tblPr>
      <w:tblGrid>
        <w:gridCol w:w="4063"/>
        <w:gridCol w:w="4459"/>
      </w:tblGrid>
      <w:tr w14:paraId="51F03035">
        <w:tblPrEx>
          <w:tblCellMar>
            <w:top w:w="0" w:type="dxa"/>
            <w:left w:w="108" w:type="dxa"/>
            <w:bottom w:w="0" w:type="dxa"/>
            <w:right w:w="108" w:type="dxa"/>
          </w:tblCellMar>
        </w:tblPrEx>
        <w:trPr>
          <w:jc w:val="center"/>
        </w:trPr>
        <w:tc>
          <w:tcPr>
            <w:tcW w:w="4063" w:type="dxa"/>
            <w:tcBorders>
              <w:top w:val="single" w:color="auto" w:sz="12" w:space="0"/>
              <w:bottom w:val="single" w:color="auto" w:sz="12" w:space="0"/>
            </w:tcBorders>
            <w:vAlign w:val="top"/>
          </w:tcPr>
          <w:p w14:paraId="454995C7">
            <w:pPr>
              <w:jc w:val="center"/>
              <w:rPr>
                <w:rFonts w:hint="default" w:ascii="Times New Roman" w:hAnsi="Times New Roman" w:cs="Times New Roman" w:eastAsiaTheme="minorEastAsia"/>
                <w:b/>
                <w:bCs/>
                <w:color w:val="auto"/>
                <w:sz w:val="22"/>
                <w:lang w:val="en-US" w:eastAsia="zh-CN"/>
              </w:rPr>
            </w:pPr>
            <w:r>
              <w:rPr>
                <w:rFonts w:hint="default" w:ascii="Times New Roman" w:hAnsi="Times New Roman" w:cs="Times New Roman"/>
                <w:b/>
                <w:bCs/>
                <w:color w:val="auto"/>
                <w:sz w:val="22"/>
                <w:lang w:val="en-US" w:eastAsia="zh-CN"/>
              </w:rPr>
              <w:t>Sample</w:t>
            </w:r>
          </w:p>
        </w:tc>
        <w:tc>
          <w:tcPr>
            <w:tcW w:w="4459" w:type="dxa"/>
            <w:tcBorders>
              <w:top w:val="single" w:color="auto" w:sz="12" w:space="0"/>
              <w:bottom w:val="single" w:color="auto" w:sz="12" w:space="0"/>
            </w:tcBorders>
            <w:vAlign w:val="top"/>
          </w:tcPr>
          <w:p w14:paraId="1B218A17">
            <w:pPr>
              <w:jc w:val="center"/>
              <w:rPr>
                <w:rFonts w:hint="default" w:ascii="Times New Roman" w:hAnsi="Times New Roman" w:cs="Times New Roman"/>
                <w:b/>
                <w:bCs/>
                <w:color w:val="auto"/>
                <w:sz w:val="22"/>
              </w:rPr>
            </w:pPr>
            <w:r>
              <w:rPr>
                <w:rFonts w:hint="default" w:ascii="Times New Roman" w:hAnsi="Times New Roman" w:cs="Times New Roman"/>
                <w:b/>
                <w:bCs/>
                <w:color w:val="auto"/>
                <w:sz w:val="22"/>
                <w:szCs w:val="22"/>
                <w:lang w:val="en-US" w:eastAsia="zh-CN"/>
              </w:rPr>
              <w:t>S</w:t>
            </w:r>
            <w:r>
              <w:rPr>
                <w:rFonts w:hint="default" w:ascii="Times New Roman" w:hAnsi="Times New Roman" w:cs="Times New Roman"/>
                <w:b/>
                <w:bCs/>
                <w:color w:val="auto"/>
                <w:sz w:val="22"/>
                <w:szCs w:val="22"/>
              </w:rPr>
              <w:t>pecific surface area</w:t>
            </w:r>
            <w:r>
              <w:rPr>
                <w:rFonts w:hint="default" w:ascii="Times New Roman" w:hAnsi="Times New Roman" w:cs="Times New Roman"/>
                <w:b/>
                <w:bCs/>
                <w:color w:val="auto"/>
                <w:sz w:val="22"/>
                <w:szCs w:val="22"/>
                <w:lang w:val="en-US" w:eastAsia="zh-CN"/>
              </w:rPr>
              <w:t xml:space="preserve"> (m</w:t>
            </w:r>
            <w:r>
              <w:rPr>
                <w:rFonts w:hint="default" w:ascii="Times New Roman" w:hAnsi="Times New Roman" w:cs="Times New Roman"/>
                <w:b/>
                <w:bCs/>
                <w:color w:val="auto"/>
                <w:sz w:val="22"/>
                <w:szCs w:val="22"/>
                <w:vertAlign w:val="superscript"/>
                <w:lang w:val="en-US" w:eastAsia="zh-CN"/>
              </w:rPr>
              <w:t>2</w:t>
            </w:r>
            <w:r>
              <w:rPr>
                <w:rFonts w:hint="default" w:ascii="Times New Roman" w:hAnsi="Times New Roman" w:cs="Times New Roman"/>
                <w:b/>
                <w:bCs/>
                <w:color w:val="auto"/>
                <w:sz w:val="22"/>
                <w:szCs w:val="22"/>
                <w:lang w:val="en-US" w:eastAsia="zh-CN"/>
              </w:rPr>
              <w:t>/g)</w:t>
            </w:r>
          </w:p>
        </w:tc>
      </w:tr>
      <w:tr w14:paraId="59008946">
        <w:tblPrEx>
          <w:tblCellMar>
            <w:top w:w="0" w:type="dxa"/>
            <w:left w:w="108" w:type="dxa"/>
            <w:bottom w:w="0" w:type="dxa"/>
            <w:right w:w="108" w:type="dxa"/>
          </w:tblCellMar>
        </w:tblPrEx>
        <w:trPr>
          <w:jc w:val="center"/>
        </w:trPr>
        <w:tc>
          <w:tcPr>
            <w:tcW w:w="4063" w:type="dxa"/>
            <w:tcBorders>
              <w:top w:val="single" w:color="auto" w:sz="12" w:space="0"/>
            </w:tcBorders>
            <w:vAlign w:val="top"/>
          </w:tcPr>
          <w:p w14:paraId="3EB4A074">
            <w:pPr>
              <w:jc w:val="center"/>
              <w:rPr>
                <w:rFonts w:hint="default" w:ascii="Times New Roman" w:hAnsi="Times New Roman" w:cs="Times New Roman"/>
                <w:b w:val="0"/>
                <w:bCs w:val="0"/>
                <w:color w:val="auto"/>
                <w:sz w:val="22"/>
              </w:rPr>
            </w:pPr>
            <w:r>
              <w:rPr>
                <w:rFonts w:hint="default" w:ascii="Times New Roman" w:hAnsi="Times New Roman" w:cs="Times New Roman"/>
                <w:color w:val="auto"/>
                <w:sz w:val="22"/>
                <w:szCs w:val="22"/>
              </w:rPr>
              <w:t>air-dried GO membrane</w:t>
            </w:r>
          </w:p>
        </w:tc>
        <w:tc>
          <w:tcPr>
            <w:tcW w:w="4459" w:type="dxa"/>
            <w:tcBorders>
              <w:top w:val="single" w:color="auto" w:sz="12" w:space="0"/>
            </w:tcBorders>
            <w:vAlign w:val="top"/>
          </w:tcPr>
          <w:p w14:paraId="03F1A880">
            <w:pPr>
              <w:jc w:val="center"/>
              <w:rPr>
                <w:rFonts w:hint="default" w:ascii="Times New Roman" w:hAnsi="Times New Roman" w:cs="Times New Roman" w:eastAsiaTheme="minorEastAsia"/>
                <w:color w:val="auto"/>
                <w:sz w:val="22"/>
                <w:lang w:val="en-US" w:eastAsia="zh-CN"/>
              </w:rPr>
            </w:pPr>
            <w:r>
              <w:rPr>
                <w:rFonts w:hint="eastAsia" w:ascii="Times New Roman" w:hAnsi="Times New Roman" w:cs="Times New Roman"/>
                <w:color w:val="auto"/>
                <w:sz w:val="22"/>
                <w:lang w:val="en-US" w:eastAsia="zh-CN"/>
              </w:rPr>
              <w:t>5.70</w:t>
            </w:r>
          </w:p>
        </w:tc>
      </w:tr>
      <w:tr w14:paraId="280E443E">
        <w:tblPrEx>
          <w:tblCellMar>
            <w:top w:w="0" w:type="dxa"/>
            <w:left w:w="108" w:type="dxa"/>
            <w:bottom w:w="0" w:type="dxa"/>
            <w:right w:w="108" w:type="dxa"/>
          </w:tblCellMar>
        </w:tblPrEx>
        <w:trPr>
          <w:jc w:val="center"/>
        </w:trPr>
        <w:tc>
          <w:tcPr>
            <w:tcW w:w="4063" w:type="dxa"/>
            <w:vAlign w:val="top"/>
          </w:tcPr>
          <w:p w14:paraId="16E797E4">
            <w:pPr>
              <w:jc w:val="center"/>
              <w:rPr>
                <w:rFonts w:hint="default" w:ascii="Times New Roman" w:hAnsi="Times New Roman" w:cs="Times New Roman"/>
                <w:b w:val="0"/>
                <w:bCs w:val="0"/>
                <w:color w:val="auto"/>
                <w:sz w:val="22"/>
              </w:rPr>
            </w:pPr>
            <w:r>
              <w:rPr>
                <w:rFonts w:hint="default" w:ascii="Times New Roman" w:hAnsi="Times New Roman" w:cs="Times New Roman"/>
                <w:color w:val="auto"/>
                <w:sz w:val="22"/>
                <w:szCs w:val="22"/>
              </w:rPr>
              <w:t>1-32%-4h TCFs</w:t>
            </w:r>
          </w:p>
        </w:tc>
        <w:tc>
          <w:tcPr>
            <w:tcW w:w="4459" w:type="dxa"/>
            <w:vAlign w:val="top"/>
          </w:tcPr>
          <w:p w14:paraId="1A45FD11">
            <w:pPr>
              <w:jc w:val="center"/>
              <w:rPr>
                <w:rFonts w:hint="default" w:ascii="Times New Roman" w:hAnsi="Times New Roman" w:cs="Times New Roman" w:eastAsiaTheme="minorEastAsia"/>
                <w:color w:val="auto"/>
                <w:sz w:val="22"/>
                <w:lang w:val="en-US" w:eastAsia="zh-CN"/>
              </w:rPr>
            </w:pPr>
            <w:r>
              <w:rPr>
                <w:rFonts w:hint="eastAsia" w:ascii="Times New Roman" w:hAnsi="Times New Roman" w:cs="Times New Roman"/>
                <w:color w:val="auto"/>
                <w:sz w:val="22"/>
                <w:lang w:val="en-US" w:eastAsia="zh-CN"/>
              </w:rPr>
              <w:t>8.63</w:t>
            </w:r>
          </w:p>
        </w:tc>
      </w:tr>
      <w:tr w14:paraId="05E8A91E">
        <w:tblPrEx>
          <w:tblCellMar>
            <w:top w:w="0" w:type="dxa"/>
            <w:left w:w="108" w:type="dxa"/>
            <w:bottom w:w="0" w:type="dxa"/>
            <w:right w:w="108" w:type="dxa"/>
          </w:tblCellMar>
        </w:tblPrEx>
        <w:trPr>
          <w:jc w:val="center"/>
        </w:trPr>
        <w:tc>
          <w:tcPr>
            <w:tcW w:w="4063" w:type="dxa"/>
            <w:vAlign w:val="top"/>
          </w:tcPr>
          <w:p w14:paraId="685428B3">
            <w:pPr>
              <w:jc w:val="center"/>
              <w:rPr>
                <w:rFonts w:hint="default" w:ascii="Times New Roman" w:hAnsi="Times New Roman" w:cs="Times New Roman"/>
                <w:b w:val="0"/>
                <w:bCs w:val="0"/>
                <w:color w:val="auto"/>
                <w:sz w:val="22"/>
              </w:rPr>
            </w:pPr>
            <w:r>
              <w:rPr>
                <w:rFonts w:hint="default" w:ascii="Times New Roman" w:hAnsi="Times New Roman" w:cs="Times New Roman"/>
                <w:color w:val="auto"/>
                <w:sz w:val="22"/>
                <w:szCs w:val="22"/>
              </w:rPr>
              <w:t>H-1-32%-4h TCFs</w:t>
            </w:r>
          </w:p>
        </w:tc>
        <w:tc>
          <w:tcPr>
            <w:tcW w:w="4459" w:type="dxa"/>
            <w:vAlign w:val="top"/>
          </w:tcPr>
          <w:p w14:paraId="0F7BE6A4">
            <w:pPr>
              <w:jc w:val="center"/>
              <w:rPr>
                <w:rFonts w:hint="default" w:ascii="Times New Roman" w:hAnsi="Times New Roman" w:cs="Times New Roman" w:eastAsiaTheme="minorEastAsia"/>
                <w:color w:val="auto"/>
                <w:sz w:val="22"/>
                <w:lang w:val="en-US" w:eastAsia="zh-CN"/>
              </w:rPr>
            </w:pPr>
            <w:r>
              <w:rPr>
                <w:rFonts w:hint="eastAsia" w:ascii="Times New Roman" w:hAnsi="Times New Roman" w:cs="Times New Roman"/>
                <w:color w:val="auto"/>
                <w:sz w:val="22"/>
                <w:lang w:val="en-US" w:eastAsia="zh-CN"/>
              </w:rPr>
              <w:t>30.36</w:t>
            </w:r>
          </w:p>
        </w:tc>
      </w:tr>
    </w:tbl>
    <w:p w14:paraId="6B6A757D">
      <w:pPr>
        <w:rPr>
          <w:rFonts w:ascii="Times New Roman" w:hAnsi="Times New Roman" w:cs="Times New Roman"/>
          <w:b/>
          <w:bCs/>
          <w:sz w:val="22"/>
        </w:rPr>
      </w:pPr>
    </w:p>
    <w:p w14:paraId="270B6856">
      <w:pPr>
        <w:rPr>
          <w:rFonts w:ascii="Times New Roman" w:hAnsi="Times New Roman" w:cs="Times New Roman"/>
          <w:b/>
          <w:bCs/>
          <w:sz w:val="22"/>
        </w:rPr>
      </w:pPr>
    </w:p>
    <w:p w14:paraId="3404DB23">
      <w:pPr>
        <w:rPr>
          <w:rFonts w:ascii="Times New Roman" w:hAnsi="Times New Roman" w:cs="Times New Roman"/>
          <w:b/>
          <w:bCs/>
          <w:sz w:val="22"/>
        </w:rPr>
      </w:pPr>
    </w:p>
    <w:p w14:paraId="2B372991">
      <w:pPr>
        <w:rPr>
          <w:rFonts w:ascii="Times New Roman" w:hAnsi="Times New Roman" w:cs="Times New Roman"/>
          <w:b/>
          <w:bCs/>
          <w:sz w:val="22"/>
        </w:rPr>
      </w:pPr>
    </w:p>
    <w:p w14:paraId="3A9F5B70">
      <w:pPr>
        <w:rPr>
          <w:rFonts w:ascii="Times New Roman" w:hAnsi="Times New Roman" w:cs="Times New Roman"/>
          <w:b/>
          <w:bCs/>
          <w:sz w:val="22"/>
        </w:rPr>
      </w:pPr>
    </w:p>
    <w:p w14:paraId="66D6473D">
      <w:pPr>
        <w:rPr>
          <w:rFonts w:ascii="Times New Roman" w:hAnsi="Times New Roman" w:cs="Times New Roman"/>
          <w:b/>
          <w:bCs/>
          <w:sz w:val="22"/>
        </w:rPr>
      </w:pPr>
    </w:p>
    <w:p w14:paraId="0EE7AE4E">
      <w:pPr>
        <w:rPr>
          <w:rFonts w:ascii="Times New Roman" w:hAnsi="Times New Roman" w:cs="Times New Roman"/>
          <w:b/>
          <w:bCs/>
          <w:sz w:val="22"/>
        </w:rPr>
      </w:pPr>
    </w:p>
    <w:p w14:paraId="74EBCE6F">
      <w:pPr>
        <w:rPr>
          <w:rFonts w:ascii="Times New Roman" w:hAnsi="Times New Roman" w:cs="Times New Roman"/>
          <w:b/>
          <w:bCs/>
          <w:sz w:val="22"/>
        </w:rPr>
      </w:pPr>
    </w:p>
    <w:p w14:paraId="174AC64C">
      <w:pPr>
        <w:rPr>
          <w:rFonts w:ascii="Times New Roman" w:hAnsi="Times New Roman" w:cs="Times New Roman"/>
          <w:b/>
          <w:bCs/>
          <w:sz w:val="22"/>
        </w:rPr>
      </w:pPr>
    </w:p>
    <w:p w14:paraId="19EFBB0E">
      <w:pPr>
        <w:rPr>
          <w:rFonts w:ascii="Times New Roman" w:hAnsi="Times New Roman" w:cs="Times New Roman"/>
          <w:b/>
          <w:bCs/>
          <w:sz w:val="22"/>
        </w:rPr>
      </w:pPr>
    </w:p>
    <w:p w14:paraId="0EC57C0F">
      <w:pPr>
        <w:rPr>
          <w:rFonts w:ascii="Times New Roman" w:hAnsi="Times New Roman" w:cs="Times New Roman"/>
          <w:b/>
          <w:bCs/>
          <w:sz w:val="22"/>
        </w:rPr>
      </w:pPr>
    </w:p>
    <w:p w14:paraId="6235D302">
      <w:pPr>
        <w:rPr>
          <w:rFonts w:ascii="Times New Roman" w:hAnsi="Times New Roman" w:cs="Times New Roman"/>
          <w:b/>
          <w:bCs/>
          <w:sz w:val="22"/>
        </w:rPr>
      </w:pPr>
    </w:p>
    <w:p w14:paraId="6CABEBA7">
      <w:pPr>
        <w:rPr>
          <w:rFonts w:ascii="Times New Roman" w:hAnsi="Times New Roman" w:cs="Times New Roman"/>
          <w:b/>
          <w:bCs/>
          <w:sz w:val="22"/>
        </w:rPr>
      </w:pPr>
    </w:p>
    <w:p w14:paraId="5FDE8EAA">
      <w:pPr>
        <w:rPr>
          <w:rFonts w:ascii="Times New Roman" w:hAnsi="Times New Roman" w:cs="Times New Roman"/>
          <w:b/>
          <w:bCs/>
          <w:sz w:val="22"/>
        </w:rPr>
      </w:pPr>
    </w:p>
    <w:p w14:paraId="2BACA4A5">
      <w:pPr>
        <w:rPr>
          <w:rFonts w:ascii="Times New Roman" w:hAnsi="Times New Roman" w:cs="Times New Roman"/>
          <w:b/>
          <w:bCs/>
          <w:sz w:val="22"/>
        </w:rPr>
      </w:pPr>
    </w:p>
    <w:p w14:paraId="09BE2456">
      <w:pPr>
        <w:rPr>
          <w:rFonts w:ascii="Times New Roman" w:hAnsi="Times New Roman" w:cs="Times New Roman"/>
          <w:b/>
          <w:bCs/>
          <w:sz w:val="22"/>
        </w:rPr>
      </w:pPr>
    </w:p>
    <w:p w14:paraId="68F5632C">
      <w:pPr>
        <w:rPr>
          <w:rFonts w:ascii="Times New Roman" w:hAnsi="Times New Roman" w:cs="Times New Roman"/>
          <w:b/>
          <w:bCs/>
          <w:sz w:val="22"/>
        </w:rPr>
      </w:pPr>
    </w:p>
    <w:p w14:paraId="3B8FBD01">
      <w:pPr>
        <w:rPr>
          <w:rFonts w:ascii="Times New Roman" w:hAnsi="Times New Roman" w:cs="Times New Roman"/>
          <w:b/>
          <w:bCs/>
          <w:sz w:val="22"/>
        </w:rPr>
      </w:pPr>
    </w:p>
    <w:p w14:paraId="1C100F9E">
      <w:pPr>
        <w:rPr>
          <w:rFonts w:ascii="Times New Roman" w:hAnsi="Times New Roman" w:cs="Times New Roman"/>
          <w:b/>
          <w:bCs/>
          <w:sz w:val="22"/>
        </w:rPr>
      </w:pPr>
    </w:p>
    <w:p w14:paraId="7F6DB072">
      <w:pPr>
        <w:rPr>
          <w:rFonts w:ascii="Times New Roman" w:hAnsi="Times New Roman" w:cs="Times New Roman"/>
          <w:b/>
          <w:bCs/>
          <w:sz w:val="22"/>
        </w:rPr>
      </w:pPr>
    </w:p>
    <w:p w14:paraId="3D62A0D0">
      <w:pPr>
        <w:rPr>
          <w:rFonts w:ascii="Times New Roman" w:hAnsi="Times New Roman" w:cs="Times New Roman"/>
          <w:b/>
          <w:bCs/>
          <w:sz w:val="22"/>
        </w:rPr>
      </w:pPr>
    </w:p>
    <w:p w14:paraId="09AB3138">
      <w:pPr>
        <w:rPr>
          <w:rFonts w:ascii="Times New Roman" w:hAnsi="Times New Roman" w:cs="Times New Roman"/>
          <w:b/>
          <w:bCs/>
          <w:sz w:val="22"/>
        </w:rPr>
      </w:pPr>
    </w:p>
    <w:p w14:paraId="42C8A922">
      <w:pPr>
        <w:rPr>
          <w:rFonts w:ascii="Times New Roman" w:hAnsi="Times New Roman" w:cs="Times New Roman"/>
          <w:b/>
          <w:bCs/>
          <w:sz w:val="22"/>
        </w:rPr>
      </w:pPr>
    </w:p>
    <w:p w14:paraId="2439C22D">
      <w:pPr>
        <w:rPr>
          <w:rFonts w:ascii="Times New Roman" w:hAnsi="Times New Roman" w:cs="Times New Roman"/>
          <w:b/>
          <w:bCs/>
          <w:sz w:val="22"/>
        </w:rPr>
      </w:pPr>
    </w:p>
    <w:p w14:paraId="06E701CC">
      <w:pPr>
        <w:rPr>
          <w:rFonts w:ascii="Times New Roman" w:hAnsi="Times New Roman" w:cs="Times New Roman"/>
          <w:b/>
          <w:bCs/>
          <w:sz w:val="22"/>
        </w:rPr>
      </w:pPr>
    </w:p>
    <w:p w14:paraId="283A2AD9">
      <w:pPr>
        <w:rPr>
          <w:rFonts w:ascii="Times New Roman" w:hAnsi="Times New Roman" w:cs="Times New Roman"/>
          <w:b/>
          <w:bCs/>
          <w:sz w:val="22"/>
        </w:rPr>
      </w:pPr>
    </w:p>
    <w:p w14:paraId="4E04E85B">
      <w:pPr>
        <w:rPr>
          <w:rFonts w:ascii="Times New Roman" w:hAnsi="Times New Roman" w:cs="Times New Roman"/>
          <w:b/>
          <w:bCs/>
          <w:sz w:val="22"/>
        </w:rPr>
      </w:pPr>
    </w:p>
    <w:p w14:paraId="03CA2888">
      <w:pPr>
        <w:rPr>
          <w:rFonts w:ascii="Times New Roman" w:hAnsi="Times New Roman" w:cs="Times New Roman"/>
          <w:b/>
          <w:bCs/>
          <w:sz w:val="22"/>
        </w:rPr>
      </w:pPr>
    </w:p>
    <w:p w14:paraId="59BE26E2">
      <w:pPr>
        <w:rPr>
          <w:rFonts w:ascii="Times New Roman" w:hAnsi="Times New Roman" w:cs="Times New Roman"/>
          <w:b/>
          <w:bCs/>
          <w:sz w:val="22"/>
        </w:rPr>
      </w:pPr>
    </w:p>
    <w:p w14:paraId="42C981F7">
      <w:pPr>
        <w:rPr>
          <w:rFonts w:ascii="Times New Roman" w:hAnsi="Times New Roman" w:cs="Times New Roman"/>
          <w:b/>
          <w:bCs/>
          <w:sz w:val="22"/>
        </w:rPr>
      </w:pPr>
    </w:p>
    <w:p w14:paraId="4090541F">
      <w:pPr>
        <w:rPr>
          <w:rFonts w:ascii="Times New Roman" w:hAnsi="Times New Roman" w:cs="Times New Roman"/>
          <w:b/>
          <w:bCs/>
          <w:sz w:val="22"/>
        </w:rPr>
      </w:pPr>
    </w:p>
    <w:p w14:paraId="47937EC8">
      <w:pPr>
        <w:rPr>
          <w:rFonts w:ascii="Times New Roman" w:hAnsi="Times New Roman" w:cs="Times New Roman"/>
          <w:b/>
          <w:bCs/>
          <w:sz w:val="22"/>
        </w:rPr>
      </w:pPr>
    </w:p>
    <w:p w14:paraId="0D80D017">
      <w:pPr>
        <w:rPr>
          <w:rFonts w:ascii="Times New Roman" w:hAnsi="Times New Roman" w:cs="Times New Roman"/>
          <w:b/>
          <w:bCs/>
          <w:sz w:val="22"/>
        </w:rPr>
      </w:pPr>
    </w:p>
    <w:p w14:paraId="0CE972B9">
      <w:pPr>
        <w:rPr>
          <w:rFonts w:ascii="Times New Roman" w:hAnsi="Times New Roman" w:cs="Times New Roman"/>
          <w:b/>
          <w:bCs/>
          <w:sz w:val="22"/>
        </w:rPr>
      </w:pPr>
    </w:p>
    <w:p w14:paraId="7E7F3855">
      <w:pPr>
        <w:rPr>
          <w:rFonts w:ascii="Times New Roman" w:hAnsi="Times New Roman" w:cs="Times New Roman"/>
          <w:b/>
          <w:bCs/>
          <w:sz w:val="22"/>
        </w:rPr>
      </w:pPr>
    </w:p>
    <w:p w14:paraId="4002EAEB">
      <w:pPr>
        <w:rPr>
          <w:rFonts w:ascii="Times New Roman" w:hAnsi="Times New Roman" w:cs="Times New Roman"/>
          <w:b/>
          <w:bCs/>
          <w:sz w:val="22"/>
        </w:rPr>
      </w:pPr>
    </w:p>
    <w:p w14:paraId="46FD2817">
      <w:pPr>
        <w:rPr>
          <w:rFonts w:ascii="Times New Roman" w:hAnsi="Times New Roman" w:cs="Times New Roman"/>
          <w:b/>
          <w:bCs/>
          <w:sz w:val="22"/>
        </w:rPr>
      </w:pPr>
    </w:p>
    <w:p w14:paraId="24D9C49C">
      <w:pPr>
        <w:rPr>
          <w:rFonts w:ascii="Times New Roman" w:hAnsi="Times New Roman" w:cs="Times New Roman"/>
          <w:b/>
          <w:bCs/>
          <w:sz w:val="22"/>
        </w:rPr>
      </w:pPr>
    </w:p>
    <w:p w14:paraId="36EAC2E0">
      <w:pPr>
        <w:rPr>
          <w:rFonts w:ascii="Times New Roman" w:hAnsi="Times New Roman" w:cs="Times New Roman"/>
          <w:b/>
          <w:bCs/>
          <w:sz w:val="22"/>
        </w:rPr>
      </w:pPr>
    </w:p>
    <w:p w14:paraId="071118CE">
      <w:pPr>
        <w:jc w:val="left"/>
        <w:rPr>
          <w:rFonts w:ascii="Times New Roman" w:hAnsi="Times New Roman" w:cs="Times New Roman"/>
          <w:sz w:val="22"/>
        </w:rPr>
      </w:pPr>
      <w:r>
        <w:rPr>
          <w:rFonts w:hint="eastAsia" w:ascii="Times New Roman" w:hAnsi="Times New Roman" w:cs="Times New Roman"/>
          <w:b/>
          <w:bCs/>
          <w:sz w:val="22"/>
        </w:rPr>
        <w:t xml:space="preserve">Supplementary </w:t>
      </w:r>
      <w:r>
        <w:rPr>
          <w:rFonts w:ascii="Times New Roman" w:hAnsi="Times New Roman" w:cs="Times New Roman"/>
          <w:b/>
          <w:sz w:val="22"/>
        </w:rPr>
        <w:t>Table</w:t>
      </w:r>
      <w:r>
        <w:rPr>
          <w:rFonts w:hint="eastAsia" w:ascii="Times New Roman" w:hAnsi="Times New Roman" w:cs="Times New Roman"/>
          <w:b/>
          <w:sz w:val="22"/>
        </w:rPr>
        <w:t xml:space="preserve"> </w:t>
      </w:r>
      <w:r>
        <w:rPr>
          <w:rFonts w:hint="eastAsia" w:ascii="Times New Roman" w:hAnsi="Times New Roman" w:cs="Times New Roman"/>
          <w:b/>
          <w:sz w:val="22"/>
          <w:lang w:val="en-US" w:eastAsia="zh-CN"/>
        </w:rPr>
        <w:t>3</w:t>
      </w:r>
      <w:r>
        <w:rPr>
          <w:rFonts w:hint="eastAsia" w:ascii="Times New Roman" w:hAnsi="Times New Roman" w:cs="Times New Roman"/>
          <w:b/>
          <w:sz w:val="22"/>
        </w:rPr>
        <w:t>.</w:t>
      </w:r>
      <w:r>
        <w:rPr>
          <w:rFonts w:ascii="Times New Roman" w:hAnsi="Times New Roman" w:cs="Times New Roman"/>
          <w:sz w:val="22"/>
        </w:rPr>
        <w:t xml:space="preserve"> EXAFS fitting parameters at the</w:t>
      </w:r>
      <w:r>
        <w:rPr>
          <w:rFonts w:hint="eastAsia" w:ascii="Times New Roman" w:hAnsi="Times New Roman" w:cs="Times New Roman"/>
          <w:sz w:val="22"/>
        </w:rPr>
        <w:t xml:space="preserve"> </w:t>
      </w:r>
      <w:r>
        <w:rPr>
          <w:rFonts w:ascii="Times New Roman" w:hAnsi="Times New Roman" w:cs="Times New Roman"/>
          <w:sz w:val="22"/>
        </w:rPr>
        <w:t>C</w:t>
      </w:r>
      <w:r>
        <w:rPr>
          <w:rFonts w:hint="eastAsia" w:ascii="Times New Roman" w:hAnsi="Times New Roman" w:cs="Times New Roman"/>
          <w:sz w:val="22"/>
        </w:rPr>
        <w:t>u</w:t>
      </w:r>
      <w:r>
        <w:rPr>
          <w:rFonts w:ascii="Times New Roman" w:hAnsi="Times New Roman" w:cs="Times New Roman"/>
          <w:sz w:val="22"/>
        </w:rPr>
        <w:t xml:space="preserve"> K-edge for various samples</w:t>
      </w:r>
    </w:p>
    <w:tbl>
      <w:tblPr>
        <w:tblStyle w:val="43"/>
        <w:tblW w:w="8522"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fixed"/>
        <w:tblCellMar>
          <w:top w:w="0" w:type="dxa"/>
          <w:left w:w="108" w:type="dxa"/>
          <w:bottom w:w="0" w:type="dxa"/>
          <w:right w:w="108" w:type="dxa"/>
        </w:tblCellMar>
      </w:tblPr>
      <w:tblGrid>
        <w:gridCol w:w="1313"/>
        <w:gridCol w:w="1102"/>
        <w:gridCol w:w="883"/>
        <w:gridCol w:w="1279"/>
        <w:gridCol w:w="1553"/>
        <w:gridCol w:w="1244"/>
        <w:gridCol w:w="1148"/>
      </w:tblGrid>
      <w:tr w14:paraId="0D30148D">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24" w:hRule="atLeast"/>
        </w:trPr>
        <w:tc>
          <w:tcPr>
            <w:tcW w:w="1313" w:type="dxa"/>
            <w:tcBorders>
              <w:top w:val="single" w:color="auto" w:sz="12" w:space="0"/>
              <w:left w:val="single" w:color="FFFFFF" w:themeColor="background1" w:sz="4" w:space="0"/>
              <w:bottom w:val="single" w:color="auto" w:sz="12" w:space="0"/>
              <w:right w:val="single" w:color="FFFFFF" w:themeColor="background1" w:sz="4" w:space="0"/>
            </w:tcBorders>
            <w:vAlign w:val="center"/>
          </w:tcPr>
          <w:p w14:paraId="463D6046">
            <w:pPr>
              <w:pStyle w:val="42"/>
              <w:spacing w:after="0"/>
              <w:jc w:val="center"/>
              <w:rPr>
                <w:rFonts w:ascii="Times New Roman" w:hAnsi="Times New Roman"/>
                <w:b w:val="0"/>
                <w:bCs w:val="0"/>
                <w:kern w:val="2"/>
                <w:sz w:val="22"/>
                <w:szCs w:val="22"/>
              </w:rPr>
            </w:pPr>
            <w:r>
              <w:rPr>
                <w:rFonts w:ascii="Times New Roman" w:hAnsi="Times New Roman"/>
                <w:b w:val="0"/>
                <w:bCs w:val="0"/>
                <w:kern w:val="2"/>
                <w:sz w:val="22"/>
                <w:szCs w:val="22"/>
              </w:rPr>
              <w:t>Sample</w:t>
            </w:r>
          </w:p>
        </w:tc>
        <w:tc>
          <w:tcPr>
            <w:tcW w:w="1102" w:type="dxa"/>
            <w:tcBorders>
              <w:top w:val="single" w:color="auto" w:sz="12" w:space="0"/>
              <w:left w:val="single" w:color="FFFFFF" w:themeColor="background1" w:sz="4" w:space="0"/>
              <w:bottom w:val="single" w:color="auto" w:sz="12" w:space="0"/>
              <w:right w:val="single" w:color="FFFFFF" w:themeColor="background1" w:sz="4" w:space="0"/>
            </w:tcBorders>
            <w:vAlign w:val="center"/>
          </w:tcPr>
          <w:p w14:paraId="31BE653D">
            <w:pPr>
              <w:pStyle w:val="42"/>
              <w:spacing w:after="0"/>
              <w:jc w:val="center"/>
              <w:rPr>
                <w:rFonts w:ascii="Times New Roman" w:hAnsi="Times New Roman"/>
                <w:b w:val="0"/>
                <w:bCs w:val="0"/>
                <w:kern w:val="2"/>
                <w:sz w:val="22"/>
                <w:szCs w:val="22"/>
              </w:rPr>
            </w:pPr>
            <w:r>
              <w:rPr>
                <w:rFonts w:ascii="Times New Roman" w:hAnsi="Times New Roman"/>
                <w:b w:val="0"/>
                <w:bCs w:val="0"/>
                <w:kern w:val="2"/>
                <w:sz w:val="22"/>
                <w:szCs w:val="22"/>
              </w:rPr>
              <w:t>Shell</w:t>
            </w:r>
          </w:p>
        </w:tc>
        <w:tc>
          <w:tcPr>
            <w:tcW w:w="883" w:type="dxa"/>
            <w:tcBorders>
              <w:top w:val="single" w:color="auto" w:sz="12" w:space="0"/>
              <w:left w:val="single" w:color="FFFFFF" w:themeColor="background1" w:sz="4" w:space="0"/>
              <w:bottom w:val="single" w:color="auto" w:sz="12" w:space="0"/>
              <w:right w:val="single" w:color="FFFFFF" w:themeColor="background1" w:sz="4" w:space="0"/>
            </w:tcBorders>
            <w:vAlign w:val="center"/>
          </w:tcPr>
          <w:p w14:paraId="332C422F">
            <w:pPr>
              <w:pStyle w:val="42"/>
              <w:spacing w:after="0"/>
              <w:jc w:val="center"/>
              <w:rPr>
                <w:rFonts w:ascii="Times New Roman" w:hAnsi="Times New Roman"/>
                <w:b w:val="0"/>
                <w:bCs w:val="0"/>
                <w:kern w:val="2"/>
                <w:sz w:val="22"/>
                <w:szCs w:val="22"/>
              </w:rPr>
            </w:pPr>
            <w:r>
              <w:rPr>
                <w:rFonts w:ascii="Times New Roman" w:hAnsi="Times New Roman"/>
                <w:b w:val="0"/>
                <w:bCs w:val="0"/>
                <w:kern w:val="2"/>
                <w:sz w:val="22"/>
                <w:szCs w:val="22"/>
              </w:rPr>
              <w:t xml:space="preserve">N </w:t>
            </w:r>
            <w:r>
              <w:rPr>
                <w:rFonts w:ascii="Times New Roman" w:hAnsi="Times New Roman"/>
                <w:b w:val="0"/>
                <w:bCs w:val="0"/>
                <w:kern w:val="2"/>
                <w:sz w:val="22"/>
                <w:szCs w:val="22"/>
                <w:vertAlign w:val="superscript"/>
              </w:rPr>
              <w:t>a</w:t>
            </w:r>
          </w:p>
        </w:tc>
        <w:tc>
          <w:tcPr>
            <w:tcW w:w="1279" w:type="dxa"/>
            <w:tcBorders>
              <w:top w:val="single" w:color="auto" w:sz="12" w:space="0"/>
              <w:left w:val="single" w:color="FFFFFF" w:themeColor="background1" w:sz="4" w:space="0"/>
              <w:bottom w:val="single" w:color="auto" w:sz="12" w:space="0"/>
              <w:right w:val="single" w:color="FFFFFF" w:themeColor="background1" w:sz="4" w:space="0"/>
            </w:tcBorders>
            <w:vAlign w:val="center"/>
          </w:tcPr>
          <w:p w14:paraId="1D9F2551">
            <w:pPr>
              <w:pStyle w:val="42"/>
              <w:spacing w:after="0"/>
              <w:jc w:val="center"/>
              <w:rPr>
                <w:rFonts w:ascii="Times New Roman" w:hAnsi="Times New Roman"/>
                <w:b w:val="0"/>
                <w:bCs w:val="0"/>
                <w:kern w:val="2"/>
                <w:sz w:val="22"/>
                <w:szCs w:val="22"/>
              </w:rPr>
            </w:pPr>
            <w:r>
              <w:rPr>
                <w:rFonts w:ascii="Times New Roman" w:hAnsi="Times New Roman"/>
                <w:b w:val="0"/>
                <w:bCs w:val="0"/>
                <w:kern w:val="2"/>
                <w:sz w:val="22"/>
                <w:szCs w:val="22"/>
              </w:rPr>
              <w:t xml:space="preserve">R (Å) </w:t>
            </w:r>
            <w:r>
              <w:rPr>
                <w:rFonts w:ascii="Times New Roman" w:hAnsi="Times New Roman"/>
                <w:b w:val="0"/>
                <w:bCs w:val="0"/>
                <w:kern w:val="2"/>
                <w:sz w:val="22"/>
                <w:szCs w:val="22"/>
                <w:vertAlign w:val="superscript"/>
              </w:rPr>
              <w:t>b</w:t>
            </w:r>
          </w:p>
        </w:tc>
        <w:tc>
          <w:tcPr>
            <w:tcW w:w="1553" w:type="dxa"/>
            <w:tcBorders>
              <w:top w:val="single" w:color="auto" w:sz="12" w:space="0"/>
              <w:left w:val="single" w:color="FFFFFF" w:themeColor="background1" w:sz="4" w:space="0"/>
              <w:bottom w:val="single" w:color="auto" w:sz="12" w:space="0"/>
              <w:right w:val="single" w:color="FFFFFF" w:themeColor="background1" w:sz="4" w:space="0"/>
            </w:tcBorders>
            <w:vAlign w:val="center"/>
          </w:tcPr>
          <w:p w14:paraId="1BF884D8">
            <w:pPr>
              <w:pStyle w:val="42"/>
              <w:spacing w:after="0"/>
              <w:jc w:val="center"/>
              <w:rPr>
                <w:rFonts w:ascii="Times New Roman" w:hAnsi="Times New Roman"/>
                <w:b w:val="0"/>
                <w:bCs w:val="0"/>
                <w:kern w:val="2"/>
                <w:sz w:val="22"/>
                <w:szCs w:val="22"/>
              </w:rPr>
            </w:pPr>
            <w:r>
              <w:rPr>
                <w:rFonts w:ascii="Times New Roman" w:hAnsi="Times New Roman"/>
                <w:b w:val="0"/>
                <w:bCs w:val="0"/>
                <w:kern w:val="2"/>
                <w:sz w:val="22"/>
                <w:szCs w:val="22"/>
              </w:rPr>
              <w:t>σ</w:t>
            </w:r>
            <w:r>
              <w:rPr>
                <w:rFonts w:ascii="Times New Roman" w:hAnsi="Times New Roman"/>
                <w:b w:val="0"/>
                <w:bCs w:val="0"/>
                <w:kern w:val="2"/>
                <w:sz w:val="22"/>
                <w:szCs w:val="22"/>
                <w:vertAlign w:val="superscript"/>
              </w:rPr>
              <w:t>2</w:t>
            </w:r>
            <w:r>
              <w:rPr>
                <w:rFonts w:ascii="Times New Roman" w:hAnsi="Times New Roman"/>
                <w:b w:val="0"/>
                <w:bCs w:val="0"/>
                <w:kern w:val="2"/>
                <w:sz w:val="22"/>
                <w:szCs w:val="22"/>
              </w:rPr>
              <w:t xml:space="preserve"> (Å</w:t>
            </w:r>
            <w:r>
              <w:rPr>
                <w:rFonts w:ascii="Times New Roman" w:hAnsi="Times New Roman"/>
                <w:b w:val="0"/>
                <w:bCs w:val="0"/>
                <w:kern w:val="2"/>
                <w:sz w:val="22"/>
                <w:szCs w:val="22"/>
                <w:vertAlign w:val="superscript"/>
              </w:rPr>
              <w:t>2</w:t>
            </w:r>
            <w:r>
              <w:rPr>
                <w:rFonts w:ascii="Times New Roman" w:hAnsi="Times New Roman"/>
                <w:b w:val="0"/>
                <w:bCs w:val="0"/>
                <w:kern w:val="2"/>
                <w:sz w:val="22"/>
                <w:szCs w:val="22"/>
              </w:rPr>
              <w:t>·10</w:t>
            </w:r>
            <w:r>
              <w:rPr>
                <w:rFonts w:ascii="Times New Roman" w:hAnsi="Times New Roman"/>
                <w:b w:val="0"/>
                <w:bCs w:val="0"/>
                <w:kern w:val="2"/>
                <w:sz w:val="22"/>
                <w:szCs w:val="22"/>
                <w:vertAlign w:val="superscript"/>
              </w:rPr>
              <w:t>-3</w:t>
            </w:r>
            <w:r>
              <w:rPr>
                <w:rFonts w:ascii="Times New Roman" w:hAnsi="Times New Roman"/>
                <w:b w:val="0"/>
                <w:bCs w:val="0"/>
                <w:kern w:val="2"/>
                <w:sz w:val="22"/>
                <w:szCs w:val="22"/>
              </w:rPr>
              <w:t xml:space="preserve">) </w:t>
            </w:r>
            <w:r>
              <w:rPr>
                <w:rFonts w:ascii="Times New Roman" w:hAnsi="Times New Roman"/>
                <w:b w:val="0"/>
                <w:bCs w:val="0"/>
                <w:kern w:val="2"/>
                <w:sz w:val="22"/>
                <w:szCs w:val="22"/>
                <w:vertAlign w:val="superscript"/>
              </w:rPr>
              <w:t>c</w:t>
            </w:r>
          </w:p>
        </w:tc>
        <w:tc>
          <w:tcPr>
            <w:tcW w:w="1244" w:type="dxa"/>
            <w:tcBorders>
              <w:top w:val="single" w:color="auto" w:sz="12" w:space="0"/>
              <w:left w:val="single" w:color="FFFFFF" w:themeColor="background1" w:sz="4" w:space="0"/>
              <w:bottom w:val="single" w:color="auto" w:sz="12" w:space="0"/>
              <w:right w:val="single" w:color="FFFFFF" w:themeColor="background1" w:sz="4" w:space="0"/>
            </w:tcBorders>
            <w:vAlign w:val="center"/>
          </w:tcPr>
          <w:p w14:paraId="7DFE76D8">
            <w:pPr>
              <w:pStyle w:val="42"/>
              <w:spacing w:after="0"/>
              <w:jc w:val="center"/>
              <w:rPr>
                <w:rFonts w:ascii="Times New Roman" w:hAnsi="Times New Roman"/>
                <w:b w:val="0"/>
                <w:bCs w:val="0"/>
                <w:kern w:val="2"/>
                <w:sz w:val="22"/>
                <w:szCs w:val="22"/>
              </w:rPr>
            </w:pPr>
            <w:r>
              <w:rPr>
                <w:rFonts w:ascii="Times New Roman" w:hAnsi="Times New Roman"/>
                <w:b w:val="0"/>
                <w:bCs w:val="0"/>
                <w:kern w:val="2"/>
                <w:sz w:val="22"/>
                <w:szCs w:val="22"/>
              </w:rPr>
              <w:t>ΔE</w:t>
            </w:r>
            <w:r>
              <w:rPr>
                <w:rFonts w:ascii="Times New Roman" w:hAnsi="Times New Roman"/>
                <w:b w:val="0"/>
                <w:bCs w:val="0"/>
                <w:kern w:val="2"/>
                <w:sz w:val="22"/>
                <w:szCs w:val="22"/>
                <w:vertAlign w:val="subscript"/>
              </w:rPr>
              <w:t>0</w:t>
            </w:r>
            <w:r>
              <w:rPr>
                <w:rFonts w:ascii="Times New Roman" w:hAnsi="Times New Roman"/>
                <w:b w:val="0"/>
                <w:bCs w:val="0"/>
                <w:kern w:val="2"/>
                <w:sz w:val="22"/>
                <w:szCs w:val="22"/>
              </w:rPr>
              <w:t xml:space="preserve"> (eV) </w:t>
            </w:r>
            <w:r>
              <w:rPr>
                <w:rFonts w:ascii="Times New Roman" w:hAnsi="Times New Roman"/>
                <w:b w:val="0"/>
                <w:bCs w:val="0"/>
                <w:kern w:val="2"/>
                <w:sz w:val="22"/>
                <w:szCs w:val="22"/>
                <w:vertAlign w:val="superscript"/>
              </w:rPr>
              <w:t>d</w:t>
            </w:r>
          </w:p>
        </w:tc>
        <w:tc>
          <w:tcPr>
            <w:tcW w:w="1148" w:type="dxa"/>
            <w:tcBorders>
              <w:top w:val="single" w:color="auto" w:sz="12" w:space="0"/>
              <w:left w:val="single" w:color="FFFFFF" w:themeColor="background1" w:sz="4" w:space="0"/>
              <w:bottom w:val="single" w:color="auto" w:sz="12" w:space="0"/>
              <w:right w:val="single" w:color="FFFFFF" w:themeColor="background1" w:sz="4" w:space="0"/>
            </w:tcBorders>
            <w:vAlign w:val="center"/>
          </w:tcPr>
          <w:p w14:paraId="7703106D">
            <w:pPr>
              <w:pStyle w:val="42"/>
              <w:spacing w:after="0"/>
              <w:jc w:val="center"/>
              <w:rPr>
                <w:rFonts w:ascii="Times New Roman" w:hAnsi="Times New Roman"/>
                <w:b w:val="0"/>
                <w:bCs w:val="0"/>
                <w:kern w:val="2"/>
                <w:sz w:val="22"/>
                <w:szCs w:val="22"/>
              </w:rPr>
            </w:pPr>
            <w:r>
              <w:rPr>
                <w:rFonts w:ascii="Times New Roman" w:hAnsi="Times New Roman"/>
                <w:b w:val="0"/>
                <w:bCs w:val="0"/>
                <w:kern w:val="2"/>
                <w:sz w:val="22"/>
                <w:szCs w:val="22"/>
              </w:rPr>
              <w:t>R factor (%)</w:t>
            </w:r>
          </w:p>
        </w:tc>
      </w:tr>
      <w:tr w14:paraId="42CA9330">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24" w:hRule="atLeast"/>
        </w:trPr>
        <w:tc>
          <w:tcPr>
            <w:tcW w:w="1313" w:type="dxa"/>
            <w:tcBorders>
              <w:top w:val="single" w:color="auto" w:sz="12" w:space="0"/>
              <w:left w:val="single" w:color="FFFFFF" w:themeColor="background1" w:sz="4" w:space="0"/>
              <w:bottom w:val="single" w:color="FFFFFF" w:themeColor="background1" w:sz="4" w:space="0"/>
              <w:right w:val="single" w:color="FFFFFF" w:themeColor="background1" w:sz="4" w:space="0"/>
            </w:tcBorders>
            <w:vAlign w:val="center"/>
          </w:tcPr>
          <w:p w14:paraId="2C10D627">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C</w:t>
            </w:r>
            <w:r>
              <w:rPr>
                <w:rFonts w:hint="eastAsia" w:ascii="Times New Roman" w:hAnsi="Times New Roman"/>
                <w:kern w:val="2"/>
                <w:sz w:val="22"/>
                <w:szCs w:val="22"/>
                <w:lang w:eastAsia="zh-CN"/>
              </w:rPr>
              <w:t>u</w:t>
            </w:r>
            <w:r>
              <w:rPr>
                <w:rFonts w:ascii="Times New Roman" w:hAnsi="Times New Roman"/>
                <w:kern w:val="2"/>
                <w:sz w:val="22"/>
                <w:szCs w:val="22"/>
                <w:lang w:eastAsia="zh-CN"/>
              </w:rPr>
              <w:t xml:space="preserve"> </w:t>
            </w:r>
            <w:r>
              <w:rPr>
                <w:rFonts w:hint="eastAsia" w:ascii="Times New Roman" w:hAnsi="Times New Roman"/>
                <w:kern w:val="2"/>
                <w:sz w:val="22"/>
                <w:szCs w:val="22"/>
                <w:lang w:eastAsia="zh-CN"/>
              </w:rPr>
              <w:t>foil</w:t>
            </w:r>
          </w:p>
        </w:tc>
        <w:tc>
          <w:tcPr>
            <w:tcW w:w="1102" w:type="dxa"/>
            <w:tcBorders>
              <w:top w:val="single" w:color="auto" w:sz="12" w:space="0"/>
              <w:left w:val="single" w:color="FFFFFF" w:themeColor="background1" w:sz="4" w:space="0"/>
              <w:bottom w:val="single" w:color="FFFFFF" w:themeColor="background1" w:sz="4" w:space="0"/>
              <w:right w:val="single" w:color="FFFFFF" w:themeColor="background1" w:sz="4" w:space="0"/>
            </w:tcBorders>
            <w:vAlign w:val="center"/>
          </w:tcPr>
          <w:p w14:paraId="0487E2B5">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C</w:t>
            </w:r>
            <w:r>
              <w:rPr>
                <w:rFonts w:hint="eastAsia" w:ascii="Times New Roman" w:hAnsi="Times New Roman"/>
                <w:kern w:val="2"/>
                <w:sz w:val="22"/>
                <w:szCs w:val="22"/>
                <w:lang w:eastAsia="zh-CN"/>
              </w:rPr>
              <w:t>u</w:t>
            </w:r>
            <w:r>
              <w:rPr>
                <w:rFonts w:ascii="Times New Roman" w:hAnsi="Times New Roman"/>
                <w:kern w:val="2"/>
                <w:sz w:val="22"/>
                <w:szCs w:val="22"/>
                <w:lang w:eastAsia="zh-CN"/>
              </w:rPr>
              <w:t>-C</w:t>
            </w:r>
            <w:r>
              <w:rPr>
                <w:rFonts w:hint="eastAsia" w:ascii="Times New Roman" w:hAnsi="Times New Roman"/>
                <w:kern w:val="2"/>
                <w:sz w:val="22"/>
                <w:szCs w:val="22"/>
                <w:lang w:eastAsia="zh-CN"/>
              </w:rPr>
              <w:t>u</w:t>
            </w:r>
          </w:p>
        </w:tc>
        <w:tc>
          <w:tcPr>
            <w:tcW w:w="883" w:type="dxa"/>
            <w:tcBorders>
              <w:top w:val="single" w:color="auto" w:sz="12" w:space="0"/>
              <w:left w:val="single" w:color="FFFFFF" w:themeColor="background1" w:sz="4" w:space="0"/>
              <w:bottom w:val="single" w:color="FFFFFF" w:themeColor="background1" w:sz="4" w:space="0"/>
              <w:right w:val="single" w:color="FFFFFF" w:themeColor="background1" w:sz="4" w:space="0"/>
            </w:tcBorders>
            <w:vAlign w:val="center"/>
          </w:tcPr>
          <w:p w14:paraId="62E82075">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12*</w:t>
            </w:r>
          </w:p>
        </w:tc>
        <w:tc>
          <w:tcPr>
            <w:tcW w:w="1279" w:type="dxa"/>
            <w:tcBorders>
              <w:top w:val="single" w:color="auto" w:sz="12" w:space="0"/>
              <w:left w:val="single" w:color="FFFFFF" w:themeColor="background1" w:sz="4" w:space="0"/>
              <w:bottom w:val="single" w:color="FFFFFF" w:themeColor="background1" w:sz="4" w:space="0"/>
              <w:right w:val="single" w:color="FFFFFF" w:themeColor="background1" w:sz="4" w:space="0"/>
            </w:tcBorders>
            <w:vAlign w:val="center"/>
          </w:tcPr>
          <w:p w14:paraId="372A9FF4">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2.54</w:t>
            </w:r>
          </w:p>
        </w:tc>
        <w:tc>
          <w:tcPr>
            <w:tcW w:w="1553" w:type="dxa"/>
            <w:tcBorders>
              <w:top w:val="single" w:color="auto" w:sz="12" w:space="0"/>
              <w:left w:val="single" w:color="FFFFFF" w:themeColor="background1" w:sz="4" w:space="0"/>
              <w:bottom w:val="single" w:color="FFFFFF" w:themeColor="background1" w:sz="4" w:space="0"/>
              <w:right w:val="single" w:color="FFFFFF" w:themeColor="background1" w:sz="4" w:space="0"/>
            </w:tcBorders>
            <w:vAlign w:val="center"/>
          </w:tcPr>
          <w:p w14:paraId="7835507B">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8.7</w:t>
            </w:r>
            <w:r>
              <w:rPr>
                <w:rFonts w:hint="eastAsia" w:ascii="Times New Roman" w:hAnsi="Times New Roman"/>
                <w:kern w:val="2"/>
                <w:sz w:val="22"/>
                <w:szCs w:val="22"/>
                <w:lang w:eastAsia="zh-CN"/>
              </w:rPr>
              <w:t>7</w:t>
            </w:r>
          </w:p>
        </w:tc>
        <w:tc>
          <w:tcPr>
            <w:tcW w:w="1244" w:type="dxa"/>
            <w:tcBorders>
              <w:top w:val="single" w:color="auto" w:sz="12" w:space="0"/>
              <w:left w:val="single" w:color="FFFFFF" w:themeColor="background1" w:sz="4" w:space="0"/>
              <w:bottom w:val="single" w:color="FFFFFF" w:themeColor="background1" w:sz="4" w:space="0"/>
              <w:right w:val="single" w:color="FFFFFF" w:themeColor="background1" w:sz="4" w:space="0"/>
            </w:tcBorders>
            <w:vAlign w:val="center"/>
          </w:tcPr>
          <w:p w14:paraId="1F3987C2">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4.</w:t>
            </w:r>
            <w:r>
              <w:rPr>
                <w:rFonts w:hint="eastAsia" w:ascii="Times New Roman" w:hAnsi="Times New Roman"/>
                <w:kern w:val="2"/>
                <w:sz w:val="22"/>
                <w:szCs w:val="22"/>
                <w:lang w:eastAsia="zh-CN"/>
              </w:rPr>
              <w:t>46</w:t>
            </w:r>
          </w:p>
        </w:tc>
        <w:tc>
          <w:tcPr>
            <w:tcW w:w="1148" w:type="dxa"/>
            <w:tcBorders>
              <w:top w:val="single" w:color="auto" w:sz="12" w:space="0"/>
              <w:left w:val="single" w:color="FFFFFF" w:themeColor="background1" w:sz="4" w:space="0"/>
              <w:bottom w:val="nil"/>
              <w:right w:val="single" w:color="FFFFFF" w:themeColor="background1" w:sz="4" w:space="0"/>
            </w:tcBorders>
            <w:vAlign w:val="center"/>
          </w:tcPr>
          <w:p w14:paraId="45C4C1B8">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0.</w:t>
            </w:r>
            <w:r>
              <w:rPr>
                <w:rFonts w:hint="eastAsia" w:ascii="Times New Roman" w:hAnsi="Times New Roman"/>
                <w:kern w:val="2"/>
                <w:sz w:val="22"/>
                <w:szCs w:val="22"/>
                <w:lang w:eastAsia="zh-CN"/>
              </w:rPr>
              <w:t>2</w:t>
            </w:r>
          </w:p>
        </w:tc>
      </w:tr>
      <w:tr w14:paraId="4EB763E4">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24" w:hRule="atLeast"/>
        </w:trPr>
        <w:tc>
          <w:tcPr>
            <w:tcW w:w="1313" w:type="dxa"/>
            <w:tcBorders>
              <w:top w:val="single" w:color="FFFFFF" w:themeColor="background1" w:sz="4" w:space="0"/>
              <w:left w:val="single" w:color="FFFFFF" w:themeColor="background1" w:sz="4" w:space="0"/>
              <w:bottom w:val="nil"/>
              <w:right w:val="single" w:color="FFFFFF" w:themeColor="background1" w:sz="4" w:space="0"/>
            </w:tcBorders>
            <w:vAlign w:val="center"/>
          </w:tcPr>
          <w:p w14:paraId="60C4A37C">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1-32%-4h</w:t>
            </w:r>
          </w:p>
        </w:tc>
        <w:tc>
          <w:tcPr>
            <w:tcW w:w="1102"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vAlign w:val="center"/>
          </w:tcPr>
          <w:p w14:paraId="3937C46F">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C</w:t>
            </w:r>
            <w:r>
              <w:rPr>
                <w:rFonts w:hint="eastAsia" w:ascii="Times New Roman" w:hAnsi="Times New Roman"/>
                <w:kern w:val="2"/>
                <w:sz w:val="22"/>
                <w:szCs w:val="22"/>
                <w:lang w:eastAsia="zh-CN"/>
              </w:rPr>
              <w:t>u</w:t>
            </w:r>
            <w:r>
              <w:rPr>
                <w:rFonts w:ascii="Times New Roman" w:hAnsi="Times New Roman"/>
                <w:kern w:val="2"/>
                <w:sz w:val="22"/>
                <w:szCs w:val="22"/>
                <w:lang w:eastAsia="zh-CN"/>
              </w:rPr>
              <w:t>-O</w:t>
            </w:r>
          </w:p>
        </w:tc>
        <w:tc>
          <w:tcPr>
            <w:tcW w:w="88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vAlign w:val="center"/>
          </w:tcPr>
          <w:p w14:paraId="33135123">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2.4</w:t>
            </w:r>
          </w:p>
        </w:tc>
        <w:tc>
          <w:tcPr>
            <w:tcW w:w="1279"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vAlign w:val="center"/>
          </w:tcPr>
          <w:p w14:paraId="2A0F1B23">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1.9</w:t>
            </w:r>
            <w:r>
              <w:rPr>
                <w:rFonts w:hint="eastAsia" w:ascii="Times New Roman" w:hAnsi="Times New Roman"/>
                <w:kern w:val="2"/>
                <w:sz w:val="22"/>
                <w:szCs w:val="22"/>
                <w:lang w:eastAsia="zh-CN"/>
              </w:rPr>
              <w:t>6</w:t>
            </w:r>
          </w:p>
        </w:tc>
        <w:tc>
          <w:tcPr>
            <w:tcW w:w="155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vAlign w:val="center"/>
          </w:tcPr>
          <w:p w14:paraId="4F25D0B2">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2.07</w:t>
            </w:r>
          </w:p>
        </w:tc>
        <w:tc>
          <w:tcPr>
            <w:tcW w:w="1244" w:type="dxa"/>
            <w:tcBorders>
              <w:top w:val="single" w:color="FFFFFF" w:themeColor="background1" w:sz="4" w:space="0"/>
              <w:left w:val="single" w:color="FFFFFF" w:themeColor="background1" w:sz="4" w:space="0"/>
              <w:bottom w:val="single" w:color="FFFFFF" w:themeColor="background1" w:sz="4" w:space="0"/>
              <w:right w:val="nil"/>
            </w:tcBorders>
            <w:vAlign w:val="center"/>
          </w:tcPr>
          <w:p w14:paraId="3FE2051F">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9.06</w:t>
            </w:r>
          </w:p>
        </w:tc>
        <w:tc>
          <w:tcPr>
            <w:tcW w:w="1148" w:type="dxa"/>
            <w:tcBorders>
              <w:top w:val="nil"/>
              <w:left w:val="nil"/>
              <w:bottom w:val="nil"/>
              <w:right w:val="nil"/>
            </w:tcBorders>
            <w:vAlign w:val="center"/>
          </w:tcPr>
          <w:p w14:paraId="5C781197">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1.</w:t>
            </w:r>
            <w:r>
              <w:rPr>
                <w:rFonts w:hint="eastAsia" w:ascii="Times New Roman" w:hAnsi="Times New Roman"/>
                <w:kern w:val="2"/>
                <w:sz w:val="22"/>
                <w:szCs w:val="22"/>
                <w:lang w:eastAsia="zh-CN"/>
              </w:rPr>
              <w:t>2</w:t>
            </w:r>
          </w:p>
        </w:tc>
      </w:tr>
      <w:tr w14:paraId="46FDA3E9">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24" w:hRule="atLeast"/>
        </w:trPr>
        <w:tc>
          <w:tcPr>
            <w:tcW w:w="1313" w:type="dxa"/>
            <w:tcBorders>
              <w:top w:val="nil"/>
              <w:left w:val="nil"/>
              <w:bottom w:val="single" w:color="auto" w:sz="18" w:space="0"/>
              <w:right w:val="nil"/>
            </w:tcBorders>
            <w:vAlign w:val="center"/>
          </w:tcPr>
          <w:p w14:paraId="15EE2F05">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1-0%-4h</w:t>
            </w:r>
          </w:p>
        </w:tc>
        <w:tc>
          <w:tcPr>
            <w:tcW w:w="1102" w:type="dxa"/>
            <w:tcBorders>
              <w:top w:val="single" w:color="FFFFFF" w:themeColor="background1" w:sz="4" w:space="0"/>
              <w:left w:val="nil"/>
              <w:bottom w:val="single" w:color="auto" w:sz="18" w:space="0"/>
              <w:right w:val="single" w:color="FFFFFF" w:themeColor="background1" w:sz="4" w:space="0"/>
            </w:tcBorders>
            <w:vAlign w:val="center"/>
          </w:tcPr>
          <w:p w14:paraId="578F26B6">
            <w:pPr>
              <w:pStyle w:val="42"/>
              <w:spacing w:after="0"/>
              <w:jc w:val="center"/>
              <w:rPr>
                <w:rFonts w:ascii="Times New Roman" w:hAnsi="Times New Roman"/>
                <w:kern w:val="2"/>
                <w:sz w:val="22"/>
                <w:szCs w:val="22"/>
                <w:lang w:eastAsia="zh-CN"/>
              </w:rPr>
            </w:pPr>
            <w:r>
              <w:rPr>
                <w:rFonts w:ascii="Times New Roman" w:hAnsi="Times New Roman"/>
                <w:kern w:val="2"/>
                <w:sz w:val="22"/>
                <w:szCs w:val="22"/>
                <w:lang w:eastAsia="zh-CN"/>
              </w:rPr>
              <w:t>C</w:t>
            </w:r>
            <w:r>
              <w:rPr>
                <w:rFonts w:hint="eastAsia" w:ascii="Times New Roman" w:hAnsi="Times New Roman"/>
                <w:kern w:val="2"/>
                <w:sz w:val="22"/>
                <w:szCs w:val="22"/>
                <w:lang w:eastAsia="zh-CN"/>
              </w:rPr>
              <w:t>u</w:t>
            </w:r>
            <w:r>
              <w:rPr>
                <w:rFonts w:ascii="Times New Roman" w:hAnsi="Times New Roman"/>
                <w:kern w:val="2"/>
                <w:sz w:val="22"/>
                <w:szCs w:val="22"/>
                <w:lang w:eastAsia="zh-CN"/>
              </w:rPr>
              <w:t>-O</w:t>
            </w:r>
          </w:p>
        </w:tc>
        <w:tc>
          <w:tcPr>
            <w:tcW w:w="883" w:type="dxa"/>
            <w:tcBorders>
              <w:top w:val="single" w:color="FFFFFF" w:themeColor="background1" w:sz="4" w:space="0"/>
              <w:left w:val="single" w:color="FFFFFF" w:themeColor="background1" w:sz="4" w:space="0"/>
              <w:bottom w:val="single" w:color="auto" w:sz="18" w:space="0"/>
              <w:right w:val="single" w:color="FFFFFF" w:themeColor="background1" w:sz="4" w:space="0"/>
            </w:tcBorders>
            <w:vAlign w:val="center"/>
          </w:tcPr>
          <w:p w14:paraId="78D397D0">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3.1</w:t>
            </w:r>
          </w:p>
        </w:tc>
        <w:tc>
          <w:tcPr>
            <w:tcW w:w="1279" w:type="dxa"/>
            <w:tcBorders>
              <w:top w:val="single" w:color="FFFFFF" w:themeColor="background1" w:sz="4" w:space="0"/>
              <w:left w:val="single" w:color="FFFFFF" w:themeColor="background1" w:sz="4" w:space="0"/>
              <w:bottom w:val="single" w:color="auto" w:sz="18" w:space="0"/>
              <w:right w:val="single" w:color="FFFFFF" w:themeColor="background1" w:sz="4" w:space="0"/>
            </w:tcBorders>
            <w:vAlign w:val="center"/>
          </w:tcPr>
          <w:p w14:paraId="26B91720">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1.98</w:t>
            </w:r>
          </w:p>
        </w:tc>
        <w:tc>
          <w:tcPr>
            <w:tcW w:w="1553" w:type="dxa"/>
            <w:tcBorders>
              <w:top w:val="single" w:color="FFFFFF" w:themeColor="background1" w:sz="4" w:space="0"/>
              <w:left w:val="single" w:color="FFFFFF" w:themeColor="background1" w:sz="4" w:space="0"/>
              <w:bottom w:val="single" w:color="auto" w:sz="18" w:space="0"/>
              <w:right w:val="single" w:color="FFFFFF" w:themeColor="background1" w:sz="4" w:space="0"/>
            </w:tcBorders>
            <w:vAlign w:val="center"/>
          </w:tcPr>
          <w:p w14:paraId="1C41BD9D">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5.88</w:t>
            </w:r>
          </w:p>
        </w:tc>
        <w:tc>
          <w:tcPr>
            <w:tcW w:w="1244" w:type="dxa"/>
            <w:tcBorders>
              <w:top w:val="single" w:color="FFFFFF" w:themeColor="background1" w:sz="4" w:space="0"/>
              <w:left w:val="single" w:color="FFFFFF" w:themeColor="background1" w:sz="4" w:space="0"/>
              <w:bottom w:val="single" w:color="auto" w:sz="18" w:space="0"/>
              <w:right w:val="nil"/>
            </w:tcBorders>
            <w:vAlign w:val="center"/>
          </w:tcPr>
          <w:p w14:paraId="307E995A">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1.53</w:t>
            </w:r>
          </w:p>
        </w:tc>
        <w:tc>
          <w:tcPr>
            <w:tcW w:w="1148" w:type="dxa"/>
            <w:tcBorders>
              <w:top w:val="nil"/>
              <w:left w:val="nil"/>
              <w:bottom w:val="single" w:color="auto" w:sz="18" w:space="0"/>
              <w:right w:val="nil"/>
            </w:tcBorders>
            <w:vAlign w:val="center"/>
          </w:tcPr>
          <w:p w14:paraId="26D35A0C">
            <w:pPr>
              <w:pStyle w:val="42"/>
              <w:spacing w:after="0"/>
              <w:jc w:val="center"/>
              <w:rPr>
                <w:rFonts w:ascii="Times New Roman" w:hAnsi="Times New Roman"/>
                <w:kern w:val="2"/>
                <w:sz w:val="22"/>
                <w:szCs w:val="22"/>
                <w:lang w:eastAsia="zh-CN"/>
              </w:rPr>
            </w:pPr>
            <w:r>
              <w:rPr>
                <w:rFonts w:hint="eastAsia" w:ascii="Times New Roman" w:hAnsi="Times New Roman"/>
                <w:kern w:val="2"/>
                <w:sz w:val="22"/>
                <w:szCs w:val="22"/>
                <w:lang w:eastAsia="zh-CN"/>
              </w:rPr>
              <w:t>0.9</w:t>
            </w:r>
          </w:p>
        </w:tc>
      </w:tr>
    </w:tbl>
    <w:p w14:paraId="4AF9B6B7">
      <w:pPr>
        <w:rPr>
          <w:rFonts w:ascii="Times New Roman" w:hAnsi="Times New Roman" w:eastAsia="仿宋" w:cs="Times New Roman"/>
          <w:sz w:val="22"/>
        </w:rPr>
      </w:pPr>
      <w:r>
        <w:rPr>
          <w:rFonts w:ascii="Times New Roman" w:hAnsi="Times New Roman" w:eastAsia="仿宋" w:cs="Times New Roman"/>
          <w:i/>
          <w:sz w:val="22"/>
          <w:vertAlign w:val="superscript"/>
        </w:rPr>
        <w:t>a</w:t>
      </w:r>
      <w:r>
        <w:rPr>
          <w:rFonts w:ascii="Times New Roman" w:hAnsi="Times New Roman" w:eastAsia="仿宋" w:cs="Times New Roman"/>
          <w:sz w:val="22"/>
        </w:rPr>
        <w:t xml:space="preserve"> </w:t>
      </w:r>
      <w:r>
        <w:rPr>
          <w:rFonts w:ascii="Times New Roman" w:hAnsi="Times New Roman" w:eastAsia="仿宋" w:cs="Times New Roman"/>
          <w:i/>
          <w:sz w:val="22"/>
        </w:rPr>
        <w:t>N</w:t>
      </w:r>
      <w:r>
        <w:rPr>
          <w:rFonts w:ascii="Times New Roman" w:hAnsi="Times New Roman" w:eastAsia="仿宋" w:cs="Times New Roman"/>
          <w:sz w:val="22"/>
        </w:rPr>
        <w:t xml:space="preserve">: coordination numbers; </w:t>
      </w:r>
      <w:r>
        <w:rPr>
          <w:rFonts w:ascii="Times New Roman" w:hAnsi="Times New Roman" w:eastAsia="仿宋" w:cs="Times New Roman"/>
          <w:i/>
          <w:sz w:val="22"/>
          <w:vertAlign w:val="superscript"/>
        </w:rPr>
        <w:t>b</w:t>
      </w:r>
      <w:r>
        <w:rPr>
          <w:rFonts w:ascii="Times New Roman" w:hAnsi="Times New Roman" w:eastAsia="仿宋" w:cs="Times New Roman"/>
          <w:sz w:val="22"/>
        </w:rPr>
        <w:t xml:space="preserve"> </w:t>
      </w:r>
      <w:r>
        <w:rPr>
          <w:rFonts w:ascii="Times New Roman" w:hAnsi="Times New Roman" w:eastAsia="仿宋" w:cs="Times New Roman"/>
          <w:i/>
          <w:sz w:val="22"/>
        </w:rPr>
        <w:t>R</w:t>
      </w:r>
      <w:r>
        <w:rPr>
          <w:rFonts w:ascii="Times New Roman" w:hAnsi="Times New Roman" w:eastAsia="仿宋" w:cs="Times New Roman"/>
          <w:sz w:val="22"/>
        </w:rPr>
        <w:t xml:space="preserve">: bond distance; </w:t>
      </w:r>
      <w:r>
        <w:rPr>
          <w:rFonts w:ascii="Times New Roman" w:hAnsi="Times New Roman" w:eastAsia="仿宋" w:cs="Times New Roman"/>
          <w:i/>
          <w:sz w:val="22"/>
          <w:vertAlign w:val="superscript"/>
        </w:rPr>
        <w:t>c</w:t>
      </w:r>
      <w:r>
        <w:rPr>
          <w:rFonts w:ascii="Times New Roman" w:hAnsi="Times New Roman" w:eastAsia="仿宋" w:cs="Times New Roman"/>
          <w:sz w:val="22"/>
        </w:rPr>
        <w:t xml:space="preserve"> </w:t>
      </w:r>
      <w:r>
        <w:rPr>
          <w:rFonts w:ascii="Times New Roman" w:hAnsi="Times New Roman" w:eastAsia="仿宋" w:cs="Times New Roman"/>
          <w:i/>
          <w:sz w:val="22"/>
        </w:rPr>
        <w:t>σ</w:t>
      </w:r>
      <w:r>
        <w:rPr>
          <w:rFonts w:ascii="Times New Roman" w:hAnsi="Times New Roman" w:eastAsia="仿宋" w:cs="Times New Roman"/>
          <w:sz w:val="22"/>
          <w:vertAlign w:val="superscript"/>
        </w:rPr>
        <w:t>2</w:t>
      </w:r>
      <w:r>
        <w:rPr>
          <w:rFonts w:ascii="Times New Roman" w:hAnsi="Times New Roman" w:eastAsia="仿宋" w:cs="Times New Roman"/>
          <w:sz w:val="22"/>
        </w:rPr>
        <w:t xml:space="preserve">: Debye-Waller factors to account for both thermal and structural disorders; </w:t>
      </w:r>
      <w:r>
        <w:rPr>
          <w:rFonts w:ascii="Times New Roman" w:hAnsi="Times New Roman" w:eastAsia="仿宋" w:cs="Times New Roman"/>
          <w:i/>
          <w:sz w:val="22"/>
          <w:vertAlign w:val="superscript"/>
        </w:rPr>
        <w:t>d</w:t>
      </w:r>
      <w:r>
        <w:rPr>
          <w:rFonts w:ascii="Times New Roman" w:hAnsi="Times New Roman" w:eastAsia="仿宋" w:cs="Times New Roman"/>
          <w:sz w:val="22"/>
        </w:rPr>
        <w:t xml:space="preserve"> Δ</w:t>
      </w:r>
      <w:r>
        <w:rPr>
          <w:rFonts w:ascii="Times New Roman" w:hAnsi="Times New Roman" w:eastAsia="仿宋" w:cs="Times New Roman"/>
          <w:i/>
          <w:sz w:val="22"/>
        </w:rPr>
        <w:t>E</w:t>
      </w:r>
      <w:r>
        <w:rPr>
          <w:rFonts w:ascii="Times New Roman" w:hAnsi="Times New Roman" w:eastAsia="仿宋" w:cs="Times New Roman"/>
          <w:sz w:val="22"/>
          <w:vertAlign w:val="subscript"/>
        </w:rPr>
        <w:t>0</w:t>
      </w:r>
      <w:r>
        <w:rPr>
          <w:rFonts w:ascii="Times New Roman" w:hAnsi="Times New Roman" w:eastAsia="仿宋" w:cs="Times New Roman"/>
          <w:sz w:val="22"/>
        </w:rPr>
        <w:t xml:space="preserve">: the inner potential correction. </w:t>
      </w:r>
      <w:r>
        <w:rPr>
          <w:rFonts w:ascii="Times New Roman" w:hAnsi="Times New Roman" w:eastAsia="仿宋" w:cs="Times New Roman"/>
          <w:i/>
          <w:sz w:val="22"/>
        </w:rPr>
        <w:t>R</w:t>
      </w:r>
      <w:r>
        <w:rPr>
          <w:rFonts w:ascii="Times New Roman" w:hAnsi="Times New Roman" w:eastAsia="仿宋" w:cs="Times New Roman"/>
          <w:sz w:val="22"/>
        </w:rPr>
        <w:t xml:space="preserve"> factor: goodness of fit. Ѕ</w:t>
      </w:r>
      <w:r>
        <w:rPr>
          <w:rFonts w:ascii="Times New Roman" w:hAnsi="Times New Roman" w:eastAsia="仿宋" w:cs="Times New Roman"/>
          <w:sz w:val="22"/>
          <w:vertAlign w:val="subscript"/>
        </w:rPr>
        <w:t>0</w:t>
      </w:r>
      <w:r>
        <w:rPr>
          <w:rFonts w:ascii="Times New Roman" w:hAnsi="Times New Roman" w:eastAsia="仿宋" w:cs="Times New Roman"/>
          <w:sz w:val="22"/>
          <w:vertAlign w:val="superscript"/>
        </w:rPr>
        <w:t>2</w:t>
      </w:r>
      <w:r>
        <w:rPr>
          <w:rFonts w:ascii="Times New Roman" w:hAnsi="Times New Roman" w:eastAsia="仿宋" w:cs="Times New Roman"/>
          <w:sz w:val="22"/>
        </w:rPr>
        <w:t xml:space="preserve"> was set as 0.88 for Cu data. which was obtained from the experimental EXAFS fit of mental foil reference by fixing CN as the known crystallographic value and was fixed to all the samples.</w:t>
      </w:r>
    </w:p>
    <w:p w14:paraId="6768F7F5">
      <w:pPr>
        <w:rPr>
          <w:rFonts w:ascii="Times New Roman" w:hAnsi="Times New Roman" w:cs="Times New Roman"/>
          <w:b/>
          <w:bCs/>
          <w:sz w:val="22"/>
        </w:rPr>
      </w:pPr>
    </w:p>
    <w:p w14:paraId="726EA08A">
      <w:pPr>
        <w:rPr>
          <w:rFonts w:ascii="Times New Roman" w:hAnsi="Times New Roman" w:cs="Times New Roman"/>
          <w:b/>
          <w:bCs/>
          <w:sz w:val="22"/>
        </w:rPr>
      </w:pPr>
    </w:p>
    <w:p w14:paraId="51E59D2E">
      <w:pPr>
        <w:rPr>
          <w:rFonts w:ascii="Times New Roman" w:hAnsi="Times New Roman" w:cs="Times New Roman"/>
          <w:b/>
          <w:bCs/>
          <w:sz w:val="22"/>
        </w:rPr>
      </w:pPr>
    </w:p>
    <w:p w14:paraId="158E5240">
      <w:pPr>
        <w:rPr>
          <w:rFonts w:ascii="Times New Roman" w:hAnsi="Times New Roman" w:cs="Times New Roman"/>
          <w:b/>
          <w:bCs/>
          <w:sz w:val="22"/>
        </w:rPr>
      </w:pPr>
    </w:p>
    <w:p w14:paraId="56E0F2E3">
      <w:pPr>
        <w:rPr>
          <w:rFonts w:ascii="Times New Roman" w:hAnsi="Times New Roman" w:cs="Times New Roman"/>
          <w:b/>
          <w:bCs/>
          <w:sz w:val="22"/>
        </w:rPr>
      </w:pPr>
    </w:p>
    <w:p w14:paraId="51AC8EDE">
      <w:pPr>
        <w:rPr>
          <w:rFonts w:ascii="Times New Roman" w:hAnsi="Times New Roman" w:cs="Times New Roman"/>
          <w:b/>
          <w:bCs/>
          <w:sz w:val="22"/>
        </w:rPr>
      </w:pPr>
    </w:p>
    <w:p w14:paraId="417DF613">
      <w:pPr>
        <w:rPr>
          <w:rFonts w:ascii="Times New Roman" w:hAnsi="Times New Roman" w:cs="Times New Roman"/>
          <w:b/>
          <w:bCs/>
          <w:sz w:val="22"/>
        </w:rPr>
      </w:pPr>
    </w:p>
    <w:p w14:paraId="7381CFA8">
      <w:pPr>
        <w:rPr>
          <w:rFonts w:ascii="Times New Roman" w:hAnsi="Times New Roman" w:cs="Times New Roman"/>
          <w:b/>
          <w:bCs/>
          <w:sz w:val="22"/>
        </w:rPr>
      </w:pPr>
    </w:p>
    <w:p w14:paraId="6C032B39">
      <w:pPr>
        <w:rPr>
          <w:rFonts w:ascii="Times New Roman" w:hAnsi="Times New Roman" w:cs="Times New Roman"/>
          <w:b/>
          <w:bCs/>
          <w:sz w:val="22"/>
        </w:rPr>
      </w:pPr>
    </w:p>
    <w:p w14:paraId="7C8C0E85">
      <w:pPr>
        <w:rPr>
          <w:rFonts w:ascii="Times New Roman" w:hAnsi="Times New Roman" w:cs="Times New Roman"/>
          <w:b/>
          <w:bCs/>
          <w:sz w:val="22"/>
        </w:rPr>
      </w:pPr>
    </w:p>
    <w:p w14:paraId="0A41AE86">
      <w:pPr>
        <w:rPr>
          <w:rFonts w:ascii="Times New Roman" w:hAnsi="Times New Roman" w:cs="Times New Roman"/>
          <w:b/>
          <w:bCs/>
          <w:sz w:val="22"/>
        </w:rPr>
      </w:pPr>
    </w:p>
    <w:p w14:paraId="0959BE07">
      <w:pPr>
        <w:rPr>
          <w:rFonts w:ascii="Times New Roman" w:hAnsi="Times New Roman" w:cs="Times New Roman"/>
          <w:b/>
          <w:bCs/>
          <w:sz w:val="22"/>
        </w:rPr>
      </w:pPr>
    </w:p>
    <w:p w14:paraId="1FE2B5F0">
      <w:pPr>
        <w:rPr>
          <w:rFonts w:ascii="Times New Roman" w:hAnsi="Times New Roman" w:cs="Times New Roman"/>
          <w:b/>
          <w:bCs/>
          <w:sz w:val="22"/>
        </w:rPr>
      </w:pPr>
    </w:p>
    <w:p w14:paraId="68A95B30">
      <w:pPr>
        <w:rPr>
          <w:rFonts w:ascii="Times New Roman" w:hAnsi="Times New Roman" w:cs="Times New Roman"/>
          <w:b/>
          <w:bCs/>
          <w:sz w:val="22"/>
        </w:rPr>
      </w:pPr>
    </w:p>
    <w:p w14:paraId="6A7D70A7">
      <w:pPr>
        <w:rPr>
          <w:rFonts w:ascii="Times New Roman" w:hAnsi="Times New Roman" w:cs="Times New Roman"/>
          <w:b/>
          <w:bCs/>
          <w:sz w:val="22"/>
        </w:rPr>
      </w:pPr>
    </w:p>
    <w:p w14:paraId="4EED33F4">
      <w:pPr>
        <w:rPr>
          <w:rFonts w:ascii="Times New Roman" w:hAnsi="Times New Roman" w:cs="Times New Roman"/>
          <w:b/>
          <w:bCs/>
          <w:sz w:val="22"/>
        </w:rPr>
      </w:pPr>
    </w:p>
    <w:p w14:paraId="30BCB686">
      <w:pPr>
        <w:rPr>
          <w:rFonts w:ascii="Times New Roman" w:hAnsi="Times New Roman" w:cs="Times New Roman"/>
          <w:b/>
          <w:bCs/>
          <w:sz w:val="22"/>
        </w:rPr>
      </w:pPr>
    </w:p>
    <w:p w14:paraId="1B590A08">
      <w:pPr>
        <w:rPr>
          <w:rFonts w:ascii="Times New Roman" w:hAnsi="Times New Roman" w:cs="Times New Roman"/>
          <w:b/>
          <w:bCs/>
          <w:sz w:val="22"/>
        </w:rPr>
      </w:pPr>
    </w:p>
    <w:p w14:paraId="49848BF3">
      <w:pPr>
        <w:rPr>
          <w:rFonts w:ascii="Times New Roman" w:hAnsi="Times New Roman" w:cs="Times New Roman"/>
          <w:b/>
          <w:bCs/>
          <w:sz w:val="22"/>
        </w:rPr>
      </w:pPr>
    </w:p>
    <w:p w14:paraId="5F13692D">
      <w:pPr>
        <w:rPr>
          <w:rFonts w:ascii="Times New Roman" w:hAnsi="Times New Roman" w:cs="Times New Roman"/>
          <w:b/>
          <w:bCs/>
          <w:sz w:val="22"/>
        </w:rPr>
      </w:pPr>
    </w:p>
    <w:p w14:paraId="663F9C8D">
      <w:pPr>
        <w:rPr>
          <w:rFonts w:ascii="Times New Roman" w:hAnsi="Times New Roman" w:cs="Times New Roman"/>
          <w:b/>
          <w:bCs/>
          <w:sz w:val="22"/>
        </w:rPr>
      </w:pPr>
    </w:p>
    <w:p w14:paraId="1C16BA49">
      <w:pPr>
        <w:rPr>
          <w:rFonts w:ascii="Times New Roman" w:hAnsi="Times New Roman" w:cs="Times New Roman"/>
          <w:b/>
          <w:bCs/>
          <w:sz w:val="22"/>
        </w:rPr>
      </w:pPr>
    </w:p>
    <w:p w14:paraId="42D04DD0">
      <w:pPr>
        <w:rPr>
          <w:rFonts w:ascii="Times New Roman" w:hAnsi="Times New Roman" w:cs="Times New Roman"/>
          <w:b/>
          <w:bCs/>
          <w:sz w:val="22"/>
        </w:rPr>
      </w:pPr>
    </w:p>
    <w:p w14:paraId="1833A16C">
      <w:pPr>
        <w:rPr>
          <w:rFonts w:ascii="Times New Roman" w:hAnsi="Times New Roman" w:cs="Times New Roman"/>
          <w:b/>
          <w:bCs/>
          <w:sz w:val="22"/>
        </w:rPr>
      </w:pPr>
    </w:p>
    <w:p w14:paraId="025D15D2">
      <w:pPr>
        <w:rPr>
          <w:rFonts w:ascii="Times New Roman" w:hAnsi="Times New Roman" w:cs="Times New Roman"/>
          <w:b/>
          <w:bCs/>
          <w:sz w:val="22"/>
        </w:rPr>
      </w:pPr>
    </w:p>
    <w:p w14:paraId="654CBD30">
      <w:pPr>
        <w:rPr>
          <w:rFonts w:ascii="Times New Roman" w:hAnsi="Times New Roman" w:cs="Times New Roman"/>
          <w:b/>
          <w:bCs/>
          <w:sz w:val="22"/>
        </w:rPr>
      </w:pPr>
    </w:p>
    <w:p w14:paraId="659653DD">
      <w:pPr>
        <w:rPr>
          <w:rFonts w:ascii="Times New Roman" w:hAnsi="Times New Roman" w:cs="Times New Roman"/>
          <w:b/>
          <w:bCs/>
          <w:sz w:val="22"/>
        </w:rPr>
      </w:pPr>
    </w:p>
    <w:p w14:paraId="2BE51C36">
      <w:pPr>
        <w:rPr>
          <w:rFonts w:ascii="Times New Roman" w:hAnsi="Times New Roman" w:cs="Times New Roman"/>
          <w:b/>
          <w:bCs/>
          <w:sz w:val="22"/>
        </w:rPr>
      </w:pPr>
    </w:p>
    <w:p w14:paraId="2607FEBD">
      <w:pPr>
        <w:rPr>
          <w:rFonts w:hint="eastAsia" w:ascii="Times New Roman" w:hAnsi="Times New Roman" w:cs="Times New Roman"/>
          <w:b/>
          <w:bCs/>
          <w:sz w:val="22"/>
        </w:rPr>
      </w:pPr>
    </w:p>
    <w:p w14:paraId="4F7AA859">
      <w:pPr>
        <w:rPr>
          <w:rFonts w:hint="eastAsia" w:ascii="Times New Roman" w:hAnsi="Times New Roman" w:cs="Times New Roman"/>
          <w:b/>
          <w:bCs/>
          <w:sz w:val="22"/>
        </w:rPr>
      </w:pPr>
    </w:p>
    <w:p w14:paraId="477E614A">
      <w:pPr>
        <w:rPr>
          <w:rFonts w:hint="eastAsia" w:ascii="Times New Roman" w:hAnsi="Times New Roman" w:cs="Times New Roman"/>
          <w:b/>
          <w:bCs/>
          <w:sz w:val="22"/>
        </w:rPr>
      </w:pPr>
    </w:p>
    <w:p w14:paraId="2B41BD72">
      <w:pPr>
        <w:jc w:val="left"/>
        <w:rPr>
          <w:rFonts w:ascii="Times New Roman" w:hAnsi="Times New Roman" w:cs="Times New Roman"/>
          <w:sz w:val="22"/>
        </w:rPr>
      </w:pPr>
      <w:r>
        <w:rPr>
          <w:rFonts w:hint="eastAsia" w:ascii="Times New Roman" w:hAnsi="Times New Roman" w:cs="Times New Roman"/>
          <w:b/>
          <w:bCs/>
          <w:sz w:val="22"/>
        </w:rPr>
        <w:t xml:space="preserve">Supplementary Table </w:t>
      </w:r>
      <w:r>
        <w:rPr>
          <w:rFonts w:hint="eastAsia" w:ascii="Times New Roman" w:hAnsi="Times New Roman" w:cs="Times New Roman"/>
          <w:b/>
          <w:bCs/>
          <w:sz w:val="22"/>
          <w:lang w:val="en-US" w:eastAsia="zh-CN"/>
        </w:rPr>
        <w:t>4</w:t>
      </w:r>
      <w:r>
        <w:rPr>
          <w:rFonts w:hint="eastAsia" w:ascii="Times New Roman" w:hAnsi="Times New Roman" w:cs="Times New Roman"/>
          <w:b/>
          <w:bCs/>
          <w:sz w:val="22"/>
        </w:rPr>
        <w:t>.</w:t>
      </w:r>
      <w:r>
        <w:rPr>
          <w:rFonts w:hint="eastAsia" w:ascii="Times New Roman" w:hAnsi="Times New Roman" w:cs="Times New Roman"/>
          <w:sz w:val="22"/>
        </w:rPr>
        <w:t xml:space="preserve"> The data summary of thickness, square resistance, and conductivity of RGO@M-SWCNT@GO TCFs.</w:t>
      </w:r>
    </w:p>
    <w:tbl>
      <w:tblPr>
        <w:tblStyle w:val="41"/>
        <w:tblW w:w="8522" w:type="dxa"/>
        <w:tblInd w:w="0" w:type="dxa"/>
        <w:tblLayout w:type="fixed"/>
        <w:tblCellMar>
          <w:top w:w="0" w:type="dxa"/>
          <w:left w:w="108" w:type="dxa"/>
          <w:bottom w:w="0" w:type="dxa"/>
          <w:right w:w="108" w:type="dxa"/>
        </w:tblCellMar>
      </w:tblPr>
      <w:tblGrid>
        <w:gridCol w:w="1701"/>
        <w:gridCol w:w="1418"/>
        <w:gridCol w:w="1236"/>
        <w:gridCol w:w="722"/>
        <w:gridCol w:w="1474"/>
        <w:gridCol w:w="1971"/>
      </w:tblGrid>
      <w:tr w14:paraId="337F3602">
        <w:tblPrEx>
          <w:tblCellMar>
            <w:top w:w="0" w:type="dxa"/>
            <w:left w:w="108" w:type="dxa"/>
            <w:bottom w:w="0" w:type="dxa"/>
            <w:right w:w="108" w:type="dxa"/>
          </w:tblCellMar>
        </w:tblPrEx>
        <w:tc>
          <w:tcPr>
            <w:tcW w:w="1701" w:type="dxa"/>
            <w:tcBorders>
              <w:top w:val="single" w:color="auto" w:sz="12" w:space="0"/>
              <w:bottom w:val="single" w:color="auto" w:sz="12" w:space="0"/>
            </w:tcBorders>
            <w:vAlign w:val="center"/>
          </w:tcPr>
          <w:p w14:paraId="25EC7A6C">
            <w:pPr>
              <w:jc w:val="center"/>
              <w:rPr>
                <w:rFonts w:ascii="Times New Roman" w:hAnsi="Times New Roman" w:cs="Times New Roman"/>
                <w:b w:val="0"/>
                <w:bCs w:val="0"/>
                <w:sz w:val="22"/>
              </w:rPr>
            </w:pPr>
            <w:bookmarkStart w:id="7" w:name="OLE_LINK10"/>
            <w:r>
              <w:rPr>
                <w:rFonts w:ascii="Times New Roman" w:hAnsi="Times New Roman" w:cs="Times New Roman"/>
                <w:b/>
                <w:bCs/>
                <w:sz w:val="22"/>
              </w:rPr>
              <w:t>Sample</w:t>
            </w:r>
          </w:p>
        </w:tc>
        <w:tc>
          <w:tcPr>
            <w:tcW w:w="1418" w:type="dxa"/>
            <w:tcBorders>
              <w:top w:val="single" w:color="auto" w:sz="12" w:space="0"/>
              <w:bottom w:val="single" w:color="auto" w:sz="12" w:space="0"/>
            </w:tcBorders>
            <w:vAlign w:val="center"/>
          </w:tcPr>
          <w:p w14:paraId="2A41D5EF">
            <w:pPr>
              <w:jc w:val="center"/>
              <w:rPr>
                <w:rFonts w:ascii="Times New Roman" w:hAnsi="Times New Roman" w:cs="Times New Roman"/>
                <w:b w:val="0"/>
                <w:bCs w:val="0"/>
                <w:sz w:val="22"/>
              </w:rPr>
            </w:pPr>
            <w:r>
              <w:rPr>
                <w:rFonts w:ascii="Times New Roman" w:hAnsi="Times New Roman" w:cs="Times New Roman"/>
                <w:b/>
                <w:bCs/>
                <w:sz w:val="22"/>
              </w:rPr>
              <w:t>Thickness (μm)</w:t>
            </w:r>
          </w:p>
        </w:tc>
        <w:tc>
          <w:tcPr>
            <w:tcW w:w="1236" w:type="dxa"/>
            <w:tcBorders>
              <w:top w:val="single" w:color="auto" w:sz="12" w:space="0"/>
              <w:bottom w:val="single" w:color="auto" w:sz="12" w:space="0"/>
            </w:tcBorders>
            <w:vAlign w:val="center"/>
          </w:tcPr>
          <w:p w14:paraId="441F5D0F">
            <w:pPr>
              <w:jc w:val="center"/>
              <w:rPr>
                <w:rFonts w:ascii="Times New Roman" w:hAnsi="Times New Roman" w:cs="Times New Roman"/>
                <w:b w:val="0"/>
                <w:bCs w:val="0"/>
                <w:sz w:val="22"/>
              </w:rPr>
            </w:pPr>
            <w:r>
              <w:rPr>
                <w:rFonts w:hint="eastAsia" w:ascii="Times New Roman" w:hAnsi="Times New Roman" w:cs="Times New Roman"/>
                <w:b/>
                <w:bCs/>
                <w:sz w:val="22"/>
              </w:rPr>
              <w:t>Standard d</w:t>
            </w:r>
            <w:r>
              <w:rPr>
                <w:rFonts w:ascii="Times New Roman" w:hAnsi="Times New Roman" w:cs="Times New Roman"/>
                <w:b/>
                <w:bCs/>
                <w:sz w:val="22"/>
              </w:rPr>
              <w:t>eviation (μm)</w:t>
            </w:r>
          </w:p>
        </w:tc>
        <w:tc>
          <w:tcPr>
            <w:tcW w:w="722" w:type="dxa"/>
            <w:tcBorders>
              <w:top w:val="single" w:color="auto" w:sz="12" w:space="0"/>
              <w:bottom w:val="single" w:color="auto" w:sz="12" w:space="0"/>
            </w:tcBorders>
            <w:vAlign w:val="center"/>
          </w:tcPr>
          <w:p w14:paraId="2DF68502">
            <w:pPr>
              <w:jc w:val="center"/>
              <w:rPr>
                <w:rFonts w:ascii="Times New Roman" w:hAnsi="Times New Roman" w:cs="Times New Roman"/>
                <w:b w:val="0"/>
                <w:bCs w:val="0"/>
                <w:sz w:val="22"/>
              </w:rPr>
            </w:pPr>
            <w:r>
              <w:rPr>
                <w:rFonts w:ascii="Times New Roman" w:hAnsi="Times New Roman" w:cs="Times New Roman"/>
                <w:b/>
                <w:bCs/>
                <w:sz w:val="22"/>
              </w:rPr>
              <w:t>□ (Ω)</w:t>
            </w:r>
          </w:p>
        </w:tc>
        <w:tc>
          <w:tcPr>
            <w:tcW w:w="1474" w:type="dxa"/>
            <w:tcBorders>
              <w:top w:val="single" w:color="auto" w:sz="12" w:space="0"/>
              <w:bottom w:val="single" w:color="auto" w:sz="12" w:space="0"/>
            </w:tcBorders>
            <w:vAlign w:val="center"/>
          </w:tcPr>
          <w:p w14:paraId="7F40AE4F">
            <w:pPr>
              <w:jc w:val="center"/>
              <w:rPr>
                <w:rFonts w:ascii="Times New Roman" w:hAnsi="Times New Roman" w:cs="Times New Roman"/>
                <w:b w:val="0"/>
                <w:bCs w:val="0"/>
                <w:sz w:val="22"/>
              </w:rPr>
            </w:pPr>
            <w:r>
              <w:rPr>
                <w:rFonts w:ascii="Times New Roman" w:hAnsi="Times New Roman" w:cs="Times New Roman"/>
                <w:b/>
                <w:bCs/>
                <w:sz w:val="22"/>
              </w:rPr>
              <w:t>Deviation (Ω)</w:t>
            </w:r>
          </w:p>
        </w:tc>
        <w:tc>
          <w:tcPr>
            <w:tcW w:w="1971" w:type="dxa"/>
            <w:tcBorders>
              <w:top w:val="single" w:color="auto" w:sz="12" w:space="0"/>
              <w:bottom w:val="single" w:color="auto" w:sz="12" w:space="0"/>
            </w:tcBorders>
            <w:vAlign w:val="center"/>
          </w:tcPr>
          <w:p w14:paraId="51643A6B">
            <w:pPr>
              <w:jc w:val="center"/>
              <w:rPr>
                <w:rFonts w:ascii="Times New Roman" w:hAnsi="Times New Roman" w:cs="Times New Roman"/>
                <w:b w:val="0"/>
                <w:bCs w:val="0"/>
                <w:sz w:val="22"/>
              </w:rPr>
            </w:pPr>
            <w:r>
              <w:rPr>
                <w:rFonts w:ascii="Times New Roman" w:hAnsi="Times New Roman" w:cs="Times New Roman"/>
                <w:b/>
                <w:bCs/>
                <w:sz w:val="22"/>
              </w:rPr>
              <w:t>Conductivity (S/m)</w:t>
            </w:r>
          </w:p>
        </w:tc>
      </w:tr>
      <w:tr w14:paraId="1C982383">
        <w:tblPrEx>
          <w:tblCellMar>
            <w:top w:w="0" w:type="dxa"/>
            <w:left w:w="108" w:type="dxa"/>
            <w:bottom w:w="0" w:type="dxa"/>
            <w:right w:w="108" w:type="dxa"/>
          </w:tblCellMar>
        </w:tblPrEx>
        <w:tc>
          <w:tcPr>
            <w:tcW w:w="1701" w:type="dxa"/>
            <w:vAlign w:val="center"/>
          </w:tcPr>
          <w:p w14:paraId="3606FD4F">
            <w:pPr>
              <w:jc w:val="center"/>
              <w:rPr>
                <w:rFonts w:ascii="Times New Roman" w:hAnsi="Times New Roman" w:cs="Times New Roman"/>
                <w:b w:val="0"/>
                <w:bCs w:val="0"/>
                <w:sz w:val="22"/>
              </w:rPr>
            </w:pPr>
            <w:r>
              <w:rPr>
                <w:rFonts w:ascii="Times New Roman" w:hAnsi="Times New Roman" w:eastAsia="等线" w:cs="Times New Roman"/>
                <w:b/>
                <w:bCs/>
                <w:color w:val="000000"/>
                <w:sz w:val="22"/>
              </w:rPr>
              <w:t>1-8%-4h</w:t>
            </w:r>
          </w:p>
        </w:tc>
        <w:tc>
          <w:tcPr>
            <w:tcW w:w="1418" w:type="dxa"/>
            <w:vAlign w:val="center"/>
          </w:tcPr>
          <w:p w14:paraId="5DEFA070">
            <w:pPr>
              <w:jc w:val="center"/>
              <w:rPr>
                <w:rFonts w:ascii="Times New Roman" w:hAnsi="Times New Roman" w:cs="Times New Roman"/>
                <w:sz w:val="22"/>
              </w:rPr>
            </w:pPr>
            <w:r>
              <w:rPr>
                <w:rFonts w:ascii="Times New Roman" w:hAnsi="Times New Roman" w:eastAsia="等线" w:cs="Times New Roman"/>
                <w:color w:val="000000"/>
                <w:sz w:val="22"/>
              </w:rPr>
              <w:t>3.3</w:t>
            </w:r>
          </w:p>
        </w:tc>
        <w:tc>
          <w:tcPr>
            <w:tcW w:w="1236" w:type="dxa"/>
            <w:vAlign w:val="center"/>
          </w:tcPr>
          <w:p w14:paraId="434207D8">
            <w:pPr>
              <w:jc w:val="center"/>
              <w:rPr>
                <w:rFonts w:ascii="Times New Roman" w:hAnsi="Times New Roman" w:cs="Times New Roman"/>
                <w:sz w:val="22"/>
              </w:rPr>
            </w:pPr>
            <w:r>
              <w:rPr>
                <w:rFonts w:ascii="Times New Roman" w:hAnsi="Times New Roman" w:eastAsia="等线" w:cs="Times New Roman"/>
                <w:color w:val="000000"/>
                <w:sz w:val="22"/>
              </w:rPr>
              <w:t>0.1</w:t>
            </w:r>
          </w:p>
        </w:tc>
        <w:tc>
          <w:tcPr>
            <w:tcW w:w="722" w:type="dxa"/>
            <w:vAlign w:val="center"/>
          </w:tcPr>
          <w:p w14:paraId="5FAC165A">
            <w:pPr>
              <w:jc w:val="center"/>
              <w:rPr>
                <w:rFonts w:ascii="Times New Roman" w:hAnsi="Times New Roman" w:cs="Times New Roman"/>
                <w:sz w:val="22"/>
              </w:rPr>
            </w:pPr>
            <w:r>
              <w:rPr>
                <w:rFonts w:ascii="Times New Roman" w:hAnsi="Times New Roman" w:eastAsia="等线" w:cs="Times New Roman"/>
                <w:color w:val="000000"/>
                <w:sz w:val="22"/>
              </w:rPr>
              <w:t>3588</w:t>
            </w:r>
          </w:p>
        </w:tc>
        <w:tc>
          <w:tcPr>
            <w:tcW w:w="1474" w:type="dxa"/>
            <w:vAlign w:val="center"/>
          </w:tcPr>
          <w:p w14:paraId="22112C9B">
            <w:pPr>
              <w:jc w:val="center"/>
              <w:rPr>
                <w:rFonts w:ascii="Times New Roman" w:hAnsi="Times New Roman" w:cs="Times New Roman"/>
                <w:sz w:val="22"/>
              </w:rPr>
            </w:pPr>
            <w:r>
              <w:rPr>
                <w:rFonts w:ascii="Times New Roman" w:hAnsi="Times New Roman" w:eastAsia="等线" w:cs="Times New Roman"/>
                <w:color w:val="000000"/>
                <w:sz w:val="22"/>
              </w:rPr>
              <w:t>143</w:t>
            </w:r>
          </w:p>
        </w:tc>
        <w:tc>
          <w:tcPr>
            <w:tcW w:w="1971" w:type="dxa"/>
            <w:vAlign w:val="center"/>
          </w:tcPr>
          <w:p w14:paraId="3226325C">
            <w:pPr>
              <w:jc w:val="center"/>
              <w:rPr>
                <w:rFonts w:ascii="Times New Roman" w:hAnsi="Times New Roman" w:cs="Times New Roman"/>
                <w:sz w:val="22"/>
              </w:rPr>
            </w:pPr>
            <w:r>
              <w:rPr>
                <w:rFonts w:ascii="Times New Roman" w:hAnsi="Times New Roman" w:eastAsia="等线" w:cs="Times New Roman"/>
                <w:color w:val="000000"/>
                <w:sz w:val="22"/>
              </w:rPr>
              <w:t>84</w:t>
            </w:r>
          </w:p>
        </w:tc>
      </w:tr>
      <w:tr w14:paraId="12B79246">
        <w:tblPrEx>
          <w:tblCellMar>
            <w:top w:w="0" w:type="dxa"/>
            <w:left w:w="108" w:type="dxa"/>
            <w:bottom w:w="0" w:type="dxa"/>
            <w:right w:w="108" w:type="dxa"/>
          </w:tblCellMar>
        </w:tblPrEx>
        <w:tc>
          <w:tcPr>
            <w:tcW w:w="1701" w:type="dxa"/>
            <w:vAlign w:val="center"/>
          </w:tcPr>
          <w:p w14:paraId="2A0C6AF7">
            <w:pPr>
              <w:jc w:val="center"/>
              <w:rPr>
                <w:rFonts w:ascii="Times New Roman" w:hAnsi="Times New Roman" w:cs="Times New Roman"/>
                <w:b w:val="0"/>
                <w:bCs w:val="0"/>
                <w:sz w:val="22"/>
              </w:rPr>
            </w:pPr>
            <w:r>
              <w:rPr>
                <w:rFonts w:ascii="Times New Roman" w:hAnsi="Times New Roman" w:eastAsia="等线" w:cs="Times New Roman"/>
                <w:b/>
                <w:bCs/>
                <w:color w:val="000000"/>
                <w:sz w:val="22"/>
              </w:rPr>
              <w:t>1-16%-4h</w:t>
            </w:r>
          </w:p>
        </w:tc>
        <w:tc>
          <w:tcPr>
            <w:tcW w:w="1418" w:type="dxa"/>
            <w:vAlign w:val="center"/>
          </w:tcPr>
          <w:p w14:paraId="6AE9F38F">
            <w:pPr>
              <w:jc w:val="center"/>
              <w:rPr>
                <w:rFonts w:ascii="Times New Roman" w:hAnsi="Times New Roman" w:cs="Times New Roman"/>
                <w:sz w:val="22"/>
              </w:rPr>
            </w:pPr>
            <w:r>
              <w:rPr>
                <w:rFonts w:ascii="Times New Roman" w:hAnsi="Times New Roman" w:eastAsia="等线" w:cs="Times New Roman"/>
                <w:color w:val="000000"/>
                <w:sz w:val="22"/>
              </w:rPr>
              <w:t>2.3</w:t>
            </w:r>
          </w:p>
        </w:tc>
        <w:tc>
          <w:tcPr>
            <w:tcW w:w="1236" w:type="dxa"/>
            <w:vAlign w:val="center"/>
          </w:tcPr>
          <w:p w14:paraId="14CB7616">
            <w:pPr>
              <w:jc w:val="center"/>
              <w:rPr>
                <w:rFonts w:ascii="Times New Roman" w:hAnsi="Times New Roman" w:cs="Times New Roman"/>
                <w:sz w:val="22"/>
              </w:rPr>
            </w:pPr>
            <w:r>
              <w:rPr>
                <w:rFonts w:ascii="Times New Roman" w:hAnsi="Times New Roman" w:eastAsia="等线" w:cs="Times New Roman"/>
                <w:color w:val="000000"/>
                <w:sz w:val="22"/>
              </w:rPr>
              <w:t>0.1</w:t>
            </w:r>
          </w:p>
        </w:tc>
        <w:tc>
          <w:tcPr>
            <w:tcW w:w="722" w:type="dxa"/>
            <w:vAlign w:val="center"/>
          </w:tcPr>
          <w:p w14:paraId="4FE38963">
            <w:pPr>
              <w:jc w:val="center"/>
              <w:rPr>
                <w:rFonts w:ascii="Times New Roman" w:hAnsi="Times New Roman" w:cs="Times New Roman"/>
                <w:sz w:val="22"/>
              </w:rPr>
            </w:pPr>
            <w:r>
              <w:rPr>
                <w:rFonts w:ascii="Times New Roman" w:hAnsi="Times New Roman" w:eastAsia="等线" w:cs="Times New Roman"/>
                <w:color w:val="000000"/>
                <w:sz w:val="22"/>
              </w:rPr>
              <w:t>193</w:t>
            </w:r>
          </w:p>
        </w:tc>
        <w:tc>
          <w:tcPr>
            <w:tcW w:w="1474" w:type="dxa"/>
            <w:vAlign w:val="center"/>
          </w:tcPr>
          <w:p w14:paraId="4A8BD70D">
            <w:pPr>
              <w:jc w:val="center"/>
              <w:rPr>
                <w:rFonts w:ascii="Times New Roman" w:hAnsi="Times New Roman" w:cs="Times New Roman"/>
                <w:sz w:val="22"/>
              </w:rPr>
            </w:pPr>
            <w:r>
              <w:rPr>
                <w:rFonts w:ascii="Times New Roman" w:hAnsi="Times New Roman" w:eastAsia="等线" w:cs="Times New Roman"/>
                <w:color w:val="000000"/>
                <w:sz w:val="22"/>
              </w:rPr>
              <w:t>13</w:t>
            </w:r>
          </w:p>
        </w:tc>
        <w:tc>
          <w:tcPr>
            <w:tcW w:w="1971" w:type="dxa"/>
            <w:vAlign w:val="center"/>
          </w:tcPr>
          <w:p w14:paraId="283A0210">
            <w:pPr>
              <w:jc w:val="center"/>
              <w:rPr>
                <w:rFonts w:ascii="Times New Roman" w:hAnsi="Times New Roman" w:cs="Times New Roman"/>
                <w:sz w:val="22"/>
              </w:rPr>
            </w:pPr>
            <w:r>
              <w:rPr>
                <w:rFonts w:ascii="Times New Roman" w:hAnsi="Times New Roman" w:eastAsia="等线" w:cs="Times New Roman"/>
                <w:color w:val="000000"/>
                <w:sz w:val="22"/>
              </w:rPr>
              <w:t>2259</w:t>
            </w:r>
          </w:p>
        </w:tc>
      </w:tr>
      <w:tr w14:paraId="070DCB08">
        <w:tblPrEx>
          <w:tblCellMar>
            <w:top w:w="0" w:type="dxa"/>
            <w:left w:w="108" w:type="dxa"/>
            <w:bottom w:w="0" w:type="dxa"/>
            <w:right w:w="108" w:type="dxa"/>
          </w:tblCellMar>
        </w:tblPrEx>
        <w:tc>
          <w:tcPr>
            <w:tcW w:w="1701" w:type="dxa"/>
            <w:vAlign w:val="center"/>
          </w:tcPr>
          <w:p w14:paraId="410EEDED">
            <w:pPr>
              <w:jc w:val="center"/>
              <w:rPr>
                <w:rFonts w:ascii="Times New Roman" w:hAnsi="Times New Roman" w:cs="Times New Roman"/>
                <w:b w:val="0"/>
                <w:bCs w:val="0"/>
                <w:sz w:val="22"/>
              </w:rPr>
            </w:pPr>
            <w:r>
              <w:rPr>
                <w:rFonts w:ascii="Times New Roman" w:hAnsi="Times New Roman" w:eastAsia="等线" w:cs="Times New Roman"/>
                <w:b/>
                <w:bCs/>
                <w:color w:val="000000"/>
                <w:sz w:val="22"/>
              </w:rPr>
              <w:t>1-32%-4h</w:t>
            </w:r>
          </w:p>
        </w:tc>
        <w:tc>
          <w:tcPr>
            <w:tcW w:w="1418" w:type="dxa"/>
            <w:vAlign w:val="center"/>
          </w:tcPr>
          <w:p w14:paraId="1B5898E5">
            <w:pPr>
              <w:jc w:val="center"/>
              <w:rPr>
                <w:rFonts w:ascii="Times New Roman" w:hAnsi="Times New Roman" w:cs="Times New Roman"/>
                <w:sz w:val="22"/>
              </w:rPr>
            </w:pPr>
            <w:r>
              <w:rPr>
                <w:rFonts w:ascii="Times New Roman" w:hAnsi="Times New Roman" w:eastAsia="等线" w:cs="Times New Roman"/>
                <w:color w:val="000000"/>
                <w:sz w:val="22"/>
              </w:rPr>
              <w:t>2.0</w:t>
            </w:r>
          </w:p>
        </w:tc>
        <w:tc>
          <w:tcPr>
            <w:tcW w:w="1236" w:type="dxa"/>
            <w:vAlign w:val="center"/>
          </w:tcPr>
          <w:p w14:paraId="789B2B8D">
            <w:pPr>
              <w:jc w:val="center"/>
              <w:rPr>
                <w:rFonts w:ascii="Times New Roman" w:hAnsi="Times New Roman" w:cs="Times New Roman"/>
                <w:sz w:val="22"/>
              </w:rPr>
            </w:pPr>
            <w:r>
              <w:rPr>
                <w:rFonts w:ascii="Times New Roman" w:hAnsi="Times New Roman" w:eastAsia="等线" w:cs="Times New Roman"/>
                <w:color w:val="000000"/>
                <w:sz w:val="22"/>
              </w:rPr>
              <w:t>0.1</w:t>
            </w:r>
          </w:p>
        </w:tc>
        <w:tc>
          <w:tcPr>
            <w:tcW w:w="722" w:type="dxa"/>
            <w:vAlign w:val="center"/>
          </w:tcPr>
          <w:p w14:paraId="2AA45E77">
            <w:pPr>
              <w:jc w:val="center"/>
              <w:rPr>
                <w:rFonts w:ascii="Times New Roman" w:hAnsi="Times New Roman" w:cs="Times New Roman"/>
                <w:sz w:val="22"/>
              </w:rPr>
            </w:pPr>
            <w:r>
              <w:rPr>
                <w:rFonts w:ascii="Times New Roman" w:hAnsi="Times New Roman" w:eastAsia="等线" w:cs="Times New Roman"/>
                <w:color w:val="000000"/>
                <w:sz w:val="22"/>
              </w:rPr>
              <w:t>36</w:t>
            </w:r>
          </w:p>
        </w:tc>
        <w:tc>
          <w:tcPr>
            <w:tcW w:w="1474" w:type="dxa"/>
            <w:vAlign w:val="center"/>
          </w:tcPr>
          <w:p w14:paraId="22C85A7F">
            <w:pPr>
              <w:jc w:val="center"/>
              <w:rPr>
                <w:rFonts w:ascii="Times New Roman" w:hAnsi="Times New Roman" w:cs="Times New Roman"/>
                <w:sz w:val="22"/>
              </w:rPr>
            </w:pPr>
            <w:r>
              <w:rPr>
                <w:rFonts w:ascii="Times New Roman" w:hAnsi="Times New Roman" w:eastAsia="等线" w:cs="Times New Roman"/>
                <w:color w:val="000000"/>
                <w:sz w:val="22"/>
              </w:rPr>
              <w:t>4</w:t>
            </w:r>
          </w:p>
        </w:tc>
        <w:tc>
          <w:tcPr>
            <w:tcW w:w="1971" w:type="dxa"/>
            <w:vAlign w:val="center"/>
          </w:tcPr>
          <w:p w14:paraId="1C246F0A">
            <w:pPr>
              <w:jc w:val="center"/>
              <w:rPr>
                <w:rFonts w:ascii="Times New Roman" w:hAnsi="Times New Roman" w:cs="Times New Roman"/>
                <w:sz w:val="22"/>
              </w:rPr>
            </w:pPr>
            <w:r>
              <w:rPr>
                <w:rFonts w:ascii="Times New Roman" w:hAnsi="Times New Roman" w:eastAsia="等线" w:cs="Times New Roman"/>
                <w:color w:val="000000"/>
                <w:sz w:val="22"/>
              </w:rPr>
              <w:t>13812</w:t>
            </w:r>
          </w:p>
        </w:tc>
      </w:tr>
      <w:tr w14:paraId="4F93F2C0">
        <w:tblPrEx>
          <w:tblCellMar>
            <w:top w:w="0" w:type="dxa"/>
            <w:left w:w="108" w:type="dxa"/>
            <w:bottom w:w="0" w:type="dxa"/>
            <w:right w:w="108" w:type="dxa"/>
          </w:tblCellMar>
        </w:tblPrEx>
        <w:tc>
          <w:tcPr>
            <w:tcW w:w="1701" w:type="dxa"/>
            <w:vAlign w:val="center"/>
          </w:tcPr>
          <w:p w14:paraId="0B45DE83">
            <w:pPr>
              <w:jc w:val="center"/>
              <w:rPr>
                <w:rFonts w:ascii="Times New Roman" w:hAnsi="Times New Roman" w:cs="Times New Roman"/>
                <w:b w:val="0"/>
                <w:bCs w:val="0"/>
                <w:sz w:val="22"/>
              </w:rPr>
            </w:pPr>
            <w:r>
              <w:rPr>
                <w:rFonts w:ascii="Times New Roman" w:hAnsi="Times New Roman" w:eastAsia="等线" w:cs="Times New Roman"/>
                <w:b/>
                <w:bCs/>
                <w:color w:val="000000"/>
                <w:sz w:val="22"/>
              </w:rPr>
              <w:t>1-48%-4h</w:t>
            </w:r>
          </w:p>
        </w:tc>
        <w:tc>
          <w:tcPr>
            <w:tcW w:w="1418" w:type="dxa"/>
            <w:vAlign w:val="center"/>
          </w:tcPr>
          <w:p w14:paraId="1F7ED942">
            <w:pPr>
              <w:jc w:val="center"/>
              <w:rPr>
                <w:rFonts w:ascii="Times New Roman" w:hAnsi="Times New Roman" w:cs="Times New Roman"/>
                <w:sz w:val="22"/>
              </w:rPr>
            </w:pPr>
            <w:r>
              <w:rPr>
                <w:rFonts w:ascii="Times New Roman" w:hAnsi="Times New Roman" w:eastAsia="等线" w:cs="Times New Roman"/>
                <w:color w:val="000000"/>
                <w:sz w:val="22"/>
              </w:rPr>
              <w:t>1.8</w:t>
            </w:r>
          </w:p>
        </w:tc>
        <w:tc>
          <w:tcPr>
            <w:tcW w:w="1236" w:type="dxa"/>
            <w:vAlign w:val="center"/>
          </w:tcPr>
          <w:p w14:paraId="0988DDF3">
            <w:pPr>
              <w:jc w:val="center"/>
              <w:rPr>
                <w:rFonts w:ascii="Times New Roman" w:hAnsi="Times New Roman" w:cs="Times New Roman"/>
                <w:sz w:val="22"/>
              </w:rPr>
            </w:pPr>
            <w:r>
              <w:rPr>
                <w:rFonts w:ascii="Times New Roman" w:hAnsi="Times New Roman" w:eastAsia="等线" w:cs="Times New Roman"/>
                <w:color w:val="000000"/>
                <w:sz w:val="22"/>
              </w:rPr>
              <w:t>0.1</w:t>
            </w:r>
          </w:p>
        </w:tc>
        <w:tc>
          <w:tcPr>
            <w:tcW w:w="722" w:type="dxa"/>
            <w:vAlign w:val="center"/>
          </w:tcPr>
          <w:p w14:paraId="0D790029">
            <w:pPr>
              <w:jc w:val="center"/>
              <w:rPr>
                <w:rFonts w:ascii="Times New Roman" w:hAnsi="Times New Roman" w:cs="Times New Roman"/>
                <w:sz w:val="22"/>
              </w:rPr>
            </w:pPr>
            <w:r>
              <w:rPr>
                <w:rFonts w:ascii="Times New Roman" w:hAnsi="Times New Roman" w:cs="Times New Roman"/>
                <w:sz w:val="22"/>
              </w:rPr>
              <w:t>19</w:t>
            </w:r>
          </w:p>
        </w:tc>
        <w:tc>
          <w:tcPr>
            <w:tcW w:w="1474" w:type="dxa"/>
            <w:vAlign w:val="center"/>
          </w:tcPr>
          <w:p w14:paraId="1A3B4916">
            <w:pPr>
              <w:jc w:val="center"/>
              <w:rPr>
                <w:rFonts w:ascii="Times New Roman" w:hAnsi="Times New Roman" w:cs="Times New Roman"/>
                <w:sz w:val="22"/>
              </w:rPr>
            </w:pPr>
            <w:r>
              <w:rPr>
                <w:rFonts w:ascii="Times New Roman" w:hAnsi="Times New Roman" w:eastAsia="等线" w:cs="Times New Roman"/>
                <w:color w:val="000000"/>
                <w:sz w:val="22"/>
              </w:rPr>
              <w:t>3</w:t>
            </w:r>
          </w:p>
        </w:tc>
        <w:tc>
          <w:tcPr>
            <w:tcW w:w="1971" w:type="dxa"/>
            <w:vAlign w:val="center"/>
          </w:tcPr>
          <w:p w14:paraId="5736125B">
            <w:pPr>
              <w:jc w:val="center"/>
              <w:rPr>
                <w:rFonts w:ascii="Times New Roman" w:hAnsi="Times New Roman" w:cs="Times New Roman"/>
                <w:sz w:val="22"/>
              </w:rPr>
            </w:pPr>
            <w:r>
              <w:rPr>
                <w:rFonts w:ascii="Times New Roman" w:hAnsi="Times New Roman" w:eastAsia="等线" w:cs="Times New Roman"/>
                <w:color w:val="000000"/>
                <w:sz w:val="22"/>
              </w:rPr>
              <w:t>30030</w:t>
            </w:r>
          </w:p>
        </w:tc>
      </w:tr>
      <w:tr w14:paraId="5E5B58C0">
        <w:tblPrEx>
          <w:tblCellMar>
            <w:top w:w="0" w:type="dxa"/>
            <w:left w:w="108" w:type="dxa"/>
            <w:bottom w:w="0" w:type="dxa"/>
            <w:right w:w="108" w:type="dxa"/>
          </w:tblCellMar>
        </w:tblPrEx>
        <w:tc>
          <w:tcPr>
            <w:tcW w:w="1701" w:type="dxa"/>
            <w:vAlign w:val="center"/>
          </w:tcPr>
          <w:p w14:paraId="5E485D08">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1-32%-8h</w:t>
            </w:r>
          </w:p>
        </w:tc>
        <w:tc>
          <w:tcPr>
            <w:tcW w:w="1418" w:type="dxa"/>
            <w:vAlign w:val="center"/>
          </w:tcPr>
          <w:p w14:paraId="6B477185">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2.4</w:t>
            </w:r>
          </w:p>
        </w:tc>
        <w:tc>
          <w:tcPr>
            <w:tcW w:w="1236" w:type="dxa"/>
            <w:vAlign w:val="center"/>
          </w:tcPr>
          <w:p w14:paraId="02EADAEE">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0.1</w:t>
            </w:r>
          </w:p>
        </w:tc>
        <w:tc>
          <w:tcPr>
            <w:tcW w:w="722" w:type="dxa"/>
            <w:vAlign w:val="center"/>
          </w:tcPr>
          <w:p w14:paraId="7464CD9D">
            <w:pPr>
              <w:jc w:val="center"/>
              <w:rPr>
                <w:rFonts w:ascii="Times New Roman" w:hAnsi="Times New Roman" w:cs="Times New Roman"/>
                <w:sz w:val="22"/>
              </w:rPr>
            </w:pPr>
            <w:r>
              <w:rPr>
                <w:rFonts w:ascii="Times New Roman" w:hAnsi="Times New Roman" w:cs="Times New Roman"/>
                <w:sz w:val="22"/>
              </w:rPr>
              <w:t>36</w:t>
            </w:r>
          </w:p>
        </w:tc>
        <w:tc>
          <w:tcPr>
            <w:tcW w:w="1474" w:type="dxa"/>
            <w:vAlign w:val="center"/>
          </w:tcPr>
          <w:p w14:paraId="47761413">
            <w:pPr>
              <w:jc w:val="center"/>
              <w:rPr>
                <w:rFonts w:ascii="Times New Roman" w:hAnsi="Times New Roman" w:cs="Times New Roman"/>
                <w:sz w:val="22"/>
              </w:rPr>
            </w:pPr>
            <w:r>
              <w:rPr>
                <w:rFonts w:ascii="Times New Roman" w:hAnsi="Times New Roman" w:cs="Times New Roman"/>
                <w:sz w:val="22"/>
              </w:rPr>
              <w:t>5</w:t>
            </w:r>
          </w:p>
        </w:tc>
        <w:tc>
          <w:tcPr>
            <w:tcW w:w="1971" w:type="dxa"/>
            <w:vAlign w:val="center"/>
          </w:tcPr>
          <w:p w14:paraId="06D32CF0">
            <w:pPr>
              <w:jc w:val="center"/>
              <w:rPr>
                <w:rFonts w:ascii="Times New Roman" w:hAnsi="Times New Roman" w:cs="Times New Roman"/>
                <w:sz w:val="22"/>
              </w:rPr>
            </w:pPr>
            <w:r>
              <w:rPr>
                <w:rFonts w:ascii="Times New Roman" w:hAnsi="Times New Roman" w:eastAsia="等线" w:cs="Times New Roman"/>
                <w:color w:val="000000"/>
                <w:sz w:val="22"/>
              </w:rPr>
              <w:t>11721</w:t>
            </w:r>
          </w:p>
        </w:tc>
      </w:tr>
      <w:tr w14:paraId="349374DF">
        <w:tblPrEx>
          <w:tblCellMar>
            <w:top w:w="0" w:type="dxa"/>
            <w:left w:w="108" w:type="dxa"/>
            <w:bottom w:w="0" w:type="dxa"/>
            <w:right w:w="108" w:type="dxa"/>
          </w:tblCellMar>
        </w:tblPrEx>
        <w:tc>
          <w:tcPr>
            <w:tcW w:w="1701" w:type="dxa"/>
            <w:vAlign w:val="center"/>
          </w:tcPr>
          <w:p w14:paraId="6699E8AE">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1-32%-16h</w:t>
            </w:r>
          </w:p>
        </w:tc>
        <w:tc>
          <w:tcPr>
            <w:tcW w:w="1418" w:type="dxa"/>
            <w:vAlign w:val="center"/>
          </w:tcPr>
          <w:p w14:paraId="6F0A7D08">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2.8</w:t>
            </w:r>
          </w:p>
        </w:tc>
        <w:tc>
          <w:tcPr>
            <w:tcW w:w="1236" w:type="dxa"/>
            <w:vAlign w:val="center"/>
          </w:tcPr>
          <w:p w14:paraId="13F0E0DC">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0.1</w:t>
            </w:r>
          </w:p>
        </w:tc>
        <w:tc>
          <w:tcPr>
            <w:tcW w:w="722" w:type="dxa"/>
            <w:vAlign w:val="center"/>
          </w:tcPr>
          <w:p w14:paraId="4FCC21F9">
            <w:pPr>
              <w:jc w:val="center"/>
              <w:rPr>
                <w:rFonts w:ascii="Times New Roman" w:hAnsi="Times New Roman" w:cs="Times New Roman"/>
                <w:sz w:val="22"/>
              </w:rPr>
            </w:pPr>
            <w:r>
              <w:rPr>
                <w:rFonts w:ascii="Times New Roman" w:hAnsi="Times New Roman" w:eastAsia="等线" w:cs="Times New Roman"/>
                <w:color w:val="000000"/>
                <w:sz w:val="22"/>
              </w:rPr>
              <w:t>37</w:t>
            </w:r>
          </w:p>
        </w:tc>
        <w:tc>
          <w:tcPr>
            <w:tcW w:w="1474" w:type="dxa"/>
            <w:vAlign w:val="center"/>
          </w:tcPr>
          <w:p w14:paraId="0A81D970">
            <w:pPr>
              <w:jc w:val="center"/>
              <w:rPr>
                <w:rFonts w:ascii="Times New Roman" w:hAnsi="Times New Roman" w:cs="Times New Roman"/>
                <w:sz w:val="22"/>
              </w:rPr>
            </w:pPr>
            <w:r>
              <w:rPr>
                <w:rFonts w:ascii="Times New Roman" w:hAnsi="Times New Roman" w:cs="Times New Roman"/>
                <w:sz w:val="22"/>
              </w:rPr>
              <w:t>4</w:t>
            </w:r>
          </w:p>
        </w:tc>
        <w:tc>
          <w:tcPr>
            <w:tcW w:w="1971" w:type="dxa"/>
            <w:vAlign w:val="center"/>
          </w:tcPr>
          <w:p w14:paraId="64BC66F7">
            <w:pPr>
              <w:jc w:val="center"/>
              <w:rPr>
                <w:rFonts w:ascii="Times New Roman" w:hAnsi="Times New Roman" w:cs="Times New Roman"/>
                <w:sz w:val="22"/>
              </w:rPr>
            </w:pPr>
            <w:r>
              <w:rPr>
                <w:rFonts w:ascii="Times New Roman" w:hAnsi="Times New Roman" w:eastAsia="等线" w:cs="Times New Roman"/>
                <w:color w:val="000000"/>
                <w:sz w:val="22"/>
              </w:rPr>
              <w:t>9810</w:t>
            </w:r>
          </w:p>
        </w:tc>
      </w:tr>
      <w:tr w14:paraId="215F9459">
        <w:tblPrEx>
          <w:tblCellMar>
            <w:top w:w="0" w:type="dxa"/>
            <w:left w:w="108" w:type="dxa"/>
            <w:bottom w:w="0" w:type="dxa"/>
            <w:right w:w="108" w:type="dxa"/>
          </w:tblCellMar>
        </w:tblPrEx>
        <w:tc>
          <w:tcPr>
            <w:tcW w:w="1701" w:type="dxa"/>
            <w:vAlign w:val="center"/>
          </w:tcPr>
          <w:p w14:paraId="37173886">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1-32%-24h</w:t>
            </w:r>
          </w:p>
        </w:tc>
        <w:tc>
          <w:tcPr>
            <w:tcW w:w="1418" w:type="dxa"/>
            <w:vAlign w:val="center"/>
          </w:tcPr>
          <w:p w14:paraId="1A450FBF">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3.2</w:t>
            </w:r>
          </w:p>
        </w:tc>
        <w:tc>
          <w:tcPr>
            <w:tcW w:w="1236" w:type="dxa"/>
            <w:vAlign w:val="center"/>
          </w:tcPr>
          <w:p w14:paraId="147C9921">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0.1</w:t>
            </w:r>
          </w:p>
        </w:tc>
        <w:tc>
          <w:tcPr>
            <w:tcW w:w="722" w:type="dxa"/>
            <w:vAlign w:val="center"/>
          </w:tcPr>
          <w:p w14:paraId="5F24E9FB">
            <w:pPr>
              <w:jc w:val="center"/>
              <w:rPr>
                <w:rFonts w:ascii="Times New Roman" w:hAnsi="Times New Roman" w:cs="Times New Roman"/>
                <w:sz w:val="22"/>
              </w:rPr>
            </w:pPr>
            <w:r>
              <w:rPr>
                <w:rFonts w:ascii="Times New Roman" w:hAnsi="Times New Roman" w:cs="Times New Roman"/>
                <w:sz w:val="22"/>
              </w:rPr>
              <w:t>38</w:t>
            </w:r>
          </w:p>
        </w:tc>
        <w:tc>
          <w:tcPr>
            <w:tcW w:w="1474" w:type="dxa"/>
            <w:vAlign w:val="center"/>
          </w:tcPr>
          <w:p w14:paraId="1917DABF">
            <w:pPr>
              <w:jc w:val="center"/>
              <w:rPr>
                <w:rFonts w:ascii="Times New Roman" w:hAnsi="Times New Roman" w:cs="Times New Roman"/>
                <w:sz w:val="22"/>
              </w:rPr>
            </w:pPr>
            <w:r>
              <w:rPr>
                <w:rFonts w:ascii="Times New Roman" w:hAnsi="Times New Roman" w:cs="Times New Roman"/>
                <w:sz w:val="22"/>
              </w:rPr>
              <w:t>2</w:t>
            </w:r>
          </w:p>
        </w:tc>
        <w:tc>
          <w:tcPr>
            <w:tcW w:w="1971" w:type="dxa"/>
            <w:vAlign w:val="center"/>
          </w:tcPr>
          <w:p w14:paraId="0525D200">
            <w:pPr>
              <w:jc w:val="center"/>
              <w:rPr>
                <w:rFonts w:ascii="Times New Roman" w:hAnsi="Times New Roman" w:cs="Times New Roman"/>
                <w:sz w:val="22"/>
              </w:rPr>
            </w:pPr>
            <w:r>
              <w:rPr>
                <w:rFonts w:ascii="Times New Roman" w:hAnsi="Times New Roman" w:eastAsia="等线" w:cs="Times New Roman"/>
                <w:color w:val="000000"/>
                <w:sz w:val="22"/>
              </w:rPr>
              <w:t>8311</w:t>
            </w:r>
          </w:p>
        </w:tc>
      </w:tr>
      <w:tr w14:paraId="3AC00BB4">
        <w:tblPrEx>
          <w:tblCellMar>
            <w:top w:w="0" w:type="dxa"/>
            <w:left w:w="108" w:type="dxa"/>
            <w:bottom w:w="0" w:type="dxa"/>
            <w:right w:w="108" w:type="dxa"/>
          </w:tblCellMar>
        </w:tblPrEx>
        <w:tc>
          <w:tcPr>
            <w:tcW w:w="1701" w:type="dxa"/>
            <w:tcBorders>
              <w:bottom w:val="single" w:color="auto" w:sz="12" w:space="0"/>
            </w:tcBorders>
            <w:vAlign w:val="center"/>
          </w:tcPr>
          <w:p w14:paraId="6C9AB421">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1-32%-48h</w:t>
            </w:r>
          </w:p>
        </w:tc>
        <w:tc>
          <w:tcPr>
            <w:tcW w:w="1418" w:type="dxa"/>
            <w:tcBorders>
              <w:bottom w:val="single" w:color="auto" w:sz="12" w:space="0"/>
            </w:tcBorders>
            <w:vAlign w:val="center"/>
          </w:tcPr>
          <w:p w14:paraId="03D557AF">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5.1</w:t>
            </w:r>
          </w:p>
        </w:tc>
        <w:tc>
          <w:tcPr>
            <w:tcW w:w="1236" w:type="dxa"/>
            <w:tcBorders>
              <w:bottom w:val="single" w:color="auto" w:sz="12" w:space="0"/>
            </w:tcBorders>
            <w:vAlign w:val="center"/>
          </w:tcPr>
          <w:p w14:paraId="12A520F9">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0.1</w:t>
            </w:r>
          </w:p>
        </w:tc>
        <w:tc>
          <w:tcPr>
            <w:tcW w:w="722" w:type="dxa"/>
            <w:tcBorders>
              <w:bottom w:val="single" w:color="auto" w:sz="12" w:space="0"/>
            </w:tcBorders>
            <w:vAlign w:val="center"/>
          </w:tcPr>
          <w:p w14:paraId="4B07A4F5">
            <w:pPr>
              <w:jc w:val="center"/>
              <w:rPr>
                <w:rFonts w:ascii="Times New Roman" w:hAnsi="Times New Roman" w:cs="Times New Roman"/>
                <w:sz w:val="22"/>
              </w:rPr>
            </w:pPr>
            <w:r>
              <w:rPr>
                <w:rFonts w:ascii="Times New Roman" w:hAnsi="Times New Roman" w:cs="Times New Roman"/>
                <w:sz w:val="22"/>
              </w:rPr>
              <w:t>21</w:t>
            </w:r>
          </w:p>
        </w:tc>
        <w:tc>
          <w:tcPr>
            <w:tcW w:w="1474" w:type="dxa"/>
            <w:tcBorders>
              <w:bottom w:val="single" w:color="auto" w:sz="12" w:space="0"/>
            </w:tcBorders>
            <w:vAlign w:val="center"/>
          </w:tcPr>
          <w:p w14:paraId="71C0FF0A">
            <w:pPr>
              <w:jc w:val="center"/>
              <w:rPr>
                <w:rFonts w:ascii="Times New Roman" w:hAnsi="Times New Roman" w:cs="Times New Roman"/>
                <w:sz w:val="22"/>
              </w:rPr>
            </w:pPr>
            <w:r>
              <w:rPr>
                <w:rFonts w:ascii="Times New Roman" w:hAnsi="Times New Roman" w:cs="Times New Roman"/>
                <w:sz w:val="22"/>
              </w:rPr>
              <w:t>1</w:t>
            </w:r>
          </w:p>
        </w:tc>
        <w:tc>
          <w:tcPr>
            <w:tcW w:w="1971" w:type="dxa"/>
            <w:tcBorders>
              <w:bottom w:val="single" w:color="auto" w:sz="12" w:space="0"/>
            </w:tcBorders>
            <w:vAlign w:val="center"/>
          </w:tcPr>
          <w:p w14:paraId="1446F71C">
            <w:pPr>
              <w:jc w:val="center"/>
              <w:rPr>
                <w:rFonts w:ascii="Times New Roman" w:hAnsi="Times New Roman" w:cs="Times New Roman"/>
                <w:sz w:val="22"/>
              </w:rPr>
            </w:pPr>
            <w:r>
              <w:rPr>
                <w:rFonts w:ascii="Times New Roman" w:hAnsi="Times New Roman" w:eastAsia="等线" w:cs="Times New Roman"/>
                <w:color w:val="000000"/>
                <w:sz w:val="22"/>
              </w:rPr>
              <w:t>9249</w:t>
            </w:r>
          </w:p>
        </w:tc>
      </w:tr>
      <w:bookmarkEnd w:id="7"/>
    </w:tbl>
    <w:p w14:paraId="3B92E20E">
      <w:pPr>
        <w:ind w:firstLine="440" w:firstLineChars="200"/>
        <w:rPr>
          <w:rFonts w:ascii="Times New Roman" w:hAnsi="Times New Roman" w:cs="Times New Roman"/>
          <w:sz w:val="22"/>
        </w:rPr>
      </w:pPr>
    </w:p>
    <w:p w14:paraId="1D46CE25">
      <w:pPr>
        <w:rPr>
          <w:rFonts w:ascii="Times New Roman" w:hAnsi="Times New Roman" w:cs="Times New Roman"/>
          <w:b/>
          <w:bCs/>
          <w:sz w:val="22"/>
        </w:rPr>
      </w:pPr>
    </w:p>
    <w:p w14:paraId="050298A9">
      <w:pPr>
        <w:rPr>
          <w:rFonts w:ascii="Times New Roman" w:hAnsi="Times New Roman" w:cs="Times New Roman"/>
          <w:b/>
          <w:bCs/>
          <w:sz w:val="22"/>
        </w:rPr>
      </w:pPr>
    </w:p>
    <w:p w14:paraId="22E8EC43">
      <w:pPr>
        <w:rPr>
          <w:rFonts w:ascii="Times New Roman" w:hAnsi="Times New Roman" w:cs="Times New Roman"/>
          <w:b/>
          <w:bCs/>
          <w:sz w:val="22"/>
        </w:rPr>
      </w:pPr>
    </w:p>
    <w:p w14:paraId="6E0945D4">
      <w:pPr>
        <w:rPr>
          <w:rFonts w:ascii="Times New Roman" w:hAnsi="Times New Roman" w:cs="Times New Roman"/>
          <w:b/>
          <w:bCs/>
          <w:sz w:val="22"/>
        </w:rPr>
      </w:pPr>
    </w:p>
    <w:p w14:paraId="3BFCD297">
      <w:pPr>
        <w:rPr>
          <w:rFonts w:ascii="Times New Roman" w:hAnsi="Times New Roman" w:cs="Times New Roman"/>
          <w:b/>
          <w:bCs/>
          <w:sz w:val="22"/>
        </w:rPr>
      </w:pPr>
    </w:p>
    <w:p w14:paraId="352B0E56">
      <w:pPr>
        <w:rPr>
          <w:rFonts w:ascii="Times New Roman" w:hAnsi="Times New Roman" w:cs="Times New Roman"/>
          <w:b/>
          <w:bCs/>
          <w:sz w:val="22"/>
        </w:rPr>
      </w:pPr>
    </w:p>
    <w:p w14:paraId="0D284181">
      <w:pPr>
        <w:rPr>
          <w:rFonts w:ascii="Times New Roman" w:hAnsi="Times New Roman" w:cs="Times New Roman"/>
          <w:b/>
          <w:bCs/>
          <w:sz w:val="22"/>
        </w:rPr>
      </w:pPr>
    </w:p>
    <w:p w14:paraId="7659EB6A">
      <w:pPr>
        <w:rPr>
          <w:rFonts w:ascii="Times New Roman" w:hAnsi="Times New Roman" w:cs="Times New Roman"/>
          <w:b/>
          <w:bCs/>
          <w:sz w:val="22"/>
        </w:rPr>
      </w:pPr>
    </w:p>
    <w:p w14:paraId="3C5FD595">
      <w:pPr>
        <w:rPr>
          <w:rFonts w:ascii="Times New Roman" w:hAnsi="Times New Roman" w:cs="Times New Roman"/>
          <w:b/>
          <w:bCs/>
          <w:sz w:val="22"/>
        </w:rPr>
      </w:pPr>
    </w:p>
    <w:p w14:paraId="3B4CD9BD">
      <w:pPr>
        <w:rPr>
          <w:rFonts w:ascii="Times New Roman" w:hAnsi="Times New Roman" w:cs="Times New Roman"/>
          <w:b/>
          <w:bCs/>
          <w:sz w:val="22"/>
        </w:rPr>
      </w:pPr>
    </w:p>
    <w:p w14:paraId="0CD9F963">
      <w:pPr>
        <w:rPr>
          <w:rFonts w:ascii="Times New Roman" w:hAnsi="Times New Roman" w:cs="Times New Roman"/>
          <w:b/>
          <w:bCs/>
          <w:sz w:val="22"/>
        </w:rPr>
      </w:pPr>
    </w:p>
    <w:p w14:paraId="1A0C27A2">
      <w:pPr>
        <w:rPr>
          <w:rFonts w:ascii="Times New Roman" w:hAnsi="Times New Roman" w:cs="Times New Roman"/>
          <w:b/>
          <w:bCs/>
          <w:sz w:val="22"/>
        </w:rPr>
      </w:pPr>
    </w:p>
    <w:p w14:paraId="2EF6B9FF">
      <w:pPr>
        <w:rPr>
          <w:rFonts w:ascii="Times New Roman" w:hAnsi="Times New Roman" w:cs="Times New Roman"/>
          <w:b/>
          <w:bCs/>
          <w:sz w:val="22"/>
        </w:rPr>
      </w:pPr>
    </w:p>
    <w:p w14:paraId="7E154384">
      <w:pPr>
        <w:rPr>
          <w:rFonts w:ascii="Times New Roman" w:hAnsi="Times New Roman" w:cs="Times New Roman"/>
          <w:b/>
          <w:bCs/>
          <w:sz w:val="22"/>
        </w:rPr>
      </w:pPr>
    </w:p>
    <w:p w14:paraId="1CB26FFD">
      <w:pPr>
        <w:rPr>
          <w:rFonts w:ascii="Times New Roman" w:hAnsi="Times New Roman" w:cs="Times New Roman"/>
          <w:b/>
          <w:bCs/>
          <w:sz w:val="22"/>
        </w:rPr>
      </w:pPr>
    </w:p>
    <w:p w14:paraId="707E2FF9">
      <w:pPr>
        <w:rPr>
          <w:rFonts w:ascii="Times New Roman" w:hAnsi="Times New Roman" w:cs="Times New Roman"/>
          <w:b/>
          <w:bCs/>
          <w:sz w:val="22"/>
        </w:rPr>
      </w:pPr>
    </w:p>
    <w:p w14:paraId="6727D6BB">
      <w:pPr>
        <w:rPr>
          <w:rFonts w:ascii="Times New Roman" w:hAnsi="Times New Roman" w:cs="Times New Roman"/>
          <w:b/>
          <w:bCs/>
          <w:sz w:val="22"/>
        </w:rPr>
      </w:pPr>
    </w:p>
    <w:p w14:paraId="725B196C">
      <w:pPr>
        <w:rPr>
          <w:rFonts w:ascii="Times New Roman" w:hAnsi="Times New Roman" w:cs="Times New Roman"/>
          <w:b/>
          <w:bCs/>
          <w:sz w:val="22"/>
        </w:rPr>
      </w:pPr>
    </w:p>
    <w:p w14:paraId="0CCDF6DF">
      <w:pPr>
        <w:rPr>
          <w:rFonts w:ascii="Times New Roman" w:hAnsi="Times New Roman" w:cs="Times New Roman"/>
          <w:b/>
          <w:bCs/>
          <w:sz w:val="22"/>
        </w:rPr>
      </w:pPr>
    </w:p>
    <w:p w14:paraId="6007639B">
      <w:pPr>
        <w:rPr>
          <w:rFonts w:ascii="Times New Roman" w:hAnsi="Times New Roman" w:cs="Times New Roman"/>
          <w:b/>
          <w:bCs/>
          <w:sz w:val="22"/>
        </w:rPr>
      </w:pPr>
    </w:p>
    <w:p w14:paraId="1DEE0724">
      <w:pPr>
        <w:rPr>
          <w:rFonts w:ascii="Times New Roman" w:hAnsi="Times New Roman" w:cs="Times New Roman"/>
          <w:b/>
          <w:bCs/>
          <w:sz w:val="22"/>
        </w:rPr>
      </w:pPr>
    </w:p>
    <w:p w14:paraId="08E30F29">
      <w:pPr>
        <w:rPr>
          <w:rFonts w:ascii="Times New Roman" w:hAnsi="Times New Roman" w:cs="Times New Roman"/>
          <w:b/>
          <w:bCs/>
          <w:sz w:val="22"/>
        </w:rPr>
      </w:pPr>
    </w:p>
    <w:p w14:paraId="102C19D0">
      <w:pPr>
        <w:rPr>
          <w:rFonts w:ascii="Times New Roman" w:hAnsi="Times New Roman" w:cs="Times New Roman"/>
          <w:b/>
          <w:bCs/>
          <w:sz w:val="22"/>
        </w:rPr>
      </w:pPr>
    </w:p>
    <w:p w14:paraId="4D574306">
      <w:pPr>
        <w:rPr>
          <w:rFonts w:ascii="Times New Roman" w:hAnsi="Times New Roman" w:cs="Times New Roman"/>
          <w:b/>
          <w:bCs/>
          <w:sz w:val="22"/>
        </w:rPr>
      </w:pPr>
    </w:p>
    <w:p w14:paraId="37D5D472">
      <w:pPr>
        <w:rPr>
          <w:rFonts w:ascii="Times New Roman" w:hAnsi="Times New Roman" w:cs="Times New Roman"/>
          <w:b/>
          <w:bCs/>
          <w:sz w:val="22"/>
        </w:rPr>
      </w:pPr>
    </w:p>
    <w:p w14:paraId="7C213A9D">
      <w:pPr>
        <w:rPr>
          <w:rFonts w:ascii="Times New Roman" w:hAnsi="Times New Roman" w:cs="Times New Roman"/>
          <w:b/>
          <w:bCs/>
          <w:sz w:val="22"/>
        </w:rPr>
      </w:pPr>
    </w:p>
    <w:p w14:paraId="7A92C1B7">
      <w:pPr>
        <w:rPr>
          <w:rFonts w:ascii="Times New Roman" w:hAnsi="Times New Roman" w:cs="Times New Roman"/>
          <w:b/>
          <w:bCs/>
          <w:sz w:val="22"/>
        </w:rPr>
      </w:pPr>
    </w:p>
    <w:p w14:paraId="0DB37682">
      <w:pPr>
        <w:rPr>
          <w:rFonts w:ascii="Times New Roman" w:hAnsi="Times New Roman" w:cs="Times New Roman"/>
          <w:b/>
          <w:bCs/>
          <w:sz w:val="22"/>
        </w:rPr>
      </w:pPr>
    </w:p>
    <w:p w14:paraId="12223F18">
      <w:pPr>
        <w:rPr>
          <w:rFonts w:ascii="Times New Roman" w:hAnsi="Times New Roman" w:cs="Times New Roman"/>
          <w:b/>
          <w:bCs/>
          <w:sz w:val="22"/>
        </w:rPr>
      </w:pPr>
    </w:p>
    <w:p w14:paraId="0F584E79">
      <w:pPr>
        <w:rPr>
          <w:rFonts w:ascii="Times New Roman" w:hAnsi="Times New Roman" w:cs="Times New Roman"/>
          <w:b/>
          <w:bCs/>
          <w:sz w:val="22"/>
        </w:rPr>
      </w:pPr>
    </w:p>
    <w:p w14:paraId="65893032">
      <w:pPr>
        <w:rPr>
          <w:rFonts w:ascii="Times New Roman" w:hAnsi="Times New Roman" w:cs="Times New Roman"/>
          <w:sz w:val="22"/>
        </w:rPr>
      </w:pPr>
      <w:r>
        <w:rPr>
          <w:rFonts w:hint="eastAsia" w:ascii="Times New Roman" w:hAnsi="Times New Roman" w:cs="Times New Roman"/>
          <w:b/>
          <w:bCs/>
          <w:sz w:val="22"/>
        </w:rPr>
        <w:t xml:space="preserve">Supplementary </w:t>
      </w:r>
      <w:r>
        <w:rPr>
          <w:rFonts w:ascii="Times New Roman" w:hAnsi="Times New Roman" w:cs="Times New Roman"/>
          <w:b/>
          <w:bCs/>
          <w:sz w:val="22"/>
        </w:rPr>
        <w:t>Table</w:t>
      </w:r>
      <w:r>
        <w:rPr>
          <w:rFonts w:hint="eastAsia" w:ascii="Times New Roman" w:hAnsi="Times New Roman" w:cs="Times New Roman"/>
          <w:b/>
          <w:bCs/>
          <w:sz w:val="22"/>
        </w:rPr>
        <w:t xml:space="preserve"> </w:t>
      </w:r>
      <w:r>
        <w:rPr>
          <w:rFonts w:hint="eastAsia" w:ascii="Times New Roman" w:hAnsi="Times New Roman" w:cs="Times New Roman"/>
          <w:b/>
          <w:bCs/>
          <w:sz w:val="22"/>
          <w:lang w:val="en-US" w:eastAsia="zh-CN"/>
        </w:rPr>
        <w:t>5</w:t>
      </w:r>
      <w:r>
        <w:rPr>
          <w:rFonts w:hint="eastAsia" w:ascii="Times New Roman" w:hAnsi="Times New Roman" w:cs="Times New Roman"/>
          <w:b/>
          <w:bCs/>
          <w:sz w:val="22"/>
        </w:rPr>
        <w:t>.</w:t>
      </w:r>
      <w:r>
        <w:rPr>
          <w:rFonts w:ascii="Times New Roman" w:hAnsi="Times New Roman" w:cs="Times New Roman"/>
          <w:sz w:val="22"/>
        </w:rPr>
        <w:t xml:space="preserve"> The data summary of thickness, square resistance, and conductivity of H-RGO@M-SWCNT@GO TCFs.</w:t>
      </w:r>
    </w:p>
    <w:tbl>
      <w:tblPr>
        <w:tblStyle w:val="41"/>
        <w:tblW w:w="8522" w:type="dxa"/>
        <w:tblInd w:w="0" w:type="dxa"/>
        <w:tblLayout w:type="fixed"/>
        <w:tblCellMar>
          <w:top w:w="0" w:type="dxa"/>
          <w:left w:w="108" w:type="dxa"/>
          <w:bottom w:w="0" w:type="dxa"/>
          <w:right w:w="108" w:type="dxa"/>
        </w:tblCellMar>
      </w:tblPr>
      <w:tblGrid>
        <w:gridCol w:w="1701"/>
        <w:gridCol w:w="1418"/>
        <w:gridCol w:w="1236"/>
        <w:gridCol w:w="716"/>
        <w:gridCol w:w="1477"/>
        <w:gridCol w:w="1974"/>
      </w:tblGrid>
      <w:tr w14:paraId="6333839B">
        <w:tblPrEx>
          <w:tblCellMar>
            <w:top w:w="0" w:type="dxa"/>
            <w:left w:w="108" w:type="dxa"/>
            <w:bottom w:w="0" w:type="dxa"/>
            <w:right w:w="108" w:type="dxa"/>
          </w:tblCellMar>
        </w:tblPrEx>
        <w:tc>
          <w:tcPr>
            <w:tcW w:w="1701" w:type="dxa"/>
            <w:tcBorders>
              <w:top w:val="single" w:color="auto" w:sz="12" w:space="0"/>
              <w:bottom w:val="single" w:color="auto" w:sz="12" w:space="0"/>
            </w:tcBorders>
            <w:vAlign w:val="center"/>
          </w:tcPr>
          <w:p w14:paraId="48001AE1">
            <w:pPr>
              <w:jc w:val="center"/>
              <w:rPr>
                <w:rFonts w:ascii="Times New Roman" w:hAnsi="Times New Roman" w:cs="Times New Roman"/>
                <w:b w:val="0"/>
                <w:bCs w:val="0"/>
                <w:sz w:val="22"/>
              </w:rPr>
            </w:pPr>
            <w:r>
              <w:rPr>
                <w:rFonts w:ascii="Times New Roman" w:hAnsi="Times New Roman" w:cs="Times New Roman"/>
                <w:b/>
                <w:bCs/>
                <w:sz w:val="22"/>
              </w:rPr>
              <w:t>Sample</w:t>
            </w:r>
          </w:p>
        </w:tc>
        <w:tc>
          <w:tcPr>
            <w:tcW w:w="1418" w:type="dxa"/>
            <w:tcBorders>
              <w:top w:val="single" w:color="auto" w:sz="12" w:space="0"/>
              <w:bottom w:val="single" w:color="auto" w:sz="12" w:space="0"/>
            </w:tcBorders>
            <w:vAlign w:val="center"/>
          </w:tcPr>
          <w:p w14:paraId="45D06DED">
            <w:pPr>
              <w:jc w:val="center"/>
              <w:rPr>
                <w:rFonts w:ascii="Times New Roman" w:hAnsi="Times New Roman" w:cs="Times New Roman"/>
                <w:b w:val="0"/>
                <w:bCs w:val="0"/>
                <w:sz w:val="22"/>
              </w:rPr>
            </w:pPr>
            <w:r>
              <w:rPr>
                <w:rFonts w:ascii="Times New Roman" w:hAnsi="Times New Roman" w:cs="Times New Roman"/>
                <w:b/>
                <w:bCs/>
                <w:sz w:val="22"/>
              </w:rPr>
              <w:t>Thickness (μm)</w:t>
            </w:r>
          </w:p>
        </w:tc>
        <w:tc>
          <w:tcPr>
            <w:tcW w:w="1236" w:type="dxa"/>
            <w:tcBorders>
              <w:top w:val="single" w:color="auto" w:sz="12" w:space="0"/>
              <w:bottom w:val="single" w:color="auto" w:sz="12" w:space="0"/>
            </w:tcBorders>
            <w:vAlign w:val="center"/>
          </w:tcPr>
          <w:p w14:paraId="4BEC4A44">
            <w:pPr>
              <w:jc w:val="center"/>
              <w:rPr>
                <w:rFonts w:ascii="Times New Roman" w:hAnsi="Times New Roman" w:cs="Times New Roman"/>
                <w:b w:val="0"/>
                <w:bCs w:val="0"/>
                <w:sz w:val="22"/>
              </w:rPr>
            </w:pPr>
            <w:r>
              <w:rPr>
                <w:rFonts w:ascii="Times New Roman" w:hAnsi="Times New Roman" w:cs="Times New Roman"/>
                <w:b/>
                <w:bCs/>
                <w:sz w:val="22"/>
              </w:rPr>
              <w:t>Standard deviation (μm)</w:t>
            </w:r>
          </w:p>
        </w:tc>
        <w:tc>
          <w:tcPr>
            <w:tcW w:w="716" w:type="dxa"/>
            <w:tcBorders>
              <w:top w:val="single" w:color="auto" w:sz="12" w:space="0"/>
              <w:bottom w:val="single" w:color="auto" w:sz="12" w:space="0"/>
            </w:tcBorders>
            <w:vAlign w:val="center"/>
          </w:tcPr>
          <w:p w14:paraId="7EE0EA85">
            <w:pPr>
              <w:jc w:val="center"/>
              <w:rPr>
                <w:rFonts w:ascii="Times New Roman" w:hAnsi="Times New Roman" w:cs="Times New Roman"/>
                <w:b w:val="0"/>
                <w:bCs w:val="0"/>
                <w:sz w:val="22"/>
              </w:rPr>
            </w:pPr>
            <w:r>
              <w:rPr>
                <w:rFonts w:ascii="Times New Roman" w:hAnsi="Times New Roman" w:cs="Times New Roman"/>
                <w:b/>
                <w:bCs/>
                <w:sz w:val="22"/>
              </w:rPr>
              <w:t>□ (Ω)</w:t>
            </w:r>
          </w:p>
        </w:tc>
        <w:tc>
          <w:tcPr>
            <w:tcW w:w="1477" w:type="dxa"/>
            <w:tcBorders>
              <w:top w:val="single" w:color="auto" w:sz="12" w:space="0"/>
              <w:bottom w:val="single" w:color="auto" w:sz="12" w:space="0"/>
            </w:tcBorders>
            <w:vAlign w:val="center"/>
          </w:tcPr>
          <w:p w14:paraId="2016FFA7">
            <w:pPr>
              <w:jc w:val="center"/>
              <w:rPr>
                <w:rFonts w:ascii="Times New Roman" w:hAnsi="Times New Roman" w:cs="Times New Roman"/>
                <w:b w:val="0"/>
                <w:bCs w:val="0"/>
                <w:sz w:val="22"/>
              </w:rPr>
            </w:pPr>
            <w:r>
              <w:rPr>
                <w:rFonts w:ascii="Times New Roman" w:hAnsi="Times New Roman" w:cs="Times New Roman"/>
                <w:b/>
                <w:bCs/>
                <w:sz w:val="22"/>
              </w:rPr>
              <w:t>Deviation (Ω)</w:t>
            </w:r>
          </w:p>
        </w:tc>
        <w:tc>
          <w:tcPr>
            <w:tcW w:w="1974" w:type="dxa"/>
            <w:tcBorders>
              <w:top w:val="single" w:color="auto" w:sz="12" w:space="0"/>
              <w:bottom w:val="single" w:color="auto" w:sz="12" w:space="0"/>
            </w:tcBorders>
            <w:vAlign w:val="center"/>
          </w:tcPr>
          <w:p w14:paraId="1EEDDA4D">
            <w:pPr>
              <w:jc w:val="center"/>
              <w:rPr>
                <w:rFonts w:ascii="Times New Roman" w:hAnsi="Times New Roman" w:cs="Times New Roman"/>
                <w:b w:val="0"/>
                <w:bCs w:val="0"/>
                <w:sz w:val="22"/>
              </w:rPr>
            </w:pPr>
            <w:r>
              <w:rPr>
                <w:rFonts w:ascii="Times New Roman" w:hAnsi="Times New Roman" w:cs="Times New Roman"/>
                <w:b/>
                <w:bCs/>
                <w:sz w:val="22"/>
              </w:rPr>
              <w:t>Conductivity (S/m)</w:t>
            </w:r>
          </w:p>
        </w:tc>
      </w:tr>
      <w:tr w14:paraId="3D0B19FB">
        <w:tblPrEx>
          <w:tblCellMar>
            <w:top w:w="0" w:type="dxa"/>
            <w:left w:w="108" w:type="dxa"/>
            <w:bottom w:w="0" w:type="dxa"/>
            <w:right w:w="108" w:type="dxa"/>
          </w:tblCellMar>
        </w:tblPrEx>
        <w:tc>
          <w:tcPr>
            <w:tcW w:w="1701" w:type="dxa"/>
            <w:vAlign w:val="center"/>
          </w:tcPr>
          <w:p w14:paraId="07CF3DF9">
            <w:pPr>
              <w:jc w:val="center"/>
              <w:rPr>
                <w:rFonts w:ascii="Times New Roman" w:hAnsi="Times New Roman" w:cs="Times New Roman"/>
                <w:b w:val="0"/>
                <w:bCs w:val="0"/>
                <w:sz w:val="22"/>
              </w:rPr>
            </w:pPr>
            <w:bookmarkStart w:id="8" w:name="OLE_LINK21"/>
            <w:r>
              <w:rPr>
                <w:rFonts w:ascii="Times New Roman" w:hAnsi="Times New Roman" w:eastAsia="等线" w:cs="Times New Roman"/>
                <w:b/>
                <w:bCs/>
                <w:color w:val="000000"/>
                <w:sz w:val="22"/>
              </w:rPr>
              <w:t>H-</w:t>
            </w:r>
            <w:bookmarkEnd w:id="8"/>
            <w:r>
              <w:rPr>
                <w:rFonts w:ascii="Times New Roman" w:hAnsi="Times New Roman" w:eastAsia="等线" w:cs="Times New Roman"/>
                <w:b/>
                <w:bCs/>
                <w:color w:val="000000"/>
                <w:sz w:val="22"/>
              </w:rPr>
              <w:t>1-8%-4h</w:t>
            </w:r>
          </w:p>
        </w:tc>
        <w:tc>
          <w:tcPr>
            <w:tcW w:w="1418" w:type="dxa"/>
            <w:vAlign w:val="center"/>
          </w:tcPr>
          <w:p w14:paraId="58C34611">
            <w:pPr>
              <w:jc w:val="center"/>
              <w:rPr>
                <w:rFonts w:ascii="Times New Roman" w:hAnsi="Times New Roman" w:cs="Times New Roman"/>
                <w:sz w:val="22"/>
              </w:rPr>
            </w:pPr>
            <w:r>
              <w:rPr>
                <w:rFonts w:ascii="Times New Roman" w:hAnsi="Times New Roman" w:eastAsia="等线" w:cs="Times New Roman"/>
                <w:color w:val="000000"/>
                <w:sz w:val="22"/>
              </w:rPr>
              <w:t>1.3</w:t>
            </w:r>
          </w:p>
        </w:tc>
        <w:tc>
          <w:tcPr>
            <w:tcW w:w="1236" w:type="dxa"/>
            <w:vAlign w:val="center"/>
          </w:tcPr>
          <w:p w14:paraId="5FFC17FE">
            <w:pPr>
              <w:jc w:val="center"/>
              <w:rPr>
                <w:rFonts w:ascii="Times New Roman" w:hAnsi="Times New Roman" w:cs="Times New Roman"/>
                <w:sz w:val="22"/>
              </w:rPr>
            </w:pPr>
            <w:r>
              <w:rPr>
                <w:rFonts w:ascii="Times New Roman" w:hAnsi="Times New Roman" w:eastAsia="等线" w:cs="Times New Roman"/>
                <w:color w:val="000000"/>
                <w:sz w:val="22"/>
              </w:rPr>
              <w:t>0.1</w:t>
            </w:r>
          </w:p>
        </w:tc>
        <w:tc>
          <w:tcPr>
            <w:tcW w:w="716" w:type="dxa"/>
            <w:vAlign w:val="center"/>
          </w:tcPr>
          <w:p w14:paraId="463A4100">
            <w:pPr>
              <w:jc w:val="center"/>
              <w:rPr>
                <w:rFonts w:ascii="Times New Roman" w:hAnsi="Times New Roman" w:cs="Times New Roman"/>
                <w:sz w:val="22"/>
              </w:rPr>
            </w:pPr>
            <w:r>
              <w:rPr>
                <w:rFonts w:ascii="Times New Roman" w:hAnsi="Times New Roman" w:eastAsia="等线" w:cs="Times New Roman"/>
                <w:color w:val="000000"/>
                <w:sz w:val="22"/>
              </w:rPr>
              <w:t>36</w:t>
            </w:r>
          </w:p>
        </w:tc>
        <w:tc>
          <w:tcPr>
            <w:tcW w:w="1477" w:type="dxa"/>
            <w:vAlign w:val="center"/>
          </w:tcPr>
          <w:p w14:paraId="34DE8BC2">
            <w:pPr>
              <w:jc w:val="center"/>
              <w:rPr>
                <w:rFonts w:ascii="Times New Roman" w:hAnsi="Times New Roman" w:cs="Times New Roman"/>
                <w:sz w:val="22"/>
              </w:rPr>
            </w:pPr>
            <w:r>
              <w:rPr>
                <w:rFonts w:ascii="Times New Roman" w:hAnsi="Times New Roman" w:cs="Times New Roman"/>
                <w:sz w:val="22"/>
              </w:rPr>
              <w:t>3</w:t>
            </w:r>
          </w:p>
        </w:tc>
        <w:tc>
          <w:tcPr>
            <w:tcW w:w="1974" w:type="dxa"/>
            <w:vAlign w:val="center"/>
          </w:tcPr>
          <w:p w14:paraId="23DE9590">
            <w:pPr>
              <w:jc w:val="center"/>
              <w:rPr>
                <w:rFonts w:ascii="Times New Roman" w:hAnsi="Times New Roman" w:cs="Times New Roman"/>
                <w:sz w:val="22"/>
              </w:rPr>
            </w:pPr>
            <w:r>
              <w:rPr>
                <w:rFonts w:ascii="Times New Roman" w:hAnsi="Times New Roman" w:eastAsia="等线" w:cs="Times New Roman"/>
                <w:color w:val="000000"/>
                <w:sz w:val="22"/>
              </w:rPr>
              <w:t>21823</w:t>
            </w:r>
          </w:p>
        </w:tc>
      </w:tr>
      <w:tr w14:paraId="0C7D3915">
        <w:tblPrEx>
          <w:tblCellMar>
            <w:top w:w="0" w:type="dxa"/>
            <w:left w:w="108" w:type="dxa"/>
            <w:bottom w:w="0" w:type="dxa"/>
            <w:right w:w="108" w:type="dxa"/>
          </w:tblCellMar>
        </w:tblPrEx>
        <w:tc>
          <w:tcPr>
            <w:tcW w:w="1701" w:type="dxa"/>
            <w:vAlign w:val="center"/>
          </w:tcPr>
          <w:p w14:paraId="569D4206">
            <w:pPr>
              <w:jc w:val="center"/>
              <w:rPr>
                <w:rFonts w:ascii="Times New Roman" w:hAnsi="Times New Roman" w:cs="Times New Roman"/>
                <w:b w:val="0"/>
                <w:bCs w:val="0"/>
                <w:sz w:val="22"/>
              </w:rPr>
            </w:pPr>
            <w:r>
              <w:rPr>
                <w:rFonts w:ascii="Times New Roman" w:hAnsi="Times New Roman" w:eastAsia="等线" w:cs="Times New Roman"/>
                <w:b/>
                <w:bCs/>
                <w:color w:val="000000"/>
                <w:sz w:val="22"/>
              </w:rPr>
              <w:t>H-1-16%-4h</w:t>
            </w:r>
          </w:p>
        </w:tc>
        <w:tc>
          <w:tcPr>
            <w:tcW w:w="1418" w:type="dxa"/>
            <w:vAlign w:val="center"/>
          </w:tcPr>
          <w:p w14:paraId="2737C06D">
            <w:pPr>
              <w:jc w:val="center"/>
              <w:rPr>
                <w:rFonts w:ascii="Times New Roman" w:hAnsi="Times New Roman" w:cs="Times New Roman"/>
                <w:sz w:val="22"/>
              </w:rPr>
            </w:pPr>
            <w:r>
              <w:rPr>
                <w:rFonts w:ascii="Times New Roman" w:hAnsi="Times New Roman" w:cs="Times New Roman"/>
                <w:sz w:val="22"/>
              </w:rPr>
              <w:t>1.2</w:t>
            </w:r>
          </w:p>
        </w:tc>
        <w:tc>
          <w:tcPr>
            <w:tcW w:w="1236" w:type="dxa"/>
            <w:vAlign w:val="center"/>
          </w:tcPr>
          <w:p w14:paraId="545CC78A">
            <w:pPr>
              <w:jc w:val="center"/>
              <w:rPr>
                <w:rFonts w:ascii="Times New Roman" w:hAnsi="Times New Roman" w:cs="Times New Roman"/>
                <w:sz w:val="22"/>
              </w:rPr>
            </w:pPr>
            <w:r>
              <w:rPr>
                <w:rFonts w:ascii="Times New Roman" w:hAnsi="Times New Roman" w:eastAsia="等线" w:cs="Times New Roman"/>
                <w:color w:val="000000"/>
                <w:sz w:val="22"/>
              </w:rPr>
              <w:t>0.1</w:t>
            </w:r>
          </w:p>
        </w:tc>
        <w:tc>
          <w:tcPr>
            <w:tcW w:w="716" w:type="dxa"/>
            <w:vAlign w:val="center"/>
          </w:tcPr>
          <w:p w14:paraId="5A2294D2">
            <w:pPr>
              <w:jc w:val="center"/>
              <w:rPr>
                <w:rFonts w:ascii="Times New Roman" w:hAnsi="Times New Roman" w:cs="Times New Roman"/>
                <w:sz w:val="22"/>
              </w:rPr>
            </w:pPr>
            <w:r>
              <w:rPr>
                <w:rFonts w:ascii="Times New Roman" w:hAnsi="Times New Roman" w:cs="Times New Roman"/>
                <w:sz w:val="22"/>
              </w:rPr>
              <w:t>15</w:t>
            </w:r>
          </w:p>
        </w:tc>
        <w:tc>
          <w:tcPr>
            <w:tcW w:w="1477" w:type="dxa"/>
            <w:vAlign w:val="center"/>
          </w:tcPr>
          <w:p w14:paraId="4A906CF7">
            <w:pPr>
              <w:jc w:val="center"/>
              <w:rPr>
                <w:rFonts w:ascii="Times New Roman" w:hAnsi="Times New Roman" w:cs="Times New Roman"/>
                <w:sz w:val="22"/>
              </w:rPr>
            </w:pPr>
            <w:r>
              <w:rPr>
                <w:rFonts w:ascii="Times New Roman" w:hAnsi="Times New Roman" w:cs="Times New Roman"/>
                <w:sz w:val="22"/>
              </w:rPr>
              <w:t>2</w:t>
            </w:r>
          </w:p>
        </w:tc>
        <w:tc>
          <w:tcPr>
            <w:tcW w:w="1974" w:type="dxa"/>
            <w:vAlign w:val="center"/>
          </w:tcPr>
          <w:p w14:paraId="1E1F5C1D">
            <w:pPr>
              <w:jc w:val="center"/>
              <w:rPr>
                <w:rFonts w:ascii="Times New Roman" w:hAnsi="Times New Roman" w:cs="Times New Roman"/>
                <w:sz w:val="22"/>
              </w:rPr>
            </w:pPr>
            <w:r>
              <w:rPr>
                <w:rFonts w:ascii="Times New Roman" w:hAnsi="Times New Roman" w:eastAsia="等线" w:cs="Times New Roman"/>
                <w:color w:val="000000"/>
                <w:sz w:val="22"/>
              </w:rPr>
              <w:t>54825</w:t>
            </w:r>
          </w:p>
        </w:tc>
      </w:tr>
      <w:tr w14:paraId="09B623D6">
        <w:tblPrEx>
          <w:tblCellMar>
            <w:top w:w="0" w:type="dxa"/>
            <w:left w:w="108" w:type="dxa"/>
            <w:bottom w:w="0" w:type="dxa"/>
            <w:right w:w="108" w:type="dxa"/>
          </w:tblCellMar>
        </w:tblPrEx>
        <w:tc>
          <w:tcPr>
            <w:tcW w:w="1701" w:type="dxa"/>
            <w:vAlign w:val="center"/>
          </w:tcPr>
          <w:p w14:paraId="57166CBE">
            <w:pPr>
              <w:jc w:val="center"/>
              <w:rPr>
                <w:rFonts w:ascii="Times New Roman" w:hAnsi="Times New Roman" w:cs="Times New Roman"/>
                <w:b w:val="0"/>
                <w:bCs w:val="0"/>
                <w:sz w:val="22"/>
              </w:rPr>
            </w:pPr>
            <w:r>
              <w:rPr>
                <w:rFonts w:ascii="Times New Roman" w:hAnsi="Times New Roman" w:eastAsia="等线" w:cs="Times New Roman"/>
                <w:b/>
                <w:bCs/>
                <w:color w:val="000000"/>
                <w:sz w:val="22"/>
              </w:rPr>
              <w:t>H-1-32%-4h</w:t>
            </w:r>
          </w:p>
        </w:tc>
        <w:tc>
          <w:tcPr>
            <w:tcW w:w="1418" w:type="dxa"/>
            <w:vAlign w:val="center"/>
          </w:tcPr>
          <w:p w14:paraId="50CC541C">
            <w:pPr>
              <w:jc w:val="center"/>
              <w:rPr>
                <w:rFonts w:ascii="Times New Roman" w:hAnsi="Times New Roman" w:cs="Times New Roman"/>
                <w:sz w:val="22"/>
              </w:rPr>
            </w:pPr>
            <w:r>
              <w:rPr>
                <w:rFonts w:ascii="Times New Roman" w:hAnsi="Times New Roman" w:cs="Times New Roman"/>
                <w:sz w:val="22"/>
              </w:rPr>
              <w:t>0.82</w:t>
            </w:r>
          </w:p>
        </w:tc>
        <w:tc>
          <w:tcPr>
            <w:tcW w:w="1236" w:type="dxa"/>
            <w:vAlign w:val="center"/>
          </w:tcPr>
          <w:p w14:paraId="36049526">
            <w:pPr>
              <w:jc w:val="center"/>
              <w:rPr>
                <w:rFonts w:ascii="Times New Roman" w:hAnsi="Times New Roman" w:cs="Times New Roman"/>
                <w:sz w:val="22"/>
              </w:rPr>
            </w:pPr>
            <w:r>
              <w:rPr>
                <w:rFonts w:ascii="Times New Roman" w:hAnsi="Times New Roman" w:eastAsia="等线" w:cs="Times New Roman"/>
                <w:color w:val="000000"/>
                <w:sz w:val="22"/>
              </w:rPr>
              <w:t>0.1</w:t>
            </w:r>
          </w:p>
        </w:tc>
        <w:tc>
          <w:tcPr>
            <w:tcW w:w="716" w:type="dxa"/>
            <w:vAlign w:val="center"/>
          </w:tcPr>
          <w:p w14:paraId="302EB469">
            <w:pPr>
              <w:jc w:val="center"/>
              <w:rPr>
                <w:rFonts w:ascii="Times New Roman" w:hAnsi="Times New Roman" w:cs="Times New Roman"/>
                <w:sz w:val="22"/>
              </w:rPr>
            </w:pPr>
            <w:r>
              <w:rPr>
                <w:rFonts w:ascii="Times New Roman" w:hAnsi="Times New Roman" w:cs="Times New Roman"/>
                <w:sz w:val="22"/>
              </w:rPr>
              <w:t>8</w:t>
            </w:r>
          </w:p>
        </w:tc>
        <w:tc>
          <w:tcPr>
            <w:tcW w:w="1477" w:type="dxa"/>
            <w:vAlign w:val="center"/>
          </w:tcPr>
          <w:p w14:paraId="15BAB80A">
            <w:pPr>
              <w:jc w:val="center"/>
              <w:rPr>
                <w:rFonts w:ascii="Times New Roman" w:hAnsi="Times New Roman" w:cs="Times New Roman"/>
                <w:sz w:val="22"/>
              </w:rPr>
            </w:pPr>
            <w:r>
              <w:rPr>
                <w:rFonts w:ascii="Times New Roman" w:hAnsi="Times New Roman" w:cs="Times New Roman"/>
                <w:sz w:val="22"/>
              </w:rPr>
              <w:t>1</w:t>
            </w:r>
          </w:p>
        </w:tc>
        <w:tc>
          <w:tcPr>
            <w:tcW w:w="1974" w:type="dxa"/>
            <w:vAlign w:val="center"/>
          </w:tcPr>
          <w:p w14:paraId="6317A7FD">
            <w:pPr>
              <w:jc w:val="center"/>
              <w:rPr>
                <w:rFonts w:ascii="Times New Roman" w:hAnsi="Times New Roman" w:cs="Times New Roman"/>
                <w:sz w:val="22"/>
              </w:rPr>
            </w:pPr>
            <w:r>
              <w:rPr>
                <w:rFonts w:ascii="Times New Roman" w:hAnsi="Times New Roman" w:eastAsia="等线" w:cs="Times New Roman"/>
                <w:color w:val="000000"/>
                <w:sz w:val="22"/>
              </w:rPr>
              <w:t>145003</w:t>
            </w:r>
          </w:p>
        </w:tc>
      </w:tr>
      <w:tr w14:paraId="4623C8BB">
        <w:tblPrEx>
          <w:tblCellMar>
            <w:top w:w="0" w:type="dxa"/>
            <w:left w:w="108" w:type="dxa"/>
            <w:bottom w:w="0" w:type="dxa"/>
            <w:right w:w="108" w:type="dxa"/>
          </w:tblCellMar>
        </w:tblPrEx>
        <w:tc>
          <w:tcPr>
            <w:tcW w:w="1701" w:type="dxa"/>
            <w:vAlign w:val="center"/>
          </w:tcPr>
          <w:p w14:paraId="410385A6">
            <w:pPr>
              <w:jc w:val="center"/>
              <w:rPr>
                <w:rFonts w:ascii="Times New Roman" w:hAnsi="Times New Roman" w:cs="Times New Roman"/>
                <w:b w:val="0"/>
                <w:bCs w:val="0"/>
                <w:sz w:val="22"/>
              </w:rPr>
            </w:pPr>
            <w:r>
              <w:rPr>
                <w:rFonts w:ascii="Times New Roman" w:hAnsi="Times New Roman" w:eastAsia="等线" w:cs="Times New Roman"/>
                <w:b/>
                <w:bCs/>
                <w:color w:val="000000"/>
                <w:sz w:val="22"/>
              </w:rPr>
              <w:t>H-1-48%-4h</w:t>
            </w:r>
          </w:p>
        </w:tc>
        <w:tc>
          <w:tcPr>
            <w:tcW w:w="1418" w:type="dxa"/>
            <w:vAlign w:val="center"/>
          </w:tcPr>
          <w:p w14:paraId="325CDD07">
            <w:pPr>
              <w:jc w:val="center"/>
              <w:rPr>
                <w:rFonts w:ascii="Times New Roman" w:hAnsi="Times New Roman" w:cs="Times New Roman"/>
                <w:sz w:val="22"/>
              </w:rPr>
            </w:pPr>
            <w:r>
              <w:rPr>
                <w:rFonts w:ascii="Times New Roman" w:hAnsi="Times New Roman" w:cs="Times New Roman"/>
                <w:sz w:val="22"/>
              </w:rPr>
              <w:t>0.59</w:t>
            </w:r>
          </w:p>
        </w:tc>
        <w:tc>
          <w:tcPr>
            <w:tcW w:w="1236" w:type="dxa"/>
            <w:vAlign w:val="center"/>
          </w:tcPr>
          <w:p w14:paraId="03E9D9EA">
            <w:pPr>
              <w:jc w:val="center"/>
              <w:rPr>
                <w:rFonts w:ascii="Times New Roman" w:hAnsi="Times New Roman" w:cs="Times New Roman"/>
                <w:sz w:val="22"/>
              </w:rPr>
            </w:pPr>
            <w:r>
              <w:rPr>
                <w:rFonts w:ascii="Times New Roman" w:hAnsi="Times New Roman" w:eastAsia="等线" w:cs="Times New Roman"/>
                <w:color w:val="000000"/>
                <w:sz w:val="22"/>
              </w:rPr>
              <w:t>0.1</w:t>
            </w:r>
          </w:p>
        </w:tc>
        <w:tc>
          <w:tcPr>
            <w:tcW w:w="716" w:type="dxa"/>
            <w:vAlign w:val="center"/>
          </w:tcPr>
          <w:p w14:paraId="3FB9890D">
            <w:pPr>
              <w:jc w:val="center"/>
              <w:rPr>
                <w:rFonts w:ascii="Times New Roman" w:hAnsi="Times New Roman" w:cs="Times New Roman"/>
                <w:sz w:val="22"/>
              </w:rPr>
            </w:pPr>
            <w:r>
              <w:rPr>
                <w:rFonts w:ascii="Times New Roman" w:hAnsi="Times New Roman" w:cs="Times New Roman"/>
                <w:sz w:val="22"/>
              </w:rPr>
              <w:t>14</w:t>
            </w:r>
          </w:p>
        </w:tc>
        <w:tc>
          <w:tcPr>
            <w:tcW w:w="1477" w:type="dxa"/>
            <w:vAlign w:val="center"/>
          </w:tcPr>
          <w:p w14:paraId="4115A952">
            <w:pPr>
              <w:jc w:val="center"/>
              <w:rPr>
                <w:rFonts w:ascii="Times New Roman" w:hAnsi="Times New Roman" w:cs="Times New Roman"/>
                <w:sz w:val="22"/>
              </w:rPr>
            </w:pPr>
            <w:r>
              <w:rPr>
                <w:rFonts w:ascii="Times New Roman" w:hAnsi="Times New Roman" w:cs="Times New Roman"/>
                <w:sz w:val="22"/>
              </w:rPr>
              <w:t>1</w:t>
            </w:r>
          </w:p>
        </w:tc>
        <w:tc>
          <w:tcPr>
            <w:tcW w:w="1974" w:type="dxa"/>
            <w:vAlign w:val="center"/>
          </w:tcPr>
          <w:p w14:paraId="608FA39C">
            <w:pPr>
              <w:jc w:val="center"/>
              <w:rPr>
                <w:rFonts w:ascii="Times New Roman" w:hAnsi="Times New Roman" w:cs="Times New Roman"/>
                <w:sz w:val="22"/>
              </w:rPr>
            </w:pPr>
            <w:r>
              <w:rPr>
                <w:rFonts w:ascii="Times New Roman" w:hAnsi="Times New Roman" w:eastAsia="等线" w:cs="Times New Roman"/>
                <w:color w:val="000000"/>
                <w:sz w:val="22"/>
              </w:rPr>
              <w:t>150313</w:t>
            </w:r>
          </w:p>
        </w:tc>
      </w:tr>
      <w:tr w14:paraId="5B0C0FC4">
        <w:tblPrEx>
          <w:tblCellMar>
            <w:top w:w="0" w:type="dxa"/>
            <w:left w:w="108" w:type="dxa"/>
            <w:bottom w:w="0" w:type="dxa"/>
            <w:right w:w="108" w:type="dxa"/>
          </w:tblCellMar>
        </w:tblPrEx>
        <w:tc>
          <w:tcPr>
            <w:tcW w:w="1701" w:type="dxa"/>
            <w:vAlign w:val="center"/>
          </w:tcPr>
          <w:p w14:paraId="46409352">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H-1-32%-8h</w:t>
            </w:r>
          </w:p>
        </w:tc>
        <w:tc>
          <w:tcPr>
            <w:tcW w:w="1418" w:type="dxa"/>
            <w:vAlign w:val="center"/>
          </w:tcPr>
          <w:p w14:paraId="3A4D3208">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1.4</w:t>
            </w:r>
          </w:p>
        </w:tc>
        <w:tc>
          <w:tcPr>
            <w:tcW w:w="1236" w:type="dxa"/>
            <w:vAlign w:val="center"/>
          </w:tcPr>
          <w:p w14:paraId="3E454620">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0.1</w:t>
            </w:r>
          </w:p>
        </w:tc>
        <w:tc>
          <w:tcPr>
            <w:tcW w:w="716" w:type="dxa"/>
            <w:vAlign w:val="center"/>
          </w:tcPr>
          <w:p w14:paraId="120C768F">
            <w:pPr>
              <w:jc w:val="center"/>
              <w:rPr>
                <w:rFonts w:ascii="Times New Roman" w:hAnsi="Times New Roman" w:cs="Times New Roman"/>
                <w:sz w:val="22"/>
              </w:rPr>
            </w:pPr>
            <w:r>
              <w:rPr>
                <w:rFonts w:ascii="Times New Roman" w:hAnsi="Times New Roman" w:cs="Times New Roman"/>
                <w:sz w:val="22"/>
              </w:rPr>
              <w:t>14</w:t>
            </w:r>
          </w:p>
        </w:tc>
        <w:tc>
          <w:tcPr>
            <w:tcW w:w="1477" w:type="dxa"/>
            <w:vAlign w:val="center"/>
          </w:tcPr>
          <w:p w14:paraId="7DC1BDB7">
            <w:pPr>
              <w:jc w:val="center"/>
              <w:rPr>
                <w:rFonts w:ascii="Times New Roman" w:hAnsi="Times New Roman" w:cs="Times New Roman"/>
                <w:sz w:val="22"/>
              </w:rPr>
            </w:pPr>
            <w:r>
              <w:rPr>
                <w:rFonts w:ascii="Times New Roman" w:hAnsi="Times New Roman" w:cs="Times New Roman"/>
                <w:sz w:val="22"/>
              </w:rPr>
              <w:t>3</w:t>
            </w:r>
          </w:p>
        </w:tc>
        <w:tc>
          <w:tcPr>
            <w:tcW w:w="1974" w:type="dxa"/>
            <w:vAlign w:val="center"/>
          </w:tcPr>
          <w:p w14:paraId="4C4CE500">
            <w:pPr>
              <w:jc w:val="center"/>
              <w:rPr>
                <w:rFonts w:ascii="Times New Roman" w:hAnsi="Times New Roman" w:cs="Times New Roman"/>
                <w:sz w:val="22"/>
              </w:rPr>
            </w:pPr>
            <w:r>
              <w:rPr>
                <w:rFonts w:ascii="Times New Roman" w:hAnsi="Times New Roman" w:eastAsia="等线" w:cs="Times New Roman"/>
                <w:color w:val="000000"/>
                <w:sz w:val="22"/>
              </w:rPr>
              <w:t>52165</w:t>
            </w:r>
          </w:p>
        </w:tc>
      </w:tr>
      <w:tr w14:paraId="67D3B2CB">
        <w:tblPrEx>
          <w:tblCellMar>
            <w:top w:w="0" w:type="dxa"/>
            <w:left w:w="108" w:type="dxa"/>
            <w:bottom w:w="0" w:type="dxa"/>
            <w:right w:w="108" w:type="dxa"/>
          </w:tblCellMar>
        </w:tblPrEx>
        <w:tc>
          <w:tcPr>
            <w:tcW w:w="1701" w:type="dxa"/>
            <w:vAlign w:val="center"/>
          </w:tcPr>
          <w:p w14:paraId="0D5B1E71">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H-1-32%-16h</w:t>
            </w:r>
          </w:p>
        </w:tc>
        <w:tc>
          <w:tcPr>
            <w:tcW w:w="1418" w:type="dxa"/>
            <w:vAlign w:val="center"/>
          </w:tcPr>
          <w:p w14:paraId="51C78061">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1.9</w:t>
            </w:r>
          </w:p>
        </w:tc>
        <w:tc>
          <w:tcPr>
            <w:tcW w:w="1236" w:type="dxa"/>
            <w:vAlign w:val="center"/>
          </w:tcPr>
          <w:p w14:paraId="04287A2E">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0.1</w:t>
            </w:r>
          </w:p>
        </w:tc>
        <w:tc>
          <w:tcPr>
            <w:tcW w:w="716" w:type="dxa"/>
            <w:vAlign w:val="center"/>
          </w:tcPr>
          <w:p w14:paraId="1BE1500B">
            <w:pPr>
              <w:jc w:val="center"/>
              <w:rPr>
                <w:rFonts w:ascii="Times New Roman" w:hAnsi="Times New Roman" w:cs="Times New Roman"/>
                <w:sz w:val="22"/>
              </w:rPr>
            </w:pPr>
            <w:r>
              <w:rPr>
                <w:rFonts w:ascii="Times New Roman" w:hAnsi="Times New Roman" w:cs="Times New Roman"/>
                <w:sz w:val="22"/>
              </w:rPr>
              <w:t>11</w:t>
            </w:r>
          </w:p>
        </w:tc>
        <w:tc>
          <w:tcPr>
            <w:tcW w:w="1477" w:type="dxa"/>
            <w:vAlign w:val="center"/>
          </w:tcPr>
          <w:p w14:paraId="49DBDC9D">
            <w:pPr>
              <w:jc w:val="center"/>
              <w:rPr>
                <w:rFonts w:ascii="Times New Roman" w:hAnsi="Times New Roman" w:cs="Times New Roman"/>
                <w:sz w:val="22"/>
              </w:rPr>
            </w:pPr>
            <w:r>
              <w:rPr>
                <w:rFonts w:ascii="Times New Roman" w:hAnsi="Times New Roman" w:cs="Times New Roman"/>
                <w:sz w:val="22"/>
              </w:rPr>
              <w:t>1</w:t>
            </w:r>
          </w:p>
        </w:tc>
        <w:tc>
          <w:tcPr>
            <w:tcW w:w="1974" w:type="dxa"/>
            <w:vAlign w:val="center"/>
          </w:tcPr>
          <w:p w14:paraId="770A76E2">
            <w:pPr>
              <w:jc w:val="center"/>
              <w:rPr>
                <w:rFonts w:ascii="Times New Roman" w:hAnsi="Times New Roman" w:cs="Times New Roman"/>
                <w:sz w:val="22"/>
              </w:rPr>
            </w:pPr>
            <w:r>
              <w:rPr>
                <w:rFonts w:ascii="Times New Roman" w:hAnsi="Times New Roman" w:eastAsia="等线" w:cs="Times New Roman"/>
                <w:color w:val="000000"/>
                <w:sz w:val="22"/>
              </w:rPr>
              <w:t>47241</w:t>
            </w:r>
          </w:p>
        </w:tc>
      </w:tr>
      <w:tr w14:paraId="7389DF27">
        <w:tblPrEx>
          <w:tblCellMar>
            <w:top w:w="0" w:type="dxa"/>
            <w:left w:w="108" w:type="dxa"/>
            <w:bottom w:w="0" w:type="dxa"/>
            <w:right w:w="108" w:type="dxa"/>
          </w:tblCellMar>
        </w:tblPrEx>
        <w:tc>
          <w:tcPr>
            <w:tcW w:w="1701" w:type="dxa"/>
            <w:vAlign w:val="center"/>
          </w:tcPr>
          <w:p w14:paraId="698DC019">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H-1-32%-24h</w:t>
            </w:r>
          </w:p>
        </w:tc>
        <w:tc>
          <w:tcPr>
            <w:tcW w:w="1418" w:type="dxa"/>
            <w:vAlign w:val="center"/>
          </w:tcPr>
          <w:p w14:paraId="18841C2E">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2.3</w:t>
            </w:r>
          </w:p>
        </w:tc>
        <w:tc>
          <w:tcPr>
            <w:tcW w:w="1236" w:type="dxa"/>
            <w:vAlign w:val="center"/>
          </w:tcPr>
          <w:p w14:paraId="006F4AB5">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0.1</w:t>
            </w:r>
          </w:p>
        </w:tc>
        <w:tc>
          <w:tcPr>
            <w:tcW w:w="716" w:type="dxa"/>
            <w:vAlign w:val="center"/>
          </w:tcPr>
          <w:p w14:paraId="7E29754C">
            <w:pPr>
              <w:jc w:val="center"/>
              <w:rPr>
                <w:rFonts w:ascii="Times New Roman" w:hAnsi="Times New Roman" w:cs="Times New Roman"/>
                <w:sz w:val="22"/>
              </w:rPr>
            </w:pPr>
            <w:r>
              <w:rPr>
                <w:rFonts w:ascii="Times New Roman" w:hAnsi="Times New Roman" w:cs="Times New Roman"/>
                <w:sz w:val="22"/>
              </w:rPr>
              <w:t>12</w:t>
            </w:r>
          </w:p>
        </w:tc>
        <w:tc>
          <w:tcPr>
            <w:tcW w:w="1477" w:type="dxa"/>
            <w:vAlign w:val="center"/>
          </w:tcPr>
          <w:p w14:paraId="6BE7A691">
            <w:pPr>
              <w:jc w:val="center"/>
              <w:rPr>
                <w:rFonts w:ascii="Times New Roman" w:hAnsi="Times New Roman" w:cs="Times New Roman"/>
                <w:sz w:val="22"/>
              </w:rPr>
            </w:pPr>
            <w:r>
              <w:rPr>
                <w:rFonts w:ascii="Times New Roman" w:hAnsi="Times New Roman" w:cs="Times New Roman"/>
                <w:sz w:val="22"/>
              </w:rPr>
              <w:t>1</w:t>
            </w:r>
          </w:p>
        </w:tc>
        <w:tc>
          <w:tcPr>
            <w:tcW w:w="1974" w:type="dxa"/>
            <w:vAlign w:val="center"/>
          </w:tcPr>
          <w:p w14:paraId="53A4C265">
            <w:pPr>
              <w:jc w:val="center"/>
              <w:rPr>
                <w:rFonts w:ascii="Times New Roman" w:hAnsi="Times New Roman" w:cs="Times New Roman"/>
                <w:sz w:val="22"/>
              </w:rPr>
            </w:pPr>
            <w:r>
              <w:rPr>
                <w:rFonts w:ascii="Times New Roman" w:hAnsi="Times New Roman" w:eastAsia="等线" w:cs="Times New Roman"/>
                <w:color w:val="000000"/>
                <w:sz w:val="22"/>
              </w:rPr>
              <w:t>34761</w:t>
            </w:r>
          </w:p>
        </w:tc>
      </w:tr>
      <w:tr w14:paraId="581453D5">
        <w:tblPrEx>
          <w:tblCellMar>
            <w:top w:w="0" w:type="dxa"/>
            <w:left w:w="108" w:type="dxa"/>
            <w:bottom w:w="0" w:type="dxa"/>
            <w:right w:w="108" w:type="dxa"/>
          </w:tblCellMar>
        </w:tblPrEx>
        <w:tc>
          <w:tcPr>
            <w:tcW w:w="1701" w:type="dxa"/>
            <w:tcBorders>
              <w:bottom w:val="single" w:color="auto" w:sz="12" w:space="0"/>
            </w:tcBorders>
            <w:vAlign w:val="center"/>
          </w:tcPr>
          <w:p w14:paraId="7407BD68">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H-1-32%-48h</w:t>
            </w:r>
          </w:p>
        </w:tc>
        <w:tc>
          <w:tcPr>
            <w:tcW w:w="1418" w:type="dxa"/>
            <w:tcBorders>
              <w:bottom w:val="single" w:color="auto" w:sz="12" w:space="0"/>
            </w:tcBorders>
            <w:vAlign w:val="center"/>
          </w:tcPr>
          <w:p w14:paraId="79EBD5FA">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3.6</w:t>
            </w:r>
          </w:p>
        </w:tc>
        <w:tc>
          <w:tcPr>
            <w:tcW w:w="1236" w:type="dxa"/>
            <w:tcBorders>
              <w:bottom w:val="single" w:color="auto" w:sz="12" w:space="0"/>
            </w:tcBorders>
            <w:vAlign w:val="center"/>
          </w:tcPr>
          <w:p w14:paraId="598397E5">
            <w:pPr>
              <w:jc w:val="center"/>
              <w:rPr>
                <w:rFonts w:ascii="Times New Roman" w:hAnsi="Times New Roman" w:eastAsia="等线" w:cs="Times New Roman"/>
                <w:color w:val="000000"/>
                <w:sz w:val="22"/>
              </w:rPr>
            </w:pPr>
            <w:r>
              <w:rPr>
                <w:rFonts w:ascii="Times New Roman" w:hAnsi="Times New Roman" w:eastAsia="等线" w:cs="Times New Roman"/>
                <w:color w:val="000000"/>
                <w:sz w:val="22"/>
              </w:rPr>
              <w:t>0.1</w:t>
            </w:r>
          </w:p>
        </w:tc>
        <w:tc>
          <w:tcPr>
            <w:tcW w:w="716" w:type="dxa"/>
            <w:tcBorders>
              <w:bottom w:val="single" w:color="auto" w:sz="12" w:space="0"/>
            </w:tcBorders>
            <w:vAlign w:val="center"/>
          </w:tcPr>
          <w:p w14:paraId="597084E4">
            <w:pPr>
              <w:jc w:val="center"/>
              <w:rPr>
                <w:rFonts w:ascii="Times New Roman" w:hAnsi="Times New Roman" w:cs="Times New Roman"/>
                <w:sz w:val="22"/>
              </w:rPr>
            </w:pPr>
            <w:r>
              <w:rPr>
                <w:rFonts w:ascii="Times New Roman" w:hAnsi="Times New Roman" w:cs="Times New Roman"/>
                <w:sz w:val="22"/>
              </w:rPr>
              <w:t>14</w:t>
            </w:r>
          </w:p>
        </w:tc>
        <w:tc>
          <w:tcPr>
            <w:tcW w:w="1477" w:type="dxa"/>
            <w:tcBorders>
              <w:bottom w:val="single" w:color="auto" w:sz="12" w:space="0"/>
            </w:tcBorders>
            <w:vAlign w:val="center"/>
          </w:tcPr>
          <w:p w14:paraId="552F8028">
            <w:pPr>
              <w:jc w:val="center"/>
              <w:rPr>
                <w:rFonts w:ascii="Times New Roman" w:hAnsi="Times New Roman" w:cs="Times New Roman"/>
                <w:sz w:val="22"/>
              </w:rPr>
            </w:pPr>
            <w:r>
              <w:rPr>
                <w:rFonts w:ascii="Times New Roman" w:hAnsi="Times New Roman" w:eastAsia="等线" w:cs="Times New Roman"/>
                <w:color w:val="000000"/>
                <w:sz w:val="22"/>
              </w:rPr>
              <w:t>1</w:t>
            </w:r>
          </w:p>
        </w:tc>
        <w:tc>
          <w:tcPr>
            <w:tcW w:w="1974" w:type="dxa"/>
            <w:tcBorders>
              <w:bottom w:val="single" w:color="auto" w:sz="12" w:space="0"/>
            </w:tcBorders>
            <w:vAlign w:val="center"/>
          </w:tcPr>
          <w:p w14:paraId="443975D1">
            <w:pPr>
              <w:jc w:val="center"/>
              <w:rPr>
                <w:rFonts w:ascii="Times New Roman" w:hAnsi="Times New Roman" w:cs="Times New Roman"/>
                <w:sz w:val="22"/>
              </w:rPr>
            </w:pPr>
            <w:r>
              <w:rPr>
                <w:rFonts w:ascii="Times New Roman" w:hAnsi="Times New Roman" w:eastAsia="等线" w:cs="Times New Roman"/>
                <w:color w:val="000000"/>
                <w:sz w:val="22"/>
              </w:rPr>
              <w:t>24802</w:t>
            </w:r>
          </w:p>
        </w:tc>
      </w:tr>
    </w:tbl>
    <w:p w14:paraId="1AE78702">
      <w:pPr>
        <w:rPr>
          <w:rFonts w:ascii="Times New Roman" w:hAnsi="Times New Roman" w:cs="Times New Roman"/>
          <w:sz w:val="22"/>
        </w:rPr>
      </w:pPr>
    </w:p>
    <w:p w14:paraId="25146C84">
      <w:pPr>
        <w:rPr>
          <w:rFonts w:ascii="Times New Roman" w:hAnsi="Times New Roman" w:cs="Times New Roman"/>
          <w:sz w:val="22"/>
        </w:rPr>
      </w:pPr>
    </w:p>
    <w:p w14:paraId="48DB8A5D">
      <w:pPr>
        <w:rPr>
          <w:rFonts w:ascii="Times New Roman" w:hAnsi="Times New Roman" w:cs="Times New Roman"/>
          <w:sz w:val="22"/>
        </w:rPr>
      </w:pPr>
    </w:p>
    <w:p w14:paraId="45954191">
      <w:pPr>
        <w:rPr>
          <w:rFonts w:ascii="Times New Roman" w:hAnsi="Times New Roman" w:cs="Times New Roman"/>
          <w:sz w:val="22"/>
        </w:rPr>
      </w:pPr>
    </w:p>
    <w:p w14:paraId="743DAD74">
      <w:pPr>
        <w:rPr>
          <w:rFonts w:ascii="Times New Roman" w:hAnsi="Times New Roman" w:cs="Times New Roman"/>
          <w:sz w:val="22"/>
        </w:rPr>
      </w:pPr>
    </w:p>
    <w:p w14:paraId="0987D1E3">
      <w:pPr>
        <w:rPr>
          <w:rFonts w:ascii="Times New Roman" w:hAnsi="Times New Roman" w:cs="Times New Roman"/>
          <w:sz w:val="22"/>
        </w:rPr>
      </w:pPr>
    </w:p>
    <w:p w14:paraId="1A49E2F8">
      <w:pPr>
        <w:rPr>
          <w:rFonts w:ascii="Times New Roman" w:hAnsi="Times New Roman" w:cs="Times New Roman"/>
          <w:sz w:val="22"/>
        </w:rPr>
      </w:pPr>
    </w:p>
    <w:p w14:paraId="03FB971E">
      <w:pPr>
        <w:rPr>
          <w:rFonts w:ascii="Times New Roman" w:hAnsi="Times New Roman" w:cs="Times New Roman"/>
          <w:sz w:val="22"/>
        </w:rPr>
      </w:pPr>
    </w:p>
    <w:p w14:paraId="4DF4F2A6">
      <w:pPr>
        <w:rPr>
          <w:rFonts w:ascii="Times New Roman" w:hAnsi="Times New Roman" w:cs="Times New Roman"/>
          <w:sz w:val="22"/>
        </w:rPr>
      </w:pPr>
    </w:p>
    <w:p w14:paraId="113D0DC6">
      <w:pPr>
        <w:rPr>
          <w:rFonts w:ascii="Times New Roman" w:hAnsi="Times New Roman" w:cs="Times New Roman"/>
          <w:sz w:val="22"/>
        </w:rPr>
      </w:pPr>
    </w:p>
    <w:p w14:paraId="3BA0CE53">
      <w:pPr>
        <w:rPr>
          <w:rFonts w:ascii="Times New Roman" w:hAnsi="Times New Roman" w:cs="Times New Roman"/>
          <w:sz w:val="22"/>
        </w:rPr>
      </w:pPr>
    </w:p>
    <w:p w14:paraId="3D8AFF96">
      <w:pPr>
        <w:rPr>
          <w:rFonts w:ascii="Times New Roman" w:hAnsi="Times New Roman" w:cs="Times New Roman"/>
          <w:sz w:val="22"/>
        </w:rPr>
      </w:pPr>
    </w:p>
    <w:p w14:paraId="46341030">
      <w:pPr>
        <w:rPr>
          <w:rFonts w:ascii="Times New Roman" w:hAnsi="Times New Roman" w:cs="Times New Roman"/>
          <w:sz w:val="22"/>
        </w:rPr>
      </w:pPr>
    </w:p>
    <w:p w14:paraId="75A41A42">
      <w:pPr>
        <w:rPr>
          <w:rFonts w:ascii="Times New Roman" w:hAnsi="Times New Roman" w:cs="Times New Roman"/>
          <w:sz w:val="22"/>
        </w:rPr>
      </w:pPr>
    </w:p>
    <w:p w14:paraId="490B28A6">
      <w:pPr>
        <w:rPr>
          <w:rFonts w:ascii="Times New Roman" w:hAnsi="Times New Roman" w:cs="Times New Roman"/>
          <w:sz w:val="22"/>
        </w:rPr>
      </w:pPr>
    </w:p>
    <w:p w14:paraId="1B18D1C0">
      <w:pPr>
        <w:rPr>
          <w:rFonts w:ascii="Times New Roman" w:hAnsi="Times New Roman" w:cs="Times New Roman"/>
          <w:sz w:val="22"/>
        </w:rPr>
      </w:pPr>
    </w:p>
    <w:p w14:paraId="4889FE6A">
      <w:pPr>
        <w:rPr>
          <w:rFonts w:ascii="Times New Roman" w:hAnsi="Times New Roman" w:cs="Times New Roman"/>
          <w:sz w:val="22"/>
        </w:rPr>
      </w:pPr>
    </w:p>
    <w:p w14:paraId="22B42915">
      <w:pPr>
        <w:rPr>
          <w:rFonts w:ascii="Times New Roman" w:hAnsi="Times New Roman" w:cs="Times New Roman"/>
          <w:sz w:val="22"/>
        </w:rPr>
      </w:pPr>
    </w:p>
    <w:p w14:paraId="1C689A7D">
      <w:pPr>
        <w:rPr>
          <w:rFonts w:ascii="Times New Roman" w:hAnsi="Times New Roman" w:cs="Times New Roman"/>
          <w:sz w:val="22"/>
        </w:rPr>
      </w:pPr>
    </w:p>
    <w:p w14:paraId="1300A80F">
      <w:pPr>
        <w:rPr>
          <w:rFonts w:ascii="Times New Roman" w:hAnsi="Times New Roman" w:cs="Times New Roman"/>
          <w:sz w:val="22"/>
        </w:rPr>
      </w:pPr>
    </w:p>
    <w:p w14:paraId="3C8C24CF">
      <w:pPr>
        <w:rPr>
          <w:rFonts w:ascii="Times New Roman" w:hAnsi="Times New Roman" w:cs="Times New Roman"/>
          <w:sz w:val="22"/>
        </w:rPr>
      </w:pPr>
    </w:p>
    <w:p w14:paraId="233C83C0">
      <w:pPr>
        <w:rPr>
          <w:rFonts w:ascii="Times New Roman" w:hAnsi="Times New Roman" w:cs="Times New Roman"/>
          <w:sz w:val="22"/>
        </w:rPr>
      </w:pPr>
    </w:p>
    <w:p w14:paraId="0C8F8434">
      <w:pPr>
        <w:rPr>
          <w:rFonts w:ascii="Times New Roman" w:hAnsi="Times New Roman" w:cs="Times New Roman"/>
          <w:sz w:val="22"/>
        </w:rPr>
      </w:pPr>
    </w:p>
    <w:p w14:paraId="25DA4F2E">
      <w:pPr>
        <w:rPr>
          <w:rFonts w:ascii="Times New Roman" w:hAnsi="Times New Roman" w:cs="Times New Roman"/>
          <w:sz w:val="22"/>
        </w:rPr>
      </w:pPr>
    </w:p>
    <w:p w14:paraId="122634A8">
      <w:pPr>
        <w:rPr>
          <w:rFonts w:ascii="Times New Roman" w:hAnsi="Times New Roman" w:cs="Times New Roman"/>
          <w:sz w:val="22"/>
        </w:rPr>
      </w:pPr>
    </w:p>
    <w:p w14:paraId="7273E831">
      <w:pPr>
        <w:rPr>
          <w:rFonts w:ascii="Times New Roman" w:hAnsi="Times New Roman" w:cs="Times New Roman"/>
          <w:sz w:val="22"/>
        </w:rPr>
      </w:pPr>
    </w:p>
    <w:p w14:paraId="733AB86E">
      <w:pPr>
        <w:rPr>
          <w:rFonts w:ascii="Times New Roman" w:hAnsi="Times New Roman" w:cs="Times New Roman"/>
          <w:sz w:val="22"/>
        </w:rPr>
      </w:pPr>
    </w:p>
    <w:p w14:paraId="7A97500F">
      <w:pPr>
        <w:rPr>
          <w:rFonts w:ascii="Times New Roman" w:hAnsi="Times New Roman" w:cs="Times New Roman"/>
          <w:sz w:val="22"/>
        </w:rPr>
      </w:pPr>
    </w:p>
    <w:p w14:paraId="69F0FCD8">
      <w:pPr>
        <w:rPr>
          <w:rFonts w:ascii="Times New Roman" w:hAnsi="Times New Roman" w:cs="Times New Roman"/>
          <w:sz w:val="22"/>
        </w:rPr>
      </w:pPr>
    </w:p>
    <w:p w14:paraId="6ECB2A84">
      <w:pPr>
        <w:rPr>
          <w:rFonts w:ascii="Times New Roman" w:hAnsi="Times New Roman" w:cs="Times New Roman"/>
          <w:sz w:val="22"/>
        </w:rPr>
      </w:pPr>
    </w:p>
    <w:p w14:paraId="79CE4EFA">
      <w:pPr>
        <w:rPr>
          <w:rFonts w:ascii="Times New Roman" w:hAnsi="Times New Roman" w:cs="Times New Roman"/>
          <w:sz w:val="22"/>
        </w:rPr>
      </w:pPr>
      <w:bookmarkStart w:id="9" w:name="_GoBack"/>
      <w:bookmarkEnd w:id="9"/>
      <w:r>
        <w:rPr>
          <w:rFonts w:hint="eastAsia" w:ascii="Times New Roman" w:hAnsi="Times New Roman" w:cs="Times New Roman"/>
          <w:b/>
          <w:bCs/>
          <w:sz w:val="22"/>
        </w:rPr>
        <w:t xml:space="preserve">Supplementary Table </w:t>
      </w:r>
      <w:r>
        <w:rPr>
          <w:rFonts w:hint="eastAsia" w:ascii="Times New Roman" w:hAnsi="Times New Roman" w:cs="Times New Roman"/>
          <w:b/>
          <w:bCs/>
          <w:sz w:val="22"/>
          <w:lang w:val="en-US" w:eastAsia="zh-CN"/>
        </w:rPr>
        <w:t>6</w:t>
      </w:r>
      <w:r>
        <w:rPr>
          <w:rFonts w:hint="eastAsia" w:ascii="Times New Roman" w:hAnsi="Times New Roman" w:cs="Times New Roman"/>
          <w:b/>
          <w:bCs/>
          <w:sz w:val="22"/>
        </w:rPr>
        <w:t>.</w:t>
      </w:r>
      <w:r>
        <w:rPr>
          <w:rFonts w:hint="eastAsia" w:ascii="Times New Roman" w:hAnsi="Times New Roman" w:cs="Times New Roman"/>
          <w:sz w:val="22"/>
        </w:rPr>
        <w:t xml:space="preserve"> Literature of </w:t>
      </w:r>
      <w:r>
        <w:rPr>
          <w:rFonts w:ascii="Times New Roman" w:hAnsi="Times New Roman" w:cs="Times New Roman"/>
          <w:sz w:val="22"/>
        </w:rPr>
        <w:t>conductive</w:t>
      </w:r>
      <w:r>
        <w:rPr>
          <w:rFonts w:hint="eastAsia" w:ascii="Times New Roman" w:hAnsi="Times New Roman" w:cs="Times New Roman"/>
          <w:sz w:val="22"/>
        </w:rPr>
        <w:t xml:space="preserve"> carbon-based membrane.</w:t>
      </w:r>
    </w:p>
    <w:tbl>
      <w:tblPr>
        <w:tblStyle w:val="53"/>
        <w:tblW w:w="8522" w:type="dxa"/>
        <w:jc w:val="center"/>
        <w:tblLayout w:type="fixed"/>
        <w:tblCellMar>
          <w:top w:w="0" w:type="dxa"/>
          <w:left w:w="108" w:type="dxa"/>
          <w:bottom w:w="0" w:type="dxa"/>
          <w:right w:w="108" w:type="dxa"/>
        </w:tblCellMar>
      </w:tblPr>
      <w:tblGrid>
        <w:gridCol w:w="3099"/>
        <w:gridCol w:w="1590"/>
        <w:gridCol w:w="2115"/>
        <w:gridCol w:w="900"/>
        <w:gridCol w:w="818"/>
      </w:tblGrid>
      <w:tr w14:paraId="59990F7D">
        <w:tblPrEx>
          <w:tblCellMar>
            <w:top w:w="0" w:type="dxa"/>
            <w:left w:w="108" w:type="dxa"/>
            <w:bottom w:w="0" w:type="dxa"/>
            <w:right w:w="108" w:type="dxa"/>
          </w:tblCellMar>
        </w:tblPrEx>
        <w:trPr>
          <w:trHeight w:val="270" w:hRule="atLeast"/>
          <w:jc w:val="center"/>
        </w:trPr>
        <w:tc>
          <w:tcPr>
            <w:tcW w:w="3099" w:type="dxa"/>
            <w:tcBorders>
              <w:top w:val="single" w:color="auto" w:sz="12" w:space="0"/>
              <w:bottom w:val="single" w:color="auto" w:sz="12" w:space="0"/>
            </w:tcBorders>
            <w:noWrap/>
            <w:vAlign w:val="center"/>
          </w:tcPr>
          <w:p w14:paraId="7606AC30">
            <w:pPr>
              <w:jc w:val="center"/>
              <w:rPr>
                <w:rFonts w:ascii="Times New Roman" w:hAnsi="Times New Roman" w:cs="Times New Roman"/>
                <w:b/>
                <w:bCs/>
                <w:sz w:val="22"/>
              </w:rPr>
            </w:pPr>
            <w:r>
              <w:rPr>
                <w:rFonts w:ascii="Times New Roman" w:hAnsi="Times New Roman" w:cs="Times New Roman"/>
                <w:b w:val="0"/>
                <w:bCs w:val="0"/>
                <w:sz w:val="22"/>
              </w:rPr>
              <w:t>Material</w:t>
            </w:r>
          </w:p>
        </w:tc>
        <w:tc>
          <w:tcPr>
            <w:tcW w:w="1590" w:type="dxa"/>
            <w:tcBorders>
              <w:top w:val="single" w:color="auto" w:sz="12" w:space="0"/>
              <w:bottom w:val="single" w:color="auto" w:sz="12" w:space="0"/>
            </w:tcBorders>
            <w:noWrap/>
            <w:vAlign w:val="center"/>
          </w:tcPr>
          <w:p w14:paraId="36494411">
            <w:pPr>
              <w:ind w:left="220" w:hanging="220" w:hangingChars="100"/>
              <w:jc w:val="center"/>
              <w:rPr>
                <w:rFonts w:ascii="Times New Roman" w:hAnsi="Times New Roman" w:cs="Times New Roman"/>
                <w:b w:val="0"/>
                <w:bCs w:val="0"/>
                <w:sz w:val="22"/>
              </w:rPr>
            </w:pPr>
            <w:r>
              <w:rPr>
                <w:rFonts w:ascii="Times New Roman" w:hAnsi="Times New Roman" w:cs="Times New Roman"/>
                <w:b w:val="0"/>
                <w:bCs w:val="0"/>
                <w:sz w:val="22"/>
              </w:rPr>
              <w:t>Conductivity</w:t>
            </w:r>
          </w:p>
          <w:p w14:paraId="6B584AA3">
            <w:pPr>
              <w:ind w:left="220" w:hanging="220" w:hangingChars="100"/>
              <w:jc w:val="center"/>
              <w:rPr>
                <w:rFonts w:ascii="Times New Roman" w:hAnsi="Times New Roman" w:cs="Times New Roman"/>
                <w:b/>
                <w:bCs/>
                <w:sz w:val="22"/>
              </w:rPr>
            </w:pPr>
            <w:r>
              <w:rPr>
                <w:rFonts w:ascii="Times New Roman" w:hAnsi="Times New Roman" w:cs="Times New Roman"/>
                <w:b w:val="0"/>
                <w:bCs w:val="0"/>
                <w:sz w:val="22"/>
              </w:rPr>
              <w:t>(S/m)</w:t>
            </w:r>
          </w:p>
        </w:tc>
        <w:tc>
          <w:tcPr>
            <w:tcW w:w="2115" w:type="dxa"/>
            <w:tcBorders>
              <w:top w:val="single" w:color="auto" w:sz="12" w:space="0"/>
              <w:bottom w:val="single" w:color="auto" w:sz="12" w:space="0"/>
            </w:tcBorders>
            <w:noWrap/>
            <w:vAlign w:val="center"/>
          </w:tcPr>
          <w:p w14:paraId="2ABF98BC">
            <w:pPr>
              <w:jc w:val="center"/>
              <w:rPr>
                <w:rFonts w:ascii="Times New Roman" w:hAnsi="Times New Roman" w:cs="Times New Roman"/>
                <w:b/>
                <w:bCs/>
                <w:sz w:val="22"/>
              </w:rPr>
            </w:pPr>
            <w:r>
              <w:rPr>
                <w:rFonts w:ascii="Times New Roman" w:hAnsi="Times New Roman" w:cs="Times New Roman"/>
                <w:b w:val="0"/>
                <w:bCs w:val="0"/>
                <w:sz w:val="22"/>
              </w:rPr>
              <w:t>Method</w:t>
            </w:r>
          </w:p>
        </w:tc>
        <w:tc>
          <w:tcPr>
            <w:tcW w:w="900" w:type="dxa"/>
            <w:tcBorders>
              <w:top w:val="single" w:color="auto" w:sz="12" w:space="0"/>
              <w:bottom w:val="single" w:color="auto" w:sz="12" w:space="0"/>
            </w:tcBorders>
            <w:noWrap/>
            <w:vAlign w:val="center"/>
          </w:tcPr>
          <w:p w14:paraId="425E2D73">
            <w:pPr>
              <w:jc w:val="center"/>
              <w:rPr>
                <w:rFonts w:ascii="Times New Roman" w:hAnsi="Times New Roman" w:cs="Times New Roman"/>
                <w:b/>
                <w:bCs/>
                <w:sz w:val="22"/>
              </w:rPr>
            </w:pPr>
            <w:r>
              <w:rPr>
                <w:rFonts w:ascii="Times New Roman" w:hAnsi="Times New Roman" w:cs="Times New Roman"/>
                <w:b w:val="0"/>
                <w:bCs w:val="0"/>
                <w:sz w:val="22"/>
              </w:rPr>
              <w:t>Temp</w:t>
            </w:r>
            <w:r>
              <w:rPr>
                <w:rFonts w:hint="eastAsia" w:ascii="Times New Roman" w:hAnsi="Times New Roman" w:cs="Times New Roman"/>
                <w:b w:val="0"/>
                <w:bCs w:val="0"/>
                <w:sz w:val="22"/>
              </w:rPr>
              <w:t>.</w:t>
            </w:r>
          </w:p>
        </w:tc>
        <w:tc>
          <w:tcPr>
            <w:tcW w:w="818" w:type="dxa"/>
            <w:tcBorders>
              <w:top w:val="single" w:color="auto" w:sz="12" w:space="0"/>
              <w:bottom w:val="single" w:color="auto" w:sz="12" w:space="0"/>
            </w:tcBorders>
            <w:noWrap/>
            <w:vAlign w:val="center"/>
          </w:tcPr>
          <w:p w14:paraId="4398C7FD">
            <w:pPr>
              <w:jc w:val="center"/>
              <w:rPr>
                <w:rFonts w:ascii="Times New Roman" w:hAnsi="Times New Roman" w:cs="Times New Roman"/>
                <w:b/>
                <w:bCs/>
                <w:sz w:val="22"/>
              </w:rPr>
            </w:pPr>
            <w:r>
              <w:rPr>
                <w:rFonts w:ascii="Times New Roman" w:hAnsi="Times New Roman" w:cs="Times New Roman"/>
                <w:b w:val="0"/>
                <w:bCs w:val="0"/>
                <w:sz w:val="22"/>
              </w:rPr>
              <w:t>Ref</w:t>
            </w:r>
            <w:r>
              <w:rPr>
                <w:rFonts w:hint="eastAsia" w:ascii="Times New Roman" w:hAnsi="Times New Roman" w:cs="Times New Roman"/>
                <w:b w:val="0"/>
                <w:bCs w:val="0"/>
                <w:sz w:val="22"/>
              </w:rPr>
              <w:t>.</w:t>
            </w:r>
          </w:p>
        </w:tc>
      </w:tr>
      <w:tr w14:paraId="7B288B78">
        <w:tblPrEx>
          <w:tblCellMar>
            <w:top w:w="0" w:type="dxa"/>
            <w:left w:w="108" w:type="dxa"/>
            <w:bottom w:w="0" w:type="dxa"/>
            <w:right w:w="108" w:type="dxa"/>
          </w:tblCellMar>
        </w:tblPrEx>
        <w:trPr>
          <w:trHeight w:val="300" w:hRule="atLeast"/>
          <w:jc w:val="center"/>
        </w:trPr>
        <w:tc>
          <w:tcPr>
            <w:tcW w:w="3099" w:type="dxa"/>
            <w:tcBorders>
              <w:top w:val="single" w:color="auto" w:sz="12" w:space="0"/>
            </w:tcBorders>
            <w:shd w:val="clear" w:color="auto" w:fill="F1F1F1" w:themeFill="background1" w:themeFillShade="F2"/>
            <w:noWrap/>
          </w:tcPr>
          <w:p w14:paraId="635FB93A">
            <w:pPr>
              <w:jc w:val="left"/>
              <w:rPr>
                <w:rFonts w:ascii="Times New Roman" w:hAnsi="Times New Roman" w:cs="Times New Roman"/>
                <w:b/>
                <w:bCs/>
                <w:sz w:val="22"/>
              </w:rPr>
            </w:pPr>
            <w:r>
              <w:rPr>
                <w:rFonts w:ascii="Times New Roman" w:hAnsi="Times New Roman" w:cs="Times New Roman"/>
                <w:b w:val="0"/>
                <w:bCs w:val="0"/>
                <w:sz w:val="22"/>
              </w:rPr>
              <w:t xml:space="preserve">H-1-48%-4h TCF </w:t>
            </w:r>
          </w:p>
        </w:tc>
        <w:tc>
          <w:tcPr>
            <w:tcW w:w="1590" w:type="dxa"/>
            <w:tcBorders>
              <w:top w:val="single" w:color="auto" w:sz="12" w:space="0"/>
            </w:tcBorders>
            <w:shd w:val="clear" w:color="auto" w:fill="F1F1F1" w:themeFill="background1" w:themeFillShade="F2"/>
            <w:noWrap/>
          </w:tcPr>
          <w:p w14:paraId="3DC720B4">
            <w:pPr>
              <w:jc w:val="center"/>
              <w:rPr>
                <w:rFonts w:ascii="Times New Roman" w:hAnsi="Times New Roman" w:cs="Times New Roman"/>
                <w:sz w:val="22"/>
              </w:rPr>
            </w:pPr>
            <w:r>
              <w:rPr>
                <w:rFonts w:ascii="Times New Roman" w:hAnsi="Times New Roman" w:cs="Times New Roman"/>
                <w:sz w:val="22"/>
              </w:rPr>
              <w:t>150313</w:t>
            </w:r>
          </w:p>
        </w:tc>
        <w:tc>
          <w:tcPr>
            <w:tcW w:w="2115" w:type="dxa"/>
            <w:tcBorders>
              <w:top w:val="single" w:color="auto" w:sz="12" w:space="0"/>
            </w:tcBorders>
            <w:shd w:val="clear" w:color="auto" w:fill="F1F1F1" w:themeFill="background1" w:themeFillShade="F2"/>
            <w:noWrap/>
          </w:tcPr>
          <w:p w14:paraId="6F088CA3">
            <w:pPr>
              <w:jc w:val="center"/>
              <w:rPr>
                <w:rFonts w:ascii="Times New Roman" w:hAnsi="Times New Roman" w:cs="Times New Roman"/>
                <w:sz w:val="22"/>
              </w:rPr>
            </w:pPr>
            <w:r>
              <w:rPr>
                <w:rFonts w:ascii="Times New Roman" w:hAnsi="Times New Roman" w:cs="Times New Roman"/>
                <w:b w:val="0"/>
                <w:bCs w:val="0"/>
                <w:sz w:val="22"/>
              </w:rPr>
              <w:t>This work</w:t>
            </w:r>
          </w:p>
        </w:tc>
        <w:tc>
          <w:tcPr>
            <w:tcW w:w="900" w:type="dxa"/>
            <w:tcBorders>
              <w:top w:val="single" w:color="auto" w:sz="12" w:space="0"/>
            </w:tcBorders>
            <w:shd w:val="clear" w:color="auto" w:fill="F1F1F1" w:themeFill="background1" w:themeFillShade="F2"/>
            <w:noWrap/>
          </w:tcPr>
          <w:p w14:paraId="20198515">
            <w:pPr>
              <w:jc w:val="center"/>
              <w:rPr>
                <w:rFonts w:ascii="Times New Roman" w:hAnsi="Times New Roman" w:cs="Times New Roman"/>
                <w:sz w:val="22"/>
              </w:rPr>
            </w:pPr>
            <w:r>
              <w:rPr>
                <w:rFonts w:ascii="Times New Roman" w:hAnsi="Times New Roman" w:cs="Times New Roman"/>
                <w:sz w:val="22"/>
              </w:rPr>
              <w:t>250</w:t>
            </w:r>
          </w:p>
        </w:tc>
        <w:tc>
          <w:tcPr>
            <w:tcW w:w="818" w:type="dxa"/>
            <w:tcBorders>
              <w:top w:val="single" w:color="auto" w:sz="12" w:space="0"/>
            </w:tcBorders>
            <w:shd w:val="clear" w:color="auto" w:fill="F1F1F1" w:themeFill="background1" w:themeFillShade="F2"/>
            <w:noWrap/>
          </w:tcPr>
          <w:p w14:paraId="07BBCE6A">
            <w:pPr>
              <w:jc w:val="center"/>
              <w:rPr>
                <w:rFonts w:ascii="Times New Roman" w:hAnsi="Times New Roman" w:cs="Times New Roman"/>
                <w:sz w:val="22"/>
              </w:rPr>
            </w:pPr>
            <w:r>
              <w:rPr>
                <w:rFonts w:ascii="Times New Roman" w:hAnsi="Times New Roman" w:cs="Times New Roman"/>
                <w:sz w:val="22"/>
              </w:rPr>
              <w:t>-</w:t>
            </w:r>
          </w:p>
        </w:tc>
      </w:tr>
      <w:tr w14:paraId="46A3C055">
        <w:tblPrEx>
          <w:tblCellMar>
            <w:top w:w="0" w:type="dxa"/>
            <w:left w:w="108" w:type="dxa"/>
            <w:bottom w:w="0" w:type="dxa"/>
            <w:right w:w="108" w:type="dxa"/>
          </w:tblCellMar>
        </w:tblPrEx>
        <w:trPr>
          <w:trHeight w:val="300" w:hRule="atLeast"/>
          <w:jc w:val="center"/>
        </w:trPr>
        <w:tc>
          <w:tcPr>
            <w:tcW w:w="3099" w:type="dxa"/>
            <w:noWrap/>
          </w:tcPr>
          <w:p w14:paraId="3F506407">
            <w:pPr>
              <w:jc w:val="left"/>
              <w:rPr>
                <w:rFonts w:ascii="Times New Roman" w:hAnsi="Times New Roman" w:cs="Times New Roman"/>
                <w:b/>
                <w:bCs/>
                <w:sz w:val="22"/>
              </w:rPr>
            </w:pPr>
            <w:r>
              <w:rPr>
                <w:rFonts w:hint="eastAsia" w:ascii="Times New Roman" w:hAnsi="Times New Roman" w:cs="Times New Roman"/>
                <w:b w:val="0"/>
                <w:bCs w:val="0"/>
                <w:sz w:val="22"/>
              </w:rPr>
              <w:t>T</w:t>
            </w:r>
            <w:r>
              <w:rPr>
                <w:rFonts w:ascii="Times New Roman" w:hAnsi="Times New Roman" w:cs="Times New Roman"/>
                <w:b w:val="0"/>
                <w:bCs w:val="0"/>
                <w:sz w:val="22"/>
              </w:rPr>
              <w:t>ubular coal-based carbon membrane</w:t>
            </w:r>
          </w:p>
        </w:tc>
        <w:tc>
          <w:tcPr>
            <w:tcW w:w="1590" w:type="dxa"/>
            <w:noWrap/>
          </w:tcPr>
          <w:p w14:paraId="0532EFD2">
            <w:pPr>
              <w:jc w:val="center"/>
              <w:rPr>
                <w:rFonts w:ascii="Times New Roman" w:hAnsi="Times New Roman" w:cs="Times New Roman"/>
                <w:sz w:val="22"/>
              </w:rPr>
            </w:pPr>
            <w:r>
              <w:rPr>
                <w:rFonts w:ascii="Times New Roman" w:hAnsi="Times New Roman" w:cs="Times New Roman"/>
                <w:sz w:val="22"/>
              </w:rPr>
              <w:t>150000</w:t>
            </w:r>
          </w:p>
        </w:tc>
        <w:tc>
          <w:tcPr>
            <w:tcW w:w="2115" w:type="dxa"/>
            <w:noWrap/>
          </w:tcPr>
          <w:p w14:paraId="275C0902">
            <w:pPr>
              <w:jc w:val="center"/>
              <w:rPr>
                <w:rFonts w:ascii="Times New Roman" w:hAnsi="Times New Roman" w:cs="Times New Roman"/>
                <w:sz w:val="22"/>
              </w:rPr>
            </w:pPr>
            <w:r>
              <w:rPr>
                <w:rFonts w:ascii="Times New Roman" w:hAnsi="Times New Roman" w:cs="Times New Roman"/>
                <w:sz w:val="22"/>
              </w:rPr>
              <w:t>Hydrothermal</w:t>
            </w:r>
          </w:p>
        </w:tc>
        <w:tc>
          <w:tcPr>
            <w:tcW w:w="900" w:type="dxa"/>
            <w:noWrap/>
          </w:tcPr>
          <w:p w14:paraId="4C019E93">
            <w:pPr>
              <w:jc w:val="center"/>
              <w:rPr>
                <w:rFonts w:ascii="Times New Roman" w:hAnsi="Times New Roman" w:cs="Times New Roman"/>
                <w:sz w:val="22"/>
              </w:rPr>
            </w:pPr>
            <w:r>
              <w:rPr>
                <w:rFonts w:ascii="Times New Roman" w:hAnsi="Times New Roman" w:cs="Times New Roman"/>
                <w:sz w:val="22"/>
              </w:rPr>
              <w:t>120</w:t>
            </w:r>
          </w:p>
        </w:tc>
        <w:tc>
          <w:tcPr>
            <w:tcW w:w="818" w:type="dxa"/>
            <w:noWrap/>
          </w:tcPr>
          <w:p w14:paraId="4AC02175">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{"citationID":"aV2BQQEB","properties":{"formattedCitation":"\\super 7\\nosupersub{}","plainCitation":"7","noteIndex":0},"citationItems":[{"id":2895,"uris":["http://zotero.org/users/16084765/items/RP5DR4TD"],"itemData":{"id":2895,"type":"article-journal","citation-key":"sunEnhancedOrganicWastewater2021","container-title":"Separation and Purification Technology","DOI":"10.1016/j.seppur.2021.119418","ISSN":"13835866","journalAbbreviation":"Sep. Purif. Technol.","language":"en"</w:instrText>
            </w:r>
            <w:r>
              <w:rPr>
                <w:rFonts w:hint="eastAsia" w:ascii="Times New Roman" w:hAnsi="Times New Roman" w:cs="Times New Roman"/>
                <w:sz w:val="22"/>
                <w:vertAlign w:val="baseline"/>
              </w:rPr>
              <w:instrText xml:space="preserve">,"note":"JCR分区: Q1\n中科院分区升级版: 工程技术2区\n影响因子: 9.0\n5年影响因子: 8.5\nEI: 是\nESI: 化学\n南农高质量: A","page":"119418","source":"DOI.org (Crossref)","title":"Enhanced organic wastewater treatment performance in electrochemical filtration process of coal-based carbon mem</w:instrText>
            </w:r>
            <w:r>
              <w:rPr>
                <w:rFonts w:ascii="Times New Roman" w:hAnsi="Times New Roman" w:cs="Times New Roman"/>
                <w:sz w:val="22"/>
                <w:vertAlign w:val="baseline"/>
              </w:rPr>
              <w:instrText xml:space="preserve">brane via the simple Fe2+ addition","volume":"276","author":[{"family":"Sun","given":"Menghan"},{"family":"An","given":"Jinshuo"},{"family":"Pan","given":"Zonglin"},{"family":"Feng","given":"Guoqing"},{"family":"Fan","given":"Xinfei"},{"family":"Song","given":"Chengwen"},{"family":"Wang","given":"Tonghua"}],"issued":{"date-parts":[["2021",12]]}}}],"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7</w:t>
            </w:r>
            <w:r>
              <w:rPr>
                <w:rFonts w:ascii="Times New Roman" w:hAnsi="Times New Roman" w:cs="Times New Roman"/>
                <w:sz w:val="22"/>
                <w:vertAlign w:val="baseline"/>
              </w:rPr>
              <w:fldChar w:fldCharType="end"/>
            </w:r>
          </w:p>
        </w:tc>
      </w:tr>
      <w:tr w14:paraId="49447815">
        <w:tblPrEx>
          <w:tblCellMar>
            <w:top w:w="0" w:type="dxa"/>
            <w:left w:w="108" w:type="dxa"/>
            <w:bottom w:w="0" w:type="dxa"/>
            <w:right w:w="108" w:type="dxa"/>
          </w:tblCellMar>
        </w:tblPrEx>
        <w:trPr>
          <w:trHeight w:val="300" w:hRule="atLeast"/>
          <w:jc w:val="center"/>
        </w:trPr>
        <w:tc>
          <w:tcPr>
            <w:tcW w:w="3099" w:type="dxa"/>
            <w:shd w:val="clear" w:color="auto" w:fill="F1F1F1" w:themeFill="background1" w:themeFillShade="F2"/>
            <w:noWrap/>
          </w:tcPr>
          <w:p w14:paraId="14F10C65">
            <w:pPr>
              <w:jc w:val="left"/>
              <w:rPr>
                <w:rFonts w:ascii="Times New Roman" w:hAnsi="Times New Roman" w:cs="Times New Roman"/>
                <w:b/>
                <w:bCs/>
                <w:sz w:val="22"/>
              </w:rPr>
            </w:pPr>
            <w:r>
              <w:rPr>
                <w:rFonts w:ascii="Times New Roman" w:hAnsi="Times New Roman" w:cs="Times New Roman"/>
                <w:b w:val="0"/>
                <w:bCs w:val="0"/>
                <w:sz w:val="22"/>
              </w:rPr>
              <w:t>H-1-32%-4h TCF (This work)</w:t>
            </w:r>
          </w:p>
        </w:tc>
        <w:tc>
          <w:tcPr>
            <w:tcW w:w="1590" w:type="dxa"/>
            <w:shd w:val="clear" w:color="auto" w:fill="F1F1F1" w:themeFill="background1" w:themeFillShade="F2"/>
            <w:noWrap/>
          </w:tcPr>
          <w:p w14:paraId="0348C671">
            <w:pPr>
              <w:jc w:val="center"/>
              <w:rPr>
                <w:rFonts w:ascii="Times New Roman" w:hAnsi="Times New Roman" w:cs="Times New Roman"/>
                <w:sz w:val="22"/>
              </w:rPr>
            </w:pPr>
            <w:r>
              <w:rPr>
                <w:rFonts w:ascii="Times New Roman" w:hAnsi="Times New Roman" w:cs="Times New Roman"/>
                <w:sz w:val="22"/>
              </w:rPr>
              <w:t>145003</w:t>
            </w:r>
          </w:p>
        </w:tc>
        <w:tc>
          <w:tcPr>
            <w:tcW w:w="2115" w:type="dxa"/>
            <w:shd w:val="clear" w:color="auto" w:fill="F1F1F1" w:themeFill="background1" w:themeFillShade="F2"/>
            <w:noWrap/>
          </w:tcPr>
          <w:p w14:paraId="51C1B2D4">
            <w:pPr>
              <w:jc w:val="center"/>
              <w:rPr>
                <w:rFonts w:ascii="Times New Roman" w:hAnsi="Times New Roman" w:cs="Times New Roman"/>
                <w:sz w:val="22"/>
              </w:rPr>
            </w:pPr>
            <w:r>
              <w:rPr>
                <w:rFonts w:ascii="Times New Roman" w:hAnsi="Times New Roman" w:cs="Times New Roman"/>
                <w:b w:val="0"/>
                <w:bCs w:val="0"/>
                <w:sz w:val="22"/>
              </w:rPr>
              <w:t>This work</w:t>
            </w:r>
          </w:p>
        </w:tc>
        <w:tc>
          <w:tcPr>
            <w:tcW w:w="900" w:type="dxa"/>
            <w:shd w:val="clear" w:color="auto" w:fill="F1F1F1" w:themeFill="background1" w:themeFillShade="F2"/>
            <w:noWrap/>
          </w:tcPr>
          <w:p w14:paraId="301DF87B">
            <w:pPr>
              <w:jc w:val="center"/>
              <w:rPr>
                <w:rFonts w:ascii="Times New Roman" w:hAnsi="Times New Roman" w:cs="Times New Roman"/>
                <w:sz w:val="22"/>
              </w:rPr>
            </w:pPr>
            <w:r>
              <w:rPr>
                <w:rFonts w:ascii="Times New Roman" w:hAnsi="Times New Roman" w:cs="Times New Roman"/>
                <w:sz w:val="22"/>
              </w:rPr>
              <w:t>250</w:t>
            </w:r>
          </w:p>
        </w:tc>
        <w:tc>
          <w:tcPr>
            <w:tcW w:w="818" w:type="dxa"/>
            <w:shd w:val="clear" w:color="auto" w:fill="F1F1F1" w:themeFill="background1" w:themeFillShade="F2"/>
            <w:noWrap/>
          </w:tcPr>
          <w:p w14:paraId="34E84E1D">
            <w:pPr>
              <w:jc w:val="center"/>
              <w:rPr>
                <w:rFonts w:ascii="Times New Roman" w:hAnsi="Times New Roman" w:cs="Times New Roman"/>
                <w:sz w:val="22"/>
                <w:vertAlign w:val="baseline"/>
              </w:rPr>
            </w:pPr>
            <w:r>
              <w:rPr>
                <w:rFonts w:ascii="Times New Roman" w:hAnsi="Times New Roman" w:cs="Times New Roman"/>
                <w:sz w:val="22"/>
                <w:vertAlign w:val="baseline"/>
              </w:rPr>
              <w:t>-</w:t>
            </w:r>
          </w:p>
        </w:tc>
      </w:tr>
      <w:tr w14:paraId="2B4B5D30">
        <w:tblPrEx>
          <w:tblCellMar>
            <w:top w:w="0" w:type="dxa"/>
            <w:left w:w="108" w:type="dxa"/>
            <w:bottom w:w="0" w:type="dxa"/>
            <w:right w:w="108" w:type="dxa"/>
          </w:tblCellMar>
        </w:tblPrEx>
        <w:trPr>
          <w:trHeight w:val="270" w:hRule="atLeast"/>
          <w:jc w:val="center"/>
        </w:trPr>
        <w:tc>
          <w:tcPr>
            <w:tcW w:w="3099" w:type="dxa"/>
            <w:noWrap/>
          </w:tcPr>
          <w:p w14:paraId="5CA4DCBC">
            <w:pPr>
              <w:jc w:val="left"/>
              <w:rPr>
                <w:rFonts w:ascii="Times New Roman" w:hAnsi="Times New Roman" w:cs="Times New Roman"/>
                <w:b/>
                <w:bCs/>
                <w:sz w:val="22"/>
              </w:rPr>
            </w:pPr>
            <w:r>
              <w:rPr>
                <w:rFonts w:ascii="Times New Roman" w:hAnsi="Times New Roman" w:cs="Times New Roman"/>
                <w:b w:val="0"/>
                <w:bCs w:val="0"/>
                <w:sz w:val="22"/>
              </w:rPr>
              <w:t>SW/DWCNT</w:t>
            </w:r>
          </w:p>
        </w:tc>
        <w:tc>
          <w:tcPr>
            <w:tcW w:w="1590" w:type="dxa"/>
            <w:noWrap/>
          </w:tcPr>
          <w:p w14:paraId="10EFCFC2">
            <w:pPr>
              <w:jc w:val="center"/>
              <w:rPr>
                <w:rFonts w:ascii="Times New Roman" w:hAnsi="Times New Roman" w:cs="Times New Roman"/>
                <w:sz w:val="22"/>
              </w:rPr>
            </w:pPr>
            <w:r>
              <w:rPr>
                <w:rFonts w:ascii="Times New Roman" w:hAnsi="Times New Roman" w:cs="Times New Roman"/>
                <w:sz w:val="22"/>
              </w:rPr>
              <w:t>97877</w:t>
            </w:r>
          </w:p>
        </w:tc>
        <w:tc>
          <w:tcPr>
            <w:tcW w:w="2115" w:type="dxa"/>
            <w:noWrap/>
          </w:tcPr>
          <w:p w14:paraId="08F5CCA0">
            <w:pPr>
              <w:jc w:val="center"/>
              <w:rPr>
                <w:rFonts w:ascii="Times New Roman" w:hAnsi="Times New Roman" w:cs="Times New Roman"/>
                <w:sz w:val="22"/>
              </w:rPr>
            </w:pPr>
            <w:r>
              <w:rPr>
                <w:rFonts w:ascii="Times New Roman" w:hAnsi="Times New Roman" w:cs="Times New Roman"/>
                <w:sz w:val="22"/>
              </w:rPr>
              <w:t>Vacuum filtration</w:t>
            </w:r>
          </w:p>
        </w:tc>
        <w:tc>
          <w:tcPr>
            <w:tcW w:w="900" w:type="dxa"/>
            <w:noWrap/>
          </w:tcPr>
          <w:p w14:paraId="1B4F3EEF">
            <w:pPr>
              <w:jc w:val="center"/>
              <w:rPr>
                <w:rFonts w:ascii="Times New Roman" w:hAnsi="Times New Roman" w:cs="Times New Roman"/>
                <w:sz w:val="22"/>
              </w:rPr>
            </w:pPr>
            <w:r>
              <w:rPr>
                <w:rFonts w:ascii="Times New Roman" w:hAnsi="Times New Roman" w:cs="Times New Roman"/>
                <w:sz w:val="22"/>
              </w:rPr>
              <w:t>r.t.</w:t>
            </w:r>
          </w:p>
        </w:tc>
        <w:tc>
          <w:tcPr>
            <w:tcW w:w="818" w:type="dxa"/>
            <w:noWrap/>
          </w:tcPr>
          <w:p w14:paraId="21E6A9F3">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{"citationID":"EYagKsHm","properties":{"formattedCitation":"\\super 8\\nosupersub{}","plainCitation":"8","noteIndex":0},"citationItems":[{"id":2871,"uris":["http://zotero.org/users/16084765/items/4VRUMYPI"],"itemData":{"id":2871,"type":"article-journal","citation-key":"sutherlandElectrocatalyticMicrofiltrationMembranes2020","container-title":"Journal of Membrane Science","DOI":"10.1016/j.memsci.2020.118335","ISSN":"03767388","journalAbbreviation":"J. Membr. Sci.","language"</w:instrText>
            </w:r>
            <w:r>
              <w:rPr>
                <w:rFonts w:hint="eastAsia" w:ascii="Times New Roman" w:hAnsi="Times New Roman" w:cs="Times New Roman"/>
                <w:sz w:val="22"/>
                <w:vertAlign w:val="baseline"/>
              </w:rPr>
              <w:instrText xml:space="preserve">:"en","note":"JCR分区: Q1\n中科院分区升级版: 工程技术1区\n影响因子: 9.0\n5年影响因子: 8.8\nEI: 是\nESI: 化学\n南农高质量: A","page":"118335","source":"DOI.org (Crossref)","title":"Electro-catalytic microfiltration membranes electrochemically degrade azo dyes in solution","volume":"611",</w:instrText>
            </w:r>
            <w:r>
              <w:rPr>
                <w:rFonts w:ascii="Times New Roman" w:hAnsi="Times New Roman" w:cs="Times New Roman"/>
                <w:sz w:val="22"/>
                <w:vertAlign w:val="baseline"/>
              </w:rPr>
              <w:instrText xml:space="preserve">"author":[{"family":"Sutherland","given":"Alexander J."},{"family":"Ruiz-Caldas","given":"Maria-Ximena"},{"family":"De Lannoy","given":"Charles-François"}],"issued":{"date-parts":[["2020",10]]}}}],"schema":"https://github.com/citation-style-language/schema/raw/master/csl-citation.json"}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8</w:t>
            </w:r>
            <w:r>
              <w:rPr>
                <w:rFonts w:ascii="Times New Roman" w:hAnsi="Times New Roman" w:cs="Times New Roman"/>
                <w:sz w:val="22"/>
                <w:vertAlign w:val="baseline"/>
              </w:rPr>
              <w:fldChar w:fldCharType="end"/>
            </w:r>
          </w:p>
        </w:tc>
      </w:tr>
      <w:tr w14:paraId="4ACC2E8B">
        <w:tblPrEx>
          <w:tblCellMar>
            <w:top w:w="0" w:type="dxa"/>
            <w:left w:w="108" w:type="dxa"/>
            <w:bottom w:w="0" w:type="dxa"/>
            <w:right w:w="108" w:type="dxa"/>
          </w:tblCellMar>
        </w:tblPrEx>
        <w:trPr>
          <w:trHeight w:val="285" w:hRule="atLeast"/>
          <w:jc w:val="center"/>
        </w:trPr>
        <w:tc>
          <w:tcPr>
            <w:tcW w:w="3099" w:type="dxa"/>
            <w:shd w:val="clear" w:color="auto" w:fill="F1F1F1" w:themeFill="background1" w:themeFillShade="F2"/>
            <w:noWrap/>
          </w:tcPr>
          <w:p w14:paraId="44CD9308">
            <w:pPr>
              <w:jc w:val="left"/>
              <w:rPr>
                <w:rFonts w:ascii="Times New Roman" w:hAnsi="Times New Roman" w:cs="Times New Roman"/>
                <w:b/>
                <w:bCs/>
                <w:sz w:val="22"/>
              </w:rPr>
            </w:pPr>
            <w:r>
              <w:rPr>
                <w:rFonts w:ascii="Times New Roman" w:hAnsi="Times New Roman" w:cs="Times New Roman"/>
                <w:b w:val="0"/>
                <w:bCs w:val="0"/>
                <w:sz w:val="22"/>
              </w:rPr>
              <w:t>MWCNT-graphene yarn</w:t>
            </w:r>
          </w:p>
        </w:tc>
        <w:tc>
          <w:tcPr>
            <w:tcW w:w="1590" w:type="dxa"/>
            <w:shd w:val="clear" w:color="auto" w:fill="F1F1F1" w:themeFill="background1" w:themeFillShade="F2"/>
            <w:noWrap/>
          </w:tcPr>
          <w:p w14:paraId="53CD9DCE">
            <w:pPr>
              <w:jc w:val="center"/>
              <w:rPr>
                <w:rFonts w:ascii="Times New Roman" w:hAnsi="Times New Roman" w:cs="Times New Roman"/>
                <w:sz w:val="22"/>
              </w:rPr>
            </w:pPr>
            <w:r>
              <w:rPr>
                <w:rFonts w:ascii="Times New Roman" w:hAnsi="Times New Roman" w:cs="Times New Roman"/>
                <w:sz w:val="22"/>
              </w:rPr>
              <w:t>90000</w:t>
            </w:r>
          </w:p>
        </w:tc>
        <w:tc>
          <w:tcPr>
            <w:tcW w:w="2115" w:type="dxa"/>
            <w:shd w:val="clear" w:color="auto" w:fill="F1F1F1" w:themeFill="background1" w:themeFillShade="F2"/>
            <w:noWrap/>
          </w:tcPr>
          <w:p w14:paraId="0FFC5001">
            <w:pPr>
              <w:jc w:val="center"/>
              <w:rPr>
                <w:rFonts w:ascii="Times New Roman" w:hAnsi="Times New Roman" w:cs="Times New Roman"/>
                <w:sz w:val="22"/>
              </w:rPr>
            </w:pPr>
            <w:r>
              <w:rPr>
                <w:rFonts w:ascii="Times New Roman" w:hAnsi="Times New Roman" w:cs="Times New Roman"/>
                <w:sz w:val="22"/>
              </w:rPr>
              <w:t>Spinning</w:t>
            </w:r>
          </w:p>
        </w:tc>
        <w:tc>
          <w:tcPr>
            <w:tcW w:w="900" w:type="dxa"/>
            <w:shd w:val="clear" w:color="auto" w:fill="F1F1F1" w:themeFill="background1" w:themeFillShade="F2"/>
            <w:noWrap/>
          </w:tcPr>
          <w:p w14:paraId="5AD73513">
            <w:pPr>
              <w:jc w:val="center"/>
              <w:rPr>
                <w:rFonts w:ascii="Times New Roman" w:hAnsi="Times New Roman" w:cs="Times New Roman"/>
                <w:sz w:val="22"/>
              </w:rPr>
            </w:pPr>
            <w:r>
              <w:rPr>
                <w:rFonts w:ascii="Times New Roman" w:hAnsi="Times New Roman" w:cs="Times New Roman"/>
                <w:sz w:val="22"/>
              </w:rPr>
              <w:t>r.t.</w:t>
            </w:r>
          </w:p>
        </w:tc>
        <w:tc>
          <w:tcPr>
            <w:tcW w:w="818" w:type="dxa"/>
            <w:shd w:val="clear" w:color="auto" w:fill="F1F1F1" w:themeFill="background1" w:themeFillShade="F2"/>
            <w:noWrap/>
          </w:tcPr>
          <w:p w14:paraId="308C45BA">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{"citationID":"vpK8uoD6","properties":{"formattedCitation":"\\super 9\\nosupersub{}","plainCitation":"9","noteIndex":0},"citationItems":[{"id":2808,"uris":["http://zotero.org/users/16084765/items/PD4KCQGE"],"itemData":{"id"</w:instrText>
            </w:r>
            <w:r>
              <w:rPr>
                <w:rFonts w:hint="eastAsia" w:ascii="Times New Roman" w:hAnsi="Times New Roman" w:cs="Times New Roman"/>
                <w:sz w:val="22"/>
                <w:vertAlign w:val="baseline"/>
              </w:rPr>
              <w:instrText xml:space="preserve">:2808,"type":"article-journal","abstract":"An efficient procedure for the fabrication of highly conductive carbon nanotube/graphene hybrid yarns has been developed. To start, arrays of vertically aligned multi‐walled carbon nanotubes (MWNT) are converted </w:instrText>
            </w:r>
            <w:r>
              <w:rPr>
                <w:rFonts w:ascii="Times New Roman" w:hAnsi="Times New Roman" w:cs="Times New Roman"/>
                <w:sz w:val="22"/>
                <w:vertAlign w:val="baseline"/>
              </w:rPr>
              <w:instrText xml:space="preserve">into indefinitely long MWNT sheets by drawing. Graphene flakes are then deposited onto the MWNT sheets by electrospinning to form a composite structure that is transformed into yarn filaments by twisting. The process is scalable for yarn fabrication on an</w:instrText>
            </w:r>
            <w:r>
              <w:rPr>
                <w:rFonts w:hint="eastAsia" w:ascii="Times New Roman" w:hAnsi="Times New Roman" w:cs="Times New Roman"/>
                <w:sz w:val="22"/>
                <w:vertAlign w:val="baseline"/>
              </w:rPr>
              <w:instrText xml:space="preserve"> industrial scale. Prepared materials are characterized by electron microscopy, electrical, mechanical, and electrochemical measurements. It is found that the electrical conductivity of the composite MWNT‐graphene yarns is over 900 S/cm. This value is 400</w:instrText>
            </w:r>
            <w:r>
              <w:rPr>
                <w:rFonts w:ascii="Times New Roman" w:hAnsi="Times New Roman" w:cs="Times New Roman"/>
                <w:sz w:val="22"/>
                <w:vertAlign w:val="baseline"/>
              </w:rPr>
              <w:instrText xml:space="preserve">% and 1250% higher than electrical conductivity of pristine MWNT yarns or graphene paper, respectively. The increase in conductivity is asssociated with the increase of the density of states near the Fermi level by a factor of 100 and a decrease in the hopping distance by an order of magnitude induced by grapene flakes. It is found also that the MWNT</w:instrText>
            </w:r>
            <w:r>
              <w:rPr>
                <w:rFonts w:hint="eastAsia" w:ascii="Times New Roman" w:hAnsi="Times New Roman" w:cs="Times New Roman"/>
                <w:sz w:val="22"/>
                <w:vertAlign w:val="baseline"/>
              </w:rPr>
              <w:instrText xml:space="preserve">‐</w:instrText>
            </w:r>
            <w:r>
              <w:rPr>
                <w:rFonts w:ascii="Times New Roman" w:hAnsi="Times New Roman" w:cs="Times New Roman"/>
                <w:sz w:val="22"/>
                <w:vertAlign w:val="baseline"/>
              </w:rPr>
              <w:instrText xml:space="preserve">graphene yarn has a strong electrochemical response with specific capacitance in excess of 111 Fg\n              −1\n              . This value is 425% higher than the capacitance of pristine MWNT yarn. Such substantial improvements of key properties of the hybrid material can be associated with the synergy of MWNT and graphene layers in the yarn structure. Prepared hybrid yarns can benefit such applications </w:instrText>
            </w:r>
            <w:r>
              <w:rPr>
                <w:rFonts w:hint="eastAsia" w:ascii="Times New Roman" w:hAnsi="Times New Roman" w:cs="Times New Roman"/>
                <w:sz w:val="22"/>
                <w:vertAlign w:val="baseline"/>
              </w:rPr>
              <w:instrText xml:space="preserve">as high‐performance supercapacitors, batteries, high current capable cables, and artificial muscles.","citation-key":"foroughiHighlyConductiveCarbon2014","container-title":"Advanced Functional Materials","DOI":"10.1002/adfm.201401412","ISSN":"1616-301X, 1</w:instrText>
            </w:r>
            <w:r>
              <w:rPr>
                <w:rFonts w:ascii="Times New Roman" w:hAnsi="Times New Roman" w:cs="Times New Roman"/>
                <w:sz w:val="22"/>
                <w:vertAlign w:val="baseline"/>
              </w:rPr>
              <w:instrText xml:space="preserve">616-3028","issue":"37","journalAbbreviation":"Adv. Funct. Mater.","language":"en","license":"http://onlinelibrary.wiley.com/termsAndConditions#vor","page":"5859-5865","source":"DOI.org (Crossref)","title":"Highly conductive carbon nanotube-graphene hybrid yarn","volume":"24","author":[{"family":"Foroughi","given":"Javad"},{"family":"Spinks","given":"Geoffrey M."},{"family":"Antiohos","given":"Dennis"},{"family":"Mirabedini","given":"Azadehsadat"},{"family":"Gambhir","given":"Sanjeev"},{"family":"Wallace","given":"Gordon G."},{"family":"Ghorbani","given":"Shaban R."},{"family":"Peleckis","given":"Germanas"},{"family":"Kozlov","given":"Mikhail E."},{"family":"Lima","given":"Marcio D."},{"family":"Baughman","given":"Ray H."}],"issued":{"date-parts":[["2014",10]]}}}],"schema":"https://github.com/citation-style-language/schema/raw/master/csl-citation.json"}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9</w:t>
            </w:r>
            <w:r>
              <w:rPr>
                <w:rFonts w:ascii="Times New Roman" w:hAnsi="Times New Roman" w:cs="Times New Roman"/>
                <w:sz w:val="22"/>
                <w:vertAlign w:val="baseline"/>
              </w:rPr>
              <w:fldChar w:fldCharType="end"/>
            </w:r>
          </w:p>
        </w:tc>
      </w:tr>
      <w:tr w14:paraId="383154E1">
        <w:tblPrEx>
          <w:tblCellMar>
            <w:top w:w="0" w:type="dxa"/>
            <w:left w:w="108" w:type="dxa"/>
            <w:bottom w:w="0" w:type="dxa"/>
            <w:right w:w="108" w:type="dxa"/>
          </w:tblCellMar>
        </w:tblPrEx>
        <w:trPr>
          <w:trHeight w:val="270" w:hRule="atLeast"/>
          <w:jc w:val="center"/>
        </w:trPr>
        <w:tc>
          <w:tcPr>
            <w:tcW w:w="3099" w:type="dxa"/>
            <w:noWrap/>
          </w:tcPr>
          <w:p w14:paraId="2AC51398">
            <w:pPr>
              <w:jc w:val="left"/>
              <w:rPr>
                <w:rFonts w:ascii="Times New Roman" w:hAnsi="Times New Roman" w:cs="Times New Roman"/>
                <w:b/>
                <w:bCs/>
                <w:sz w:val="22"/>
              </w:rPr>
            </w:pPr>
            <w:r>
              <w:rPr>
                <w:rFonts w:ascii="Times New Roman" w:hAnsi="Times New Roman" w:cs="Times New Roman"/>
                <w:b w:val="0"/>
                <w:bCs w:val="0"/>
                <w:sz w:val="22"/>
              </w:rPr>
              <w:t>Isobornyl methacrylate/G</w:t>
            </w:r>
          </w:p>
        </w:tc>
        <w:tc>
          <w:tcPr>
            <w:tcW w:w="1590" w:type="dxa"/>
            <w:noWrap/>
          </w:tcPr>
          <w:p w14:paraId="45AE4131">
            <w:pPr>
              <w:jc w:val="center"/>
              <w:rPr>
                <w:rFonts w:ascii="Times New Roman" w:hAnsi="Times New Roman" w:cs="Times New Roman"/>
                <w:sz w:val="22"/>
              </w:rPr>
            </w:pPr>
            <w:r>
              <w:rPr>
                <w:rFonts w:ascii="Times New Roman" w:hAnsi="Times New Roman" w:cs="Times New Roman"/>
                <w:sz w:val="22"/>
              </w:rPr>
              <w:t>60000</w:t>
            </w:r>
          </w:p>
        </w:tc>
        <w:tc>
          <w:tcPr>
            <w:tcW w:w="2115" w:type="dxa"/>
            <w:noWrap/>
          </w:tcPr>
          <w:p w14:paraId="09877E93">
            <w:pPr>
              <w:jc w:val="center"/>
              <w:rPr>
                <w:rFonts w:ascii="Times New Roman" w:hAnsi="Times New Roman" w:cs="Times New Roman"/>
                <w:sz w:val="22"/>
              </w:rPr>
            </w:pPr>
            <w:r>
              <w:rPr>
                <w:rFonts w:ascii="Times New Roman" w:hAnsi="Times New Roman" w:cs="Times New Roman"/>
                <w:sz w:val="22"/>
              </w:rPr>
              <w:t>Cold Pressing</w:t>
            </w:r>
          </w:p>
        </w:tc>
        <w:tc>
          <w:tcPr>
            <w:tcW w:w="900" w:type="dxa"/>
            <w:noWrap/>
          </w:tcPr>
          <w:p w14:paraId="15BDFDA7">
            <w:pPr>
              <w:jc w:val="center"/>
              <w:rPr>
                <w:rFonts w:ascii="Times New Roman" w:hAnsi="Times New Roman" w:cs="Times New Roman"/>
                <w:sz w:val="22"/>
              </w:rPr>
            </w:pPr>
            <w:r>
              <w:rPr>
                <w:rFonts w:ascii="Times New Roman" w:hAnsi="Times New Roman" w:cs="Times New Roman"/>
                <w:sz w:val="22"/>
              </w:rPr>
              <w:t>r.t.</w:t>
            </w:r>
          </w:p>
        </w:tc>
        <w:tc>
          <w:tcPr>
            <w:tcW w:w="818" w:type="dxa"/>
            <w:noWrap/>
          </w:tcPr>
          <w:p w14:paraId="7AA56495">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{"citationID":"thoLFDow","properties":{"formattedCitation":"\\super 10\\nosupersub{}","plainCitation":"10","noteIndex":0},"citationItems":[{"id":2896,"uris":["http://zotero.org/users/16084765/items/FI7HSS3L"],"itemData":{"id":2896,"type":"article-journal","citation-key":"wangAchievingHighElectrochemical2024","container-title":"International Journal of Hydrogen Energy","DOI":"10.1016/j.ijhydene.2023.11.190","ISSN":"03603199","journalAbbreviation":"Int. J. Hydrogen Energy","l</w:instrText>
            </w:r>
            <w:r>
              <w:rPr>
                <w:rFonts w:hint="eastAsia" w:ascii="Times New Roman" w:hAnsi="Times New Roman" w:cs="Times New Roman"/>
                <w:sz w:val="22"/>
                <w:vertAlign w:val="baseline"/>
              </w:rPr>
              <w:instrText xml:space="preserve">anguage":"en","note":"JCR分区: Q1\n中科院分区升级版: 材料科学2区\n影响因子: 8.3\n5年影响因子: 7.7\nEI: 是\nESI: 工程科学\n南农高质量: A","page":"654-664","source":"DOI.org (Crossref)","title":"Achieving high electrochemical performance of PEMFCs with ultrathin and highly conductive graphi</w:instrText>
            </w:r>
            <w:r>
              <w:rPr>
                <w:rFonts w:ascii="Times New Roman" w:hAnsi="Times New Roman" w:cs="Times New Roman"/>
                <w:sz w:val="22"/>
                <w:vertAlign w:val="baseline"/>
              </w:rPr>
              <w:instrText xml:space="preserve">te-resin composite bipolar plates","volume":"55","author":[{"family":"Wang","given":"Xueliang"},{"family":"Wei","given":"Sujing"},{"family":"Wu","given":"Yuhao"},{"family":"Cai","given":"Hui"},{"family":"Qu","given":"Zhiguo"},{"family":"He","given":"Peng"}],"issued":{"date-parts":[["2024",2]]}}}],"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10</w:t>
            </w:r>
            <w:r>
              <w:rPr>
                <w:rFonts w:ascii="Times New Roman" w:hAnsi="Times New Roman" w:cs="Times New Roman"/>
                <w:sz w:val="22"/>
                <w:vertAlign w:val="baseline"/>
              </w:rPr>
              <w:fldChar w:fldCharType="end"/>
            </w:r>
          </w:p>
        </w:tc>
      </w:tr>
      <w:tr w14:paraId="31755156">
        <w:tblPrEx>
          <w:tblCellMar>
            <w:top w:w="0" w:type="dxa"/>
            <w:left w:w="108" w:type="dxa"/>
            <w:bottom w:w="0" w:type="dxa"/>
            <w:right w:w="108" w:type="dxa"/>
          </w:tblCellMar>
        </w:tblPrEx>
        <w:trPr>
          <w:trHeight w:val="285" w:hRule="atLeast"/>
          <w:jc w:val="center"/>
        </w:trPr>
        <w:tc>
          <w:tcPr>
            <w:tcW w:w="3099" w:type="dxa"/>
            <w:shd w:val="clear" w:color="auto" w:fill="F1F1F1" w:themeFill="background1" w:themeFillShade="F2"/>
            <w:noWrap/>
          </w:tcPr>
          <w:p w14:paraId="0CCBFBD4">
            <w:pPr>
              <w:jc w:val="left"/>
              <w:rPr>
                <w:rFonts w:ascii="Times New Roman" w:hAnsi="Times New Roman" w:cs="Times New Roman"/>
                <w:b/>
                <w:bCs/>
                <w:sz w:val="22"/>
              </w:rPr>
            </w:pPr>
            <w:r>
              <w:rPr>
                <w:rFonts w:ascii="Times New Roman" w:hAnsi="Times New Roman" w:cs="Times New Roman"/>
                <w:b w:val="0"/>
                <w:bCs w:val="0"/>
                <w:sz w:val="22"/>
              </w:rPr>
              <w:t>PEDOT:PSS/SWCNT</w:t>
            </w:r>
          </w:p>
        </w:tc>
        <w:tc>
          <w:tcPr>
            <w:tcW w:w="1590" w:type="dxa"/>
            <w:shd w:val="clear" w:color="auto" w:fill="F1F1F1" w:themeFill="background1" w:themeFillShade="F2"/>
            <w:noWrap/>
          </w:tcPr>
          <w:p w14:paraId="2EAD2B2A">
            <w:pPr>
              <w:jc w:val="center"/>
              <w:rPr>
                <w:rFonts w:ascii="Times New Roman" w:hAnsi="Times New Roman" w:cs="Times New Roman"/>
                <w:sz w:val="22"/>
              </w:rPr>
            </w:pPr>
            <w:r>
              <w:rPr>
                <w:rFonts w:ascii="Times New Roman" w:hAnsi="Times New Roman" w:cs="Times New Roman"/>
                <w:sz w:val="22"/>
              </w:rPr>
              <w:t>58000</w:t>
            </w:r>
          </w:p>
        </w:tc>
        <w:tc>
          <w:tcPr>
            <w:tcW w:w="2115" w:type="dxa"/>
            <w:shd w:val="clear" w:color="auto" w:fill="F1F1F1" w:themeFill="background1" w:themeFillShade="F2"/>
            <w:noWrap/>
          </w:tcPr>
          <w:p w14:paraId="5A69FE38">
            <w:pPr>
              <w:jc w:val="center"/>
              <w:rPr>
                <w:rFonts w:ascii="Times New Roman" w:hAnsi="Times New Roman" w:cs="Times New Roman"/>
                <w:sz w:val="22"/>
              </w:rPr>
            </w:pPr>
            <w:r>
              <w:rPr>
                <w:rFonts w:hint="eastAsia" w:ascii="Times New Roman" w:hAnsi="Times New Roman" w:cs="Times New Roman"/>
                <w:sz w:val="22"/>
              </w:rPr>
              <w:t>Spin coating</w:t>
            </w:r>
          </w:p>
        </w:tc>
        <w:tc>
          <w:tcPr>
            <w:tcW w:w="900" w:type="dxa"/>
            <w:shd w:val="clear" w:color="auto" w:fill="F1F1F1" w:themeFill="background1" w:themeFillShade="F2"/>
            <w:noWrap/>
          </w:tcPr>
          <w:p w14:paraId="27774596">
            <w:pPr>
              <w:jc w:val="center"/>
              <w:rPr>
                <w:rFonts w:ascii="Times New Roman" w:hAnsi="Times New Roman" w:cs="Times New Roman"/>
                <w:sz w:val="22"/>
              </w:rPr>
            </w:pPr>
            <w:r>
              <w:rPr>
                <w:rFonts w:ascii="Times New Roman" w:hAnsi="Times New Roman" w:cs="Times New Roman"/>
                <w:sz w:val="22"/>
              </w:rPr>
              <w:t>r.t.</w:t>
            </w:r>
          </w:p>
        </w:tc>
        <w:tc>
          <w:tcPr>
            <w:tcW w:w="818" w:type="dxa"/>
            <w:shd w:val="clear" w:color="auto" w:fill="F1F1F1" w:themeFill="background1" w:themeFillShade="F2"/>
            <w:noWrap/>
          </w:tcPr>
          <w:p w14:paraId="2431A12A">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{"citationID":"gzT9Qtre","properties":{"formattedCitation":"\\super 11\\nosupersub{}","plainCitation":"11","noteIndex":0},"citationItems":[{"id":2809,"uris":["http://zotero.org/users/16084765/items/5G8GZAQ4"],"itemData":{"i</w:instrText>
            </w:r>
            <w:r>
              <w:rPr>
                <w:rFonts w:hint="eastAsia" w:ascii="Times New Roman" w:hAnsi="Times New Roman" w:cs="Times New Roman"/>
                <w:sz w:val="22"/>
                <w:vertAlign w:val="baseline"/>
              </w:rPr>
              <w:instrText xml:space="preserve">d":2809,"type":"article-journal","abstract":"Abstract\n            The urgent demand for renewable energy has attracted widespread interest in polymer‐based thermoelectric materials due to easy fabrication, high flexibility, low toxicity, low thermal cond</w:instrText>
            </w:r>
            <w:r>
              <w:rPr>
                <w:rFonts w:ascii="Times New Roman" w:hAnsi="Times New Roman" w:cs="Times New Roman"/>
                <w:sz w:val="22"/>
                <w:vertAlign w:val="baseline"/>
              </w:rPr>
              <w:instrText xml:space="preserve">uctivity, and great potential in industrial applications. However, the power factors of the polymers are still quite low compared with those of their inorganic counterparts, resulting in a low energy conversion efficiency. Highly conductive carbon materia</w:instrText>
            </w:r>
            <w:r>
              <w:rPr>
                <w:rFonts w:hint="eastAsia" w:ascii="Times New Roman" w:hAnsi="Times New Roman" w:cs="Times New Roman"/>
                <w:sz w:val="22"/>
                <w:vertAlign w:val="baseline"/>
              </w:rPr>
              <w:instrText xml:space="preserve">ls, including graphene and carbon nanotubes, have recently been incorporated into the polymer matrix through intrinsic chemical intimacy, providing new opportunities to tune the thermoelectric properties. In particular, the characteristic π‐π coupling and other interactions between the two components have contributed to unique mechanisms for better thermoelectric performance beyond the simple rule of mixtures. This paper aims to review the up‐to‐date progress in polymer/carbon nanocomposites along with va</w:instrText>
            </w:r>
            <w:r>
              <w:rPr>
                <w:rFonts w:ascii="Times New Roman" w:hAnsi="Times New Roman" w:cs="Times New Roman"/>
                <w:sz w:val="22"/>
                <w:vertAlign w:val="baseline"/>
              </w:rPr>
              <w:instrText xml:space="preserve">rious compositions and novel synthetic strategies. The salient aspects of this review are characteristic interactions and various mechanisms, which might result in enhanced thermoelectric properties and subsequent potential applications in energy harvesti</w:instrText>
            </w:r>
            <w:r>
              <w:rPr>
                <w:rFonts w:hint="eastAsia" w:ascii="Times New Roman" w:hAnsi="Times New Roman" w:cs="Times New Roman"/>
                <w:sz w:val="22"/>
                <w:vertAlign w:val="baseline"/>
              </w:rPr>
              <w:instrText xml:space="preserve">ng, wearable electronics, photo‐thermoelectrics, and other devices.","citation-key":"liangPolymerCarbonComposites2023","container-title":"Advanced Functional Materials","DOI":"10.1002/adfm.202208813","ISSN":"1616-301X, 1616-3028","issue":"9","journalAbbreviation":"Adv. Funct. Mater.","language":"en","note":"JCR分区: Q1\n中科院分区升级版: 材料科学1区\n影响因子: 19.0\n5年影响因子: 19.4\nEI: 是\nESI: 材料科学\n南农高质量: A","page":"2208813","source":"DOI.org (Crossref)","title":"Polymer/carbon composites with versatile interfacial interacti</w:instrText>
            </w:r>
            <w:r>
              <w:rPr>
                <w:rFonts w:ascii="Times New Roman" w:hAnsi="Times New Roman" w:cs="Times New Roman"/>
                <w:sz w:val="22"/>
                <w:vertAlign w:val="baseline"/>
              </w:rPr>
              <w:instrText xml:space="preserve">ons for high performance carbon-based thermoelectrics: principles and applications","title-short":"Polymer/carbon composites with versatile interfacial interactions for high performance carbon-based thermoelectrics","volume":"33","author":[{"family":"Liang","given":"Jia"},{"family":"Cui","given":"Ruopeng"},{"family":"Zhang","given":"Xuefei"},{"family":"Koumoto","given":"Kunihito"},{"family":"Wan","given":"Chunlei"}],"issued":{"date-parts":[["2023",2]]}}}],"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11</w:t>
            </w:r>
            <w:r>
              <w:rPr>
                <w:rFonts w:ascii="Times New Roman" w:hAnsi="Times New Roman" w:cs="Times New Roman"/>
                <w:sz w:val="22"/>
                <w:vertAlign w:val="baseline"/>
              </w:rPr>
              <w:fldChar w:fldCharType="end"/>
            </w:r>
          </w:p>
        </w:tc>
      </w:tr>
      <w:tr w14:paraId="1FCA8122">
        <w:tblPrEx>
          <w:tblCellMar>
            <w:top w:w="0" w:type="dxa"/>
            <w:left w:w="108" w:type="dxa"/>
            <w:bottom w:w="0" w:type="dxa"/>
            <w:right w:w="108" w:type="dxa"/>
          </w:tblCellMar>
        </w:tblPrEx>
        <w:trPr>
          <w:trHeight w:val="270" w:hRule="atLeast"/>
          <w:jc w:val="center"/>
        </w:trPr>
        <w:tc>
          <w:tcPr>
            <w:tcW w:w="3099" w:type="dxa"/>
            <w:noWrap/>
          </w:tcPr>
          <w:p w14:paraId="3DD82000">
            <w:pPr>
              <w:jc w:val="left"/>
              <w:rPr>
                <w:rFonts w:ascii="Times New Roman" w:hAnsi="Times New Roman" w:cs="Times New Roman"/>
                <w:b/>
                <w:bCs/>
                <w:sz w:val="22"/>
              </w:rPr>
            </w:pPr>
            <w:r>
              <w:rPr>
                <w:rFonts w:ascii="Times New Roman" w:hAnsi="Times New Roman" w:cs="Times New Roman"/>
                <w:b w:val="0"/>
                <w:bCs w:val="0"/>
                <w:sz w:val="22"/>
              </w:rPr>
              <w:t>PE/G/GNP</w:t>
            </w:r>
          </w:p>
        </w:tc>
        <w:tc>
          <w:tcPr>
            <w:tcW w:w="1590" w:type="dxa"/>
            <w:noWrap/>
          </w:tcPr>
          <w:p w14:paraId="6032C914">
            <w:pPr>
              <w:jc w:val="center"/>
              <w:rPr>
                <w:rFonts w:ascii="Times New Roman" w:hAnsi="Times New Roman" w:cs="Times New Roman"/>
                <w:sz w:val="22"/>
              </w:rPr>
            </w:pPr>
            <w:r>
              <w:rPr>
                <w:rFonts w:ascii="Times New Roman" w:hAnsi="Times New Roman" w:cs="Times New Roman"/>
                <w:sz w:val="22"/>
              </w:rPr>
              <w:t>42060</w:t>
            </w:r>
          </w:p>
        </w:tc>
        <w:tc>
          <w:tcPr>
            <w:tcW w:w="2115" w:type="dxa"/>
            <w:noWrap/>
          </w:tcPr>
          <w:p w14:paraId="37270178">
            <w:pPr>
              <w:jc w:val="center"/>
              <w:rPr>
                <w:rFonts w:ascii="Times New Roman" w:hAnsi="Times New Roman" w:cs="Times New Roman"/>
                <w:sz w:val="22"/>
              </w:rPr>
            </w:pPr>
            <w:r>
              <w:rPr>
                <w:rFonts w:ascii="Times New Roman" w:hAnsi="Times New Roman" w:cs="Times New Roman"/>
                <w:sz w:val="22"/>
              </w:rPr>
              <w:t>Hot Pressing</w:t>
            </w:r>
          </w:p>
        </w:tc>
        <w:tc>
          <w:tcPr>
            <w:tcW w:w="900" w:type="dxa"/>
            <w:noWrap/>
          </w:tcPr>
          <w:p w14:paraId="25DB7E4B">
            <w:pPr>
              <w:jc w:val="center"/>
              <w:rPr>
                <w:rFonts w:ascii="Times New Roman" w:hAnsi="Times New Roman" w:cs="Times New Roman"/>
                <w:sz w:val="22"/>
              </w:rPr>
            </w:pPr>
            <w:r>
              <w:rPr>
                <w:rFonts w:ascii="Times New Roman" w:hAnsi="Times New Roman" w:cs="Times New Roman"/>
                <w:sz w:val="22"/>
              </w:rPr>
              <w:t>160</w:t>
            </w:r>
          </w:p>
        </w:tc>
        <w:tc>
          <w:tcPr>
            <w:tcW w:w="818" w:type="dxa"/>
            <w:noWrap/>
          </w:tcPr>
          <w:p w14:paraId="096183C3">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{"citationID":"dLRTgzQf","properties":{"formattedCitation":"\\super 12\\nosupersub{}","plainCitation":"12","noteIndex":0},"citationItems":[{"id":2870,"uris":["http://zotero.org/users/16084765/items/L6IP824M"],"itemData":{"i</w:instrText>
            </w:r>
            <w:r>
              <w:rPr>
                <w:rFonts w:hint="eastAsia" w:ascii="Times New Roman" w:hAnsi="Times New Roman" w:cs="Times New Roman"/>
                <w:sz w:val="22"/>
                <w:vertAlign w:val="baseline"/>
              </w:rPr>
              <w:instrText xml:space="preserve">d":2870,"type":"article-journal","citation-key":"liaoHighlyconductiveCompositeBipolar2020","container-title":"Renewable Energy","DOI":"10.1016/j.renene.2020.01.155","ISSN":"09601481","journalAbbreviation":"Renewable Energy","language":"en","note":"JCR分区: Q1\n中科院分区升级版: 工程技术1区\n影响因子: 9.1\n5年影响因子: 8.3\nEI: 是\nESI: 工程科学\n南农高质量: A","page":"1310-1316","source":"DOI.org (Crossref)","title":"Highly-conductive composite bipolar plate based on ternary carbon materials and its performance in redox flow batteries","v</w:instrText>
            </w:r>
            <w:r>
              <w:rPr>
                <w:rFonts w:ascii="Times New Roman" w:hAnsi="Times New Roman" w:cs="Times New Roman"/>
                <w:sz w:val="22"/>
                <w:vertAlign w:val="baseline"/>
              </w:rPr>
              <w:instrText xml:space="preserve">olume":"152","author":[{"family":"Liao","given":"Weineng"},{"family":"Jiang","given":"Fengjing"},{"family":"Zhang","given":"Yue"},{"family":"Zhou","given":"Xinjie"},{"family":"He","given":"Zongqi"}],"issued":{"date-parts":[["2020",6]]}}}],"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12</w:t>
            </w:r>
            <w:r>
              <w:rPr>
                <w:rFonts w:ascii="Times New Roman" w:hAnsi="Times New Roman" w:cs="Times New Roman"/>
                <w:sz w:val="22"/>
                <w:vertAlign w:val="baseline"/>
              </w:rPr>
              <w:fldChar w:fldCharType="end"/>
            </w:r>
          </w:p>
        </w:tc>
      </w:tr>
      <w:tr w14:paraId="684A8211">
        <w:tblPrEx>
          <w:tblCellMar>
            <w:top w:w="0" w:type="dxa"/>
            <w:left w:w="108" w:type="dxa"/>
            <w:bottom w:w="0" w:type="dxa"/>
            <w:right w:w="108" w:type="dxa"/>
          </w:tblCellMar>
        </w:tblPrEx>
        <w:trPr>
          <w:trHeight w:val="270" w:hRule="atLeast"/>
          <w:jc w:val="center"/>
        </w:trPr>
        <w:tc>
          <w:tcPr>
            <w:tcW w:w="3099" w:type="dxa"/>
            <w:shd w:val="clear" w:color="auto" w:fill="F1F1F1" w:themeFill="background1" w:themeFillShade="F2"/>
            <w:noWrap/>
          </w:tcPr>
          <w:p w14:paraId="57063E47">
            <w:pPr>
              <w:jc w:val="left"/>
              <w:rPr>
                <w:rFonts w:ascii="Times New Roman" w:hAnsi="Times New Roman" w:cs="Times New Roman"/>
                <w:b/>
                <w:bCs/>
                <w:sz w:val="22"/>
              </w:rPr>
            </w:pPr>
            <w:r>
              <w:rPr>
                <w:rFonts w:ascii="Times New Roman" w:hAnsi="Times New Roman" w:cs="Times New Roman"/>
                <w:b w:val="0"/>
                <w:bCs w:val="0"/>
                <w:sz w:val="22"/>
              </w:rPr>
              <w:t>nZVI-SW/DWCNT</w:t>
            </w:r>
          </w:p>
        </w:tc>
        <w:tc>
          <w:tcPr>
            <w:tcW w:w="1590" w:type="dxa"/>
            <w:shd w:val="clear" w:color="auto" w:fill="F1F1F1" w:themeFill="background1" w:themeFillShade="F2"/>
            <w:noWrap/>
          </w:tcPr>
          <w:p w14:paraId="100FF4B4">
            <w:pPr>
              <w:jc w:val="center"/>
              <w:rPr>
                <w:rFonts w:ascii="Times New Roman" w:hAnsi="Times New Roman" w:cs="Times New Roman"/>
                <w:sz w:val="22"/>
              </w:rPr>
            </w:pPr>
            <w:r>
              <w:rPr>
                <w:rFonts w:ascii="Times New Roman" w:hAnsi="Times New Roman" w:cs="Times New Roman"/>
                <w:sz w:val="22"/>
              </w:rPr>
              <w:t>40098</w:t>
            </w:r>
          </w:p>
        </w:tc>
        <w:tc>
          <w:tcPr>
            <w:tcW w:w="2115" w:type="dxa"/>
            <w:shd w:val="clear" w:color="auto" w:fill="F1F1F1" w:themeFill="background1" w:themeFillShade="F2"/>
            <w:noWrap/>
          </w:tcPr>
          <w:p w14:paraId="3EE9628E">
            <w:pPr>
              <w:jc w:val="center"/>
              <w:rPr>
                <w:rFonts w:ascii="Times New Roman" w:hAnsi="Times New Roman" w:cs="Times New Roman"/>
                <w:sz w:val="22"/>
              </w:rPr>
            </w:pPr>
            <w:r>
              <w:rPr>
                <w:rFonts w:ascii="Times New Roman" w:hAnsi="Times New Roman" w:cs="Times New Roman"/>
                <w:sz w:val="22"/>
              </w:rPr>
              <w:t>Vacuum</w:t>
            </w:r>
            <w:r>
              <w:rPr>
                <w:rFonts w:hint="eastAsia" w:ascii="Times New Roman" w:hAnsi="Times New Roman" w:cs="Times New Roman"/>
                <w:sz w:val="22"/>
              </w:rPr>
              <w:t xml:space="preserve"> filtration</w:t>
            </w:r>
          </w:p>
        </w:tc>
        <w:tc>
          <w:tcPr>
            <w:tcW w:w="900" w:type="dxa"/>
            <w:shd w:val="clear" w:color="auto" w:fill="F1F1F1" w:themeFill="background1" w:themeFillShade="F2"/>
            <w:noWrap/>
          </w:tcPr>
          <w:p w14:paraId="120E0DE2">
            <w:pPr>
              <w:jc w:val="center"/>
              <w:rPr>
                <w:rFonts w:ascii="Times New Roman" w:hAnsi="Times New Roman" w:cs="Times New Roman"/>
                <w:sz w:val="22"/>
              </w:rPr>
            </w:pPr>
            <w:r>
              <w:rPr>
                <w:rFonts w:ascii="Times New Roman" w:hAnsi="Times New Roman" w:cs="Times New Roman"/>
                <w:sz w:val="22"/>
              </w:rPr>
              <w:t>r.t.</w:t>
            </w:r>
          </w:p>
        </w:tc>
        <w:tc>
          <w:tcPr>
            <w:tcW w:w="818" w:type="dxa"/>
            <w:shd w:val="clear" w:color="auto" w:fill="F1F1F1" w:themeFill="background1" w:themeFillShade="F2"/>
            <w:noWrap/>
          </w:tcPr>
          <w:p w14:paraId="4868D788">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{"citationID":"EtYoqymX","properties":{"formattedCitation":"\\super 8\\nosupersub{}","plainCitation":"8","noteIndex":0},"citationItems":[{"id":2871,"uris":["http://zotero.org/users/16084765/items/4VRUMYPI"],"itemData":{"id":2871,"type":"article-journal","citation-key":"sutherlandElectrocatalyticMicrofiltrationMembranes2020","container-title":"Journal of Membrane Science","DOI":"10.1016/j.memsci.2020.118335","ISSN":"03767388","journalAbbreviation":"J. Membr. Sci.","language"</w:instrText>
            </w:r>
            <w:r>
              <w:rPr>
                <w:rFonts w:hint="eastAsia" w:ascii="Times New Roman" w:hAnsi="Times New Roman" w:cs="Times New Roman"/>
                <w:sz w:val="22"/>
                <w:vertAlign w:val="baseline"/>
              </w:rPr>
              <w:instrText xml:space="preserve">:"en","note":"JCR分区: Q1\n中科院分区升级版: 工程技术1区\n影响因子: 9.0\n5年影响因子: 8.8\nEI: 是\nESI: 化学\n南农高质量: A","page":"118335","source":"DOI.org (Crossref)","title":"Electro-catalytic microfiltration membranes electrochemically degrade azo dyes in solution","volume":"611",</w:instrText>
            </w:r>
            <w:r>
              <w:rPr>
                <w:rFonts w:ascii="Times New Roman" w:hAnsi="Times New Roman" w:cs="Times New Roman"/>
                <w:sz w:val="22"/>
                <w:vertAlign w:val="baseline"/>
              </w:rPr>
              <w:instrText xml:space="preserve">"author":[{"family":"Sutherland","given":"Alexander J."},{"family":"Ruiz-Caldas","given":"Maria-Ximena"},{"family":"De Lannoy","given":"Charles-François"}],"issued":{"date-parts":[["2020",10]]}}}],"schema":"https://github.com/citation-style-language/schema/raw/master/csl-citation.json"}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8</w:t>
            </w:r>
            <w:r>
              <w:rPr>
                <w:rFonts w:ascii="Times New Roman" w:hAnsi="Times New Roman" w:cs="Times New Roman"/>
                <w:sz w:val="22"/>
                <w:vertAlign w:val="baseline"/>
              </w:rPr>
              <w:fldChar w:fldCharType="end"/>
            </w:r>
          </w:p>
        </w:tc>
      </w:tr>
      <w:tr w14:paraId="3AA8CE06">
        <w:tblPrEx>
          <w:tblCellMar>
            <w:top w:w="0" w:type="dxa"/>
            <w:left w:w="108" w:type="dxa"/>
            <w:bottom w:w="0" w:type="dxa"/>
            <w:right w:w="108" w:type="dxa"/>
          </w:tblCellMar>
        </w:tblPrEx>
        <w:trPr>
          <w:trHeight w:val="270" w:hRule="atLeast"/>
          <w:jc w:val="center"/>
        </w:trPr>
        <w:tc>
          <w:tcPr>
            <w:tcW w:w="3099" w:type="dxa"/>
            <w:noWrap/>
          </w:tcPr>
          <w:p w14:paraId="2B5D3A4A">
            <w:pPr>
              <w:jc w:val="left"/>
              <w:rPr>
                <w:rFonts w:ascii="Times New Roman" w:hAnsi="Times New Roman" w:cs="Times New Roman"/>
                <w:b/>
                <w:bCs/>
                <w:sz w:val="22"/>
              </w:rPr>
            </w:pPr>
            <w:r>
              <w:fldChar w:fldCharType="begin"/>
            </w:r>
            <w:r>
              <w:instrText xml:space="preserve"> HYPERLINK "https://www.sciencedirect.com/topics/engineering/bipolar-plate" \o "Learn more about BPs from ScienceDirect's AI-generated Topic Pages" </w:instrText>
            </w:r>
            <w:r>
              <w:fldChar w:fldCharType="separate"/>
            </w:r>
            <w:r>
              <w:rPr>
                <w:rStyle w:val="21"/>
                <w:rFonts w:ascii="Times New Roman" w:hAnsi="Times New Roman" w:cs="Times New Roman"/>
                <w:b w:val="0"/>
                <w:bCs w:val="0"/>
                <w:color w:val="auto"/>
                <w:u w:val="none"/>
              </w:rPr>
              <w:t>F</w:t>
            </w:r>
            <w:r>
              <w:rPr>
                <w:rStyle w:val="21"/>
                <w:rFonts w:ascii="Times New Roman" w:hAnsi="Times New Roman" w:cs="Times New Roman"/>
                <w:b w:val="0"/>
                <w:bCs w:val="0"/>
                <w:color w:val="auto"/>
                <w:sz w:val="22"/>
                <w:u w:val="none"/>
              </w:rPr>
              <w:t>lexible graphite</w:t>
            </w:r>
            <w:r>
              <w:rPr>
                <w:rStyle w:val="21"/>
                <w:rFonts w:hint="eastAsia" w:ascii="Times New Roman" w:hAnsi="Times New Roman" w:cs="Times New Roman"/>
                <w:b w:val="0"/>
                <w:bCs w:val="0"/>
                <w:color w:val="auto"/>
                <w:sz w:val="22"/>
                <w:u w:val="none"/>
              </w:rPr>
              <w:t xml:space="preserve"> </w:t>
            </w:r>
            <w:r>
              <w:rPr>
                <w:rStyle w:val="21"/>
                <w:rFonts w:ascii="Times New Roman" w:hAnsi="Times New Roman" w:cs="Times New Roman"/>
                <w:b w:val="0"/>
                <w:bCs w:val="0"/>
                <w:color w:val="auto"/>
                <w:sz w:val="22"/>
                <w:u w:val="none"/>
              </w:rPr>
              <w:t>composite BPs</w:t>
            </w:r>
            <w:r>
              <w:rPr>
                <w:rStyle w:val="21"/>
                <w:rFonts w:ascii="Times New Roman" w:hAnsi="Times New Roman" w:cs="Times New Roman"/>
                <w:b w:val="0"/>
                <w:bCs w:val="0"/>
                <w:color w:val="auto"/>
                <w:sz w:val="22"/>
                <w:u w:val="none"/>
              </w:rPr>
              <w:fldChar w:fldCharType="end"/>
            </w:r>
          </w:p>
        </w:tc>
        <w:tc>
          <w:tcPr>
            <w:tcW w:w="1590" w:type="dxa"/>
            <w:noWrap/>
          </w:tcPr>
          <w:p w14:paraId="438115DD">
            <w:pPr>
              <w:jc w:val="center"/>
              <w:rPr>
                <w:rFonts w:ascii="Times New Roman" w:hAnsi="Times New Roman" w:cs="Times New Roman"/>
                <w:sz w:val="22"/>
              </w:rPr>
            </w:pPr>
            <w:r>
              <w:rPr>
                <w:rFonts w:ascii="Times New Roman" w:hAnsi="Times New Roman" w:cs="Times New Roman"/>
                <w:sz w:val="22"/>
              </w:rPr>
              <w:t>38000</w:t>
            </w:r>
          </w:p>
        </w:tc>
        <w:tc>
          <w:tcPr>
            <w:tcW w:w="2115" w:type="dxa"/>
            <w:noWrap/>
          </w:tcPr>
          <w:p w14:paraId="30B6DFFF">
            <w:pPr>
              <w:jc w:val="center"/>
              <w:rPr>
                <w:rFonts w:ascii="Times New Roman" w:hAnsi="Times New Roman" w:cs="Times New Roman"/>
                <w:sz w:val="22"/>
              </w:rPr>
            </w:pPr>
            <w:r>
              <w:rPr>
                <w:rFonts w:ascii="Times New Roman" w:hAnsi="Times New Roman" w:cs="Times New Roman"/>
                <w:sz w:val="22"/>
              </w:rPr>
              <w:t>Hot Pressing</w:t>
            </w:r>
          </w:p>
        </w:tc>
        <w:tc>
          <w:tcPr>
            <w:tcW w:w="900" w:type="dxa"/>
            <w:noWrap/>
          </w:tcPr>
          <w:p w14:paraId="1DDD9E58">
            <w:pPr>
              <w:jc w:val="center"/>
              <w:rPr>
                <w:rFonts w:ascii="Times New Roman" w:hAnsi="Times New Roman" w:cs="Times New Roman"/>
                <w:sz w:val="22"/>
              </w:rPr>
            </w:pPr>
            <w:r>
              <w:rPr>
                <w:rFonts w:ascii="Times New Roman" w:hAnsi="Times New Roman" w:cs="Times New Roman"/>
                <w:sz w:val="22"/>
              </w:rPr>
              <w:t>110</w:t>
            </w:r>
          </w:p>
        </w:tc>
        <w:tc>
          <w:tcPr>
            <w:tcW w:w="818" w:type="dxa"/>
            <w:noWrap/>
          </w:tcPr>
          <w:p w14:paraId="27378AEA">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{"citationID":"hXm34ASF","properties":{"formattedCitation":"\\super 13\\nosupersub{}","plainCitation":"13","noteIndex":0},"citationItems":[{"id":2874,"uris":["http://zotero.org/users/16084765/items/MEE2CGSM"],"itemData":{"id":2874,"type":"article-journal","citation-key":"zhuUltrathinFlexibleGraphite2024","container-title":"International Journal of Hydrogen Energy","DOI":"10.1016/j.ijhydene.2024.07.126","ISSN":"03603199","journalAbbreviation":"Int. J. Hydrogen Energy","langu</w:instrText>
            </w:r>
            <w:r>
              <w:rPr>
                <w:rFonts w:hint="eastAsia" w:ascii="Times New Roman" w:hAnsi="Times New Roman" w:cs="Times New Roman"/>
                <w:sz w:val="22"/>
                <w:vertAlign w:val="baseline"/>
              </w:rPr>
              <w:instrText xml:space="preserve">age":"en","note":"JCR分区: Q1\n中科院分区升级版: 材料科学2区\n影响因子: 8.3\n5年影响因子: 7.7\nEI: 是\nESI: 工程科学\n南农高质量: A","page":"1347-1356","source":"DOI.org (Crossref)","title":"The ultra-thin flexible graphite/epoxy bipolar plates adjusted by different surface tension modifi</w:instrText>
            </w:r>
            <w:r>
              <w:rPr>
                <w:rFonts w:ascii="Times New Roman" w:hAnsi="Times New Roman" w:cs="Times New Roman"/>
                <w:sz w:val="22"/>
                <w:vertAlign w:val="baseline"/>
              </w:rPr>
              <w:instrText xml:space="preserve">ers and application in the fuel cell stack","volume":"79","author":[{"family":"Zhu","given":"Cunbing"},{"family":"Zhang","given":"Ye"},{"family":"Huang","given":"Xilong"},{"family":"Zeng","given":"Linghong"},{"family":"Chen","given":"Yongli"},{"family":"Wang","given":"Lu"},{"family":"Lv","given":"Wenyan"}],"issued":{"date-parts":[["2024",8]]}}}],"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13</w:t>
            </w:r>
            <w:r>
              <w:rPr>
                <w:rFonts w:ascii="Times New Roman" w:hAnsi="Times New Roman" w:cs="Times New Roman"/>
                <w:sz w:val="22"/>
                <w:vertAlign w:val="baseline"/>
              </w:rPr>
              <w:fldChar w:fldCharType="end"/>
            </w:r>
          </w:p>
        </w:tc>
      </w:tr>
      <w:tr w14:paraId="459224A5">
        <w:tblPrEx>
          <w:tblCellMar>
            <w:top w:w="0" w:type="dxa"/>
            <w:left w:w="108" w:type="dxa"/>
            <w:bottom w:w="0" w:type="dxa"/>
            <w:right w:w="108" w:type="dxa"/>
          </w:tblCellMar>
        </w:tblPrEx>
        <w:trPr>
          <w:trHeight w:val="300" w:hRule="atLeast"/>
          <w:jc w:val="center"/>
        </w:trPr>
        <w:tc>
          <w:tcPr>
            <w:tcW w:w="3099" w:type="dxa"/>
            <w:shd w:val="clear" w:color="auto" w:fill="F1F1F1" w:themeFill="background1" w:themeFillShade="F2"/>
            <w:noWrap/>
          </w:tcPr>
          <w:p w14:paraId="2ABF64C4">
            <w:pPr>
              <w:jc w:val="left"/>
              <w:rPr>
                <w:rFonts w:ascii="Times New Roman" w:hAnsi="Times New Roman" w:cs="Times New Roman"/>
                <w:b/>
                <w:bCs/>
                <w:sz w:val="22"/>
              </w:rPr>
            </w:pPr>
            <w:r>
              <w:rPr>
                <w:rFonts w:hint="eastAsia" w:ascii="Times New Roman" w:hAnsi="Times New Roman" w:cs="Times New Roman"/>
                <w:b w:val="0"/>
                <w:bCs w:val="0"/>
                <w:sz w:val="22"/>
              </w:rPr>
              <w:t>E</w:t>
            </w:r>
            <w:r>
              <w:rPr>
                <w:rFonts w:ascii="Times New Roman" w:hAnsi="Times New Roman" w:cs="Times New Roman"/>
                <w:b w:val="0"/>
                <w:bCs w:val="0"/>
                <w:sz w:val="22"/>
              </w:rPr>
              <w:t>lectrochemical filtration carbon membranes</w:t>
            </w:r>
          </w:p>
        </w:tc>
        <w:tc>
          <w:tcPr>
            <w:tcW w:w="1590" w:type="dxa"/>
            <w:shd w:val="clear" w:color="auto" w:fill="F1F1F1" w:themeFill="background1" w:themeFillShade="F2"/>
            <w:noWrap/>
          </w:tcPr>
          <w:p w14:paraId="00895821">
            <w:pPr>
              <w:jc w:val="center"/>
              <w:rPr>
                <w:rFonts w:ascii="Times New Roman" w:hAnsi="Times New Roman" w:cs="Times New Roman"/>
                <w:sz w:val="22"/>
              </w:rPr>
            </w:pPr>
            <w:r>
              <w:rPr>
                <w:rFonts w:ascii="Times New Roman" w:hAnsi="Times New Roman" w:cs="Times New Roman"/>
                <w:sz w:val="22"/>
              </w:rPr>
              <w:t>33000</w:t>
            </w:r>
          </w:p>
        </w:tc>
        <w:tc>
          <w:tcPr>
            <w:tcW w:w="2115" w:type="dxa"/>
            <w:shd w:val="clear" w:color="auto" w:fill="F1F1F1" w:themeFill="background1" w:themeFillShade="F2"/>
            <w:noWrap/>
          </w:tcPr>
          <w:p w14:paraId="2778FB08">
            <w:pPr>
              <w:jc w:val="center"/>
              <w:rPr>
                <w:rFonts w:ascii="Times New Roman" w:hAnsi="Times New Roman" w:cs="Times New Roman"/>
                <w:sz w:val="22"/>
              </w:rPr>
            </w:pPr>
            <w:r>
              <w:rPr>
                <w:rFonts w:ascii="Times New Roman" w:hAnsi="Times New Roman" w:cs="Times New Roman"/>
                <w:sz w:val="22"/>
              </w:rPr>
              <w:t>Calcination</w:t>
            </w:r>
          </w:p>
        </w:tc>
        <w:tc>
          <w:tcPr>
            <w:tcW w:w="900" w:type="dxa"/>
            <w:shd w:val="clear" w:color="auto" w:fill="F1F1F1" w:themeFill="background1" w:themeFillShade="F2"/>
            <w:noWrap/>
          </w:tcPr>
          <w:p w14:paraId="46688FC0">
            <w:pPr>
              <w:jc w:val="center"/>
              <w:rPr>
                <w:rFonts w:ascii="Times New Roman" w:hAnsi="Times New Roman" w:cs="Times New Roman"/>
                <w:sz w:val="22"/>
              </w:rPr>
            </w:pPr>
            <w:r>
              <w:rPr>
                <w:rFonts w:ascii="Times New Roman" w:hAnsi="Times New Roman" w:cs="Times New Roman"/>
                <w:sz w:val="22"/>
              </w:rPr>
              <w:t>950</w:t>
            </w:r>
          </w:p>
        </w:tc>
        <w:tc>
          <w:tcPr>
            <w:tcW w:w="818" w:type="dxa"/>
            <w:shd w:val="clear" w:color="auto" w:fill="F1F1F1" w:themeFill="background1" w:themeFillShade="F2"/>
            <w:noWrap/>
          </w:tcPr>
          <w:p w14:paraId="67AC137A">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{"citationID":"wTAhPhzU","properties":{"formattedCitation":"\\super 14\\nosupersub{}","plainCitation":"14","noteIndex":0},"citationItems":[{"id":2897,"uris":["http://zotero.org/users/16084765/items/XY38SQJ4"],"itemData":{"id":2897,"type":"article-journal","citation-key":"panLowcostElectrochemicalFiltration2020","container-title":"Chemical Engineering Journal","DOI":"10.1016/j.cej.2019.123928","ISSN":"13858947","journalAbbreviation":"Chem. Eng. J.","language":"en","note":"JC</w:instrText>
            </w:r>
            <w:r>
              <w:rPr>
                <w:rFonts w:hint="eastAsia" w:ascii="Times New Roman" w:hAnsi="Times New Roman" w:cs="Times New Roman"/>
                <w:sz w:val="22"/>
                <w:vertAlign w:val="baseline"/>
              </w:rPr>
              <w:instrText xml:space="preserve">R分区: Q1\n中科院分区升级版: 材料科学1区\n影响因子: 13.2\n5年影响因子: 13.5\nEI: 是\nESI: 工程科学\n南农高质量: A","page":"123928","source":"DOI.org (Crossref)","title":"Low-cost electrochemical filtration carbon membrane prepared from coal via self-bonding","volume":"385","author":[{"fam</w:instrText>
            </w:r>
            <w:r>
              <w:rPr>
                <w:rFonts w:ascii="Times New Roman" w:hAnsi="Times New Roman" w:cs="Times New Roman"/>
                <w:sz w:val="22"/>
                <w:vertAlign w:val="baseline"/>
              </w:rPr>
              <w:instrText xml:space="preserve">ily":"Pan","given":"Zonglin"},{"family":"Yu","given":"Fangpeng"},{"family":"Li","given":"Lin"},{"family":"Liu","given":"Ming"},{"family":"Song","given":"Chengwen"},{"family":"Yang","given":"Jiawei"},{"family":"Li","given":"Hanxu"},{"family":"Wang","given":"Chunlei"},{"family":"Pan","given":"Yanqiu"},{"family":"Wang","given":"Tonghua"}],"issued":{"date-parts":[["2020",4]]}}}],"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14</w:t>
            </w:r>
            <w:r>
              <w:rPr>
                <w:rFonts w:ascii="Times New Roman" w:hAnsi="Times New Roman" w:cs="Times New Roman"/>
                <w:sz w:val="22"/>
                <w:vertAlign w:val="baseline"/>
              </w:rPr>
              <w:fldChar w:fldCharType="end"/>
            </w:r>
          </w:p>
        </w:tc>
      </w:tr>
      <w:tr w14:paraId="1463D6D9">
        <w:tblPrEx>
          <w:tblCellMar>
            <w:top w:w="0" w:type="dxa"/>
            <w:left w:w="108" w:type="dxa"/>
            <w:bottom w:w="0" w:type="dxa"/>
            <w:right w:w="108" w:type="dxa"/>
          </w:tblCellMar>
        </w:tblPrEx>
        <w:trPr>
          <w:trHeight w:val="270" w:hRule="atLeast"/>
          <w:jc w:val="center"/>
        </w:trPr>
        <w:tc>
          <w:tcPr>
            <w:tcW w:w="3099" w:type="dxa"/>
            <w:noWrap/>
          </w:tcPr>
          <w:p w14:paraId="57557A07">
            <w:pPr>
              <w:jc w:val="left"/>
              <w:rPr>
                <w:rFonts w:ascii="Times New Roman" w:hAnsi="Times New Roman" w:cs="Times New Roman"/>
                <w:b/>
                <w:bCs/>
                <w:sz w:val="22"/>
              </w:rPr>
            </w:pPr>
            <w:r>
              <w:rPr>
                <w:rFonts w:ascii="Times New Roman" w:hAnsi="Times New Roman" w:cs="Times New Roman"/>
                <w:b w:val="0"/>
                <w:bCs w:val="0"/>
                <w:sz w:val="22"/>
              </w:rPr>
              <w:t>EP/FG/GNP CGP</w:t>
            </w:r>
          </w:p>
        </w:tc>
        <w:tc>
          <w:tcPr>
            <w:tcW w:w="1590" w:type="dxa"/>
            <w:noWrap/>
          </w:tcPr>
          <w:p w14:paraId="06FE7ADA">
            <w:pPr>
              <w:jc w:val="center"/>
              <w:rPr>
                <w:rFonts w:ascii="Times New Roman" w:hAnsi="Times New Roman" w:cs="Times New Roman"/>
                <w:sz w:val="22"/>
              </w:rPr>
            </w:pPr>
            <w:r>
              <w:rPr>
                <w:rFonts w:ascii="Times New Roman" w:hAnsi="Times New Roman" w:cs="Times New Roman"/>
                <w:sz w:val="22"/>
              </w:rPr>
              <w:t>32200</w:t>
            </w:r>
          </w:p>
        </w:tc>
        <w:tc>
          <w:tcPr>
            <w:tcW w:w="2115" w:type="dxa"/>
            <w:noWrap/>
          </w:tcPr>
          <w:p w14:paraId="3F978814">
            <w:pPr>
              <w:jc w:val="center"/>
              <w:rPr>
                <w:rFonts w:ascii="Times New Roman" w:hAnsi="Times New Roman" w:cs="Times New Roman"/>
                <w:sz w:val="22"/>
              </w:rPr>
            </w:pPr>
            <w:r>
              <w:rPr>
                <w:rFonts w:ascii="Times New Roman" w:hAnsi="Times New Roman" w:cs="Times New Roman"/>
                <w:sz w:val="22"/>
              </w:rPr>
              <w:t>Hot Pressing</w:t>
            </w:r>
          </w:p>
        </w:tc>
        <w:tc>
          <w:tcPr>
            <w:tcW w:w="900" w:type="dxa"/>
            <w:noWrap/>
          </w:tcPr>
          <w:p w14:paraId="7CEC585F">
            <w:pPr>
              <w:jc w:val="center"/>
              <w:rPr>
                <w:rFonts w:ascii="Times New Roman" w:hAnsi="Times New Roman" w:cs="Times New Roman"/>
                <w:sz w:val="22"/>
              </w:rPr>
            </w:pPr>
            <w:r>
              <w:rPr>
                <w:rFonts w:ascii="Times New Roman" w:hAnsi="Times New Roman" w:cs="Times New Roman"/>
                <w:sz w:val="22"/>
              </w:rPr>
              <w:t>180</w:t>
            </w:r>
          </w:p>
        </w:tc>
        <w:tc>
          <w:tcPr>
            <w:tcW w:w="818" w:type="dxa"/>
            <w:noWrap/>
          </w:tcPr>
          <w:p w14:paraId="75ACF90A">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{"citationID":"0Yk6Phcn","properties":{"formattedCitation":"\\super 15\\nosupersub{}","plainCitation":"15","noteIndex":0},"citationItems":[{"id":2875,"uris":["http://zotero.org/users/16084765/items/KEMHE257"],"itemData":{"i</w:instrText>
            </w:r>
            <w:r>
              <w:rPr>
                <w:rFonts w:hint="eastAsia" w:ascii="Times New Roman" w:hAnsi="Times New Roman" w:cs="Times New Roman"/>
                <w:sz w:val="22"/>
                <w:vertAlign w:val="baseline"/>
              </w:rPr>
              <w:instrText xml:space="preserve">d":2875,"type":"article-journal","citation-key":"fanConductiveNetworkOptimization2022","container-title":"Chemical Engineering Journal","DOI":"10.1016/j.cej.2022.136652","ISSN":"13858947","journalAbbreviation":"Chem. Eng. J.","language":"en","note":"JCR分区: Q1\n中科院分区升级版: 材料科学1区\n影响因子: 13.2\n5年影响因子: 13.5\nEI: 是\nESI: 工程科学\n南农高质量: A","page":"136652","source":"DOI.org (Crossref)","title":"The conductive network optimization of composite graphite plates and its morphological analysis","volume":"446","author":[</w:instrText>
            </w:r>
            <w:r>
              <w:rPr>
                <w:rFonts w:ascii="Times New Roman" w:hAnsi="Times New Roman" w:cs="Times New Roman"/>
                <w:sz w:val="22"/>
                <w:vertAlign w:val="baseline"/>
              </w:rPr>
              <w:instrText xml:space="preserve">{"family":"Fan","given":"Runlin"},{"family":"Zheng","given":"Junsheng"},{"family":"Peng","given":"Yuhang"},{"family":"Chen","given":"Jing"},{"family":"Zhan","given":"Zize"},{"family":"Yao","given":"Dongmei"},{"family":"Zhang","given":"Cunman"},{"family":"Ming","given":"Pingwen"}],"issued":{"date-parts":[["2022",10]]}}}],"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15</w:t>
            </w:r>
            <w:r>
              <w:rPr>
                <w:rFonts w:ascii="Times New Roman" w:hAnsi="Times New Roman" w:cs="Times New Roman"/>
                <w:sz w:val="22"/>
                <w:vertAlign w:val="baseline"/>
              </w:rPr>
              <w:fldChar w:fldCharType="end"/>
            </w:r>
          </w:p>
        </w:tc>
      </w:tr>
      <w:tr w14:paraId="4BF75F02">
        <w:tblPrEx>
          <w:tblCellMar>
            <w:top w:w="0" w:type="dxa"/>
            <w:left w:w="108" w:type="dxa"/>
            <w:bottom w:w="0" w:type="dxa"/>
            <w:right w:w="108" w:type="dxa"/>
          </w:tblCellMar>
        </w:tblPrEx>
        <w:trPr>
          <w:trHeight w:val="270" w:hRule="atLeast"/>
          <w:jc w:val="center"/>
        </w:trPr>
        <w:tc>
          <w:tcPr>
            <w:tcW w:w="3099" w:type="dxa"/>
            <w:shd w:val="clear" w:color="auto" w:fill="F1F1F1" w:themeFill="background1" w:themeFillShade="F2"/>
            <w:noWrap/>
          </w:tcPr>
          <w:p w14:paraId="2995BB48">
            <w:pPr>
              <w:jc w:val="left"/>
              <w:rPr>
                <w:rFonts w:ascii="Times New Roman" w:hAnsi="Times New Roman" w:cs="Times New Roman"/>
                <w:b/>
                <w:bCs/>
                <w:sz w:val="22"/>
              </w:rPr>
            </w:pPr>
            <w:r>
              <w:fldChar w:fldCharType="begin"/>
            </w:r>
            <w:r>
              <w:instrText xml:space="preserve"> HYPERLINK "mailto:EP/EG/Ni@MF" </w:instrText>
            </w:r>
            <w:r>
              <w:fldChar w:fldCharType="separate"/>
            </w:r>
            <w:r>
              <w:rPr>
                <w:rStyle w:val="21"/>
                <w:rFonts w:ascii="Times New Roman" w:hAnsi="Times New Roman" w:cs="Times New Roman"/>
                <w:b w:val="0"/>
                <w:bCs w:val="0"/>
                <w:color w:val="auto"/>
                <w:sz w:val="22"/>
                <w:u w:val="none"/>
              </w:rPr>
              <w:t>EP/EG/Ni@MF</w:t>
            </w:r>
            <w:r>
              <w:rPr>
                <w:rStyle w:val="21"/>
                <w:rFonts w:ascii="Times New Roman" w:hAnsi="Times New Roman" w:cs="Times New Roman"/>
                <w:b w:val="0"/>
                <w:bCs w:val="0"/>
                <w:color w:val="auto"/>
                <w:sz w:val="22"/>
                <w:u w:val="none"/>
              </w:rPr>
              <w:fldChar w:fldCharType="end"/>
            </w:r>
          </w:p>
        </w:tc>
        <w:tc>
          <w:tcPr>
            <w:tcW w:w="1590" w:type="dxa"/>
            <w:shd w:val="clear" w:color="auto" w:fill="F1F1F1" w:themeFill="background1" w:themeFillShade="F2"/>
            <w:noWrap/>
          </w:tcPr>
          <w:p w14:paraId="67B69008">
            <w:pPr>
              <w:jc w:val="center"/>
              <w:rPr>
                <w:rFonts w:ascii="Times New Roman" w:hAnsi="Times New Roman" w:cs="Times New Roman"/>
                <w:sz w:val="22"/>
              </w:rPr>
            </w:pPr>
            <w:r>
              <w:rPr>
                <w:rFonts w:ascii="Times New Roman" w:hAnsi="Times New Roman" w:cs="Times New Roman"/>
                <w:sz w:val="22"/>
              </w:rPr>
              <w:t>32000</w:t>
            </w:r>
          </w:p>
        </w:tc>
        <w:tc>
          <w:tcPr>
            <w:tcW w:w="2115" w:type="dxa"/>
            <w:shd w:val="clear" w:color="auto" w:fill="F1F1F1" w:themeFill="background1" w:themeFillShade="F2"/>
            <w:noWrap/>
          </w:tcPr>
          <w:p w14:paraId="6CD5F358">
            <w:pPr>
              <w:jc w:val="center"/>
              <w:rPr>
                <w:rFonts w:ascii="Times New Roman" w:hAnsi="Times New Roman" w:cs="Times New Roman"/>
                <w:sz w:val="22"/>
              </w:rPr>
            </w:pPr>
            <w:r>
              <w:rPr>
                <w:rFonts w:ascii="Times New Roman" w:hAnsi="Times New Roman" w:cs="Times New Roman"/>
                <w:sz w:val="22"/>
              </w:rPr>
              <w:t>Cold Pressing</w:t>
            </w:r>
          </w:p>
        </w:tc>
        <w:tc>
          <w:tcPr>
            <w:tcW w:w="900" w:type="dxa"/>
            <w:shd w:val="clear" w:color="auto" w:fill="F1F1F1" w:themeFill="background1" w:themeFillShade="F2"/>
            <w:noWrap/>
          </w:tcPr>
          <w:p w14:paraId="5A457BA8">
            <w:pPr>
              <w:jc w:val="center"/>
              <w:rPr>
                <w:rFonts w:ascii="Times New Roman" w:hAnsi="Times New Roman" w:cs="Times New Roman"/>
                <w:sz w:val="22"/>
              </w:rPr>
            </w:pPr>
            <w:r>
              <w:rPr>
                <w:rFonts w:ascii="Times New Roman" w:hAnsi="Times New Roman" w:cs="Times New Roman"/>
                <w:sz w:val="22"/>
              </w:rPr>
              <w:t>60</w:t>
            </w:r>
          </w:p>
        </w:tc>
        <w:tc>
          <w:tcPr>
            <w:tcW w:w="818" w:type="dxa"/>
            <w:shd w:val="clear" w:color="auto" w:fill="F1F1F1" w:themeFill="background1" w:themeFillShade="F2"/>
            <w:noWrap/>
          </w:tcPr>
          <w:p w14:paraId="3A59BBC5">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{"citationID":"GvjL9ohZ","properties":{"formattedCitation":"\\super 16\\nosupersub{}","plainCitation":"16","noteIndex":0},"citationItems":[{"id":2876,"uris":["http://zotero.org/users/16084765/items/SZ8EJNN6"],"itemData":{"i</w:instrText>
            </w:r>
            <w:r>
              <w:rPr>
                <w:rFonts w:hint="eastAsia" w:ascii="Times New Roman" w:hAnsi="Times New Roman" w:cs="Times New Roman"/>
                <w:sz w:val="22"/>
                <w:vertAlign w:val="baseline"/>
              </w:rPr>
              <w:instrText xml:space="preserve">d":2876,"type":"article-journal","citation-key":"maoExpandedGraphiteEG2023","container-title":"Applied Energy","DOI":"10.1016/j.apenergy.2023.120929","ISSN":"03062619","journalAbbreviation":"Appl. Energy","language":"en","note":"JCR分区: Q1\n中科院分区升级版: 工程技术1区\n影响因子: 11.0\n5年影响因子: 11.2\nEI: 是\nESI: 工程科学\n南农高质量: A","page":"120929","source":"DOI.org (Crossref)","title":"Expanded graphite (EG)/ni@melamine foam (MF)/EG sandwich-structured flexible bipolar plate with excellent electrical conductivity, mechanical p</w:instrText>
            </w:r>
            <w:r>
              <w:rPr>
                <w:rFonts w:ascii="Times New Roman" w:hAnsi="Times New Roman" w:cs="Times New Roman"/>
                <w:sz w:val="22"/>
                <w:vertAlign w:val="baseline"/>
              </w:rPr>
              <w:instrText xml:space="preserve">roperties, and gas permeability","volume":"338","author":[{"family":"Mao","given":"Xiaoyu"},{"family":"Li","given":"Yifan"},{"family":"Hu","given":"Xiufeng"},{"family":"Tian","given":"Runping"},{"family":"Yu","given":"Wei"}],"issued":{"date-parts":[["2023",5]]}}}],"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16</w:t>
            </w:r>
            <w:r>
              <w:rPr>
                <w:rFonts w:ascii="Times New Roman" w:hAnsi="Times New Roman" w:cs="Times New Roman"/>
                <w:sz w:val="22"/>
                <w:vertAlign w:val="baseline"/>
              </w:rPr>
              <w:fldChar w:fldCharType="end"/>
            </w:r>
          </w:p>
        </w:tc>
      </w:tr>
      <w:tr w14:paraId="136FA189">
        <w:tblPrEx>
          <w:tblCellMar>
            <w:top w:w="0" w:type="dxa"/>
            <w:left w:w="108" w:type="dxa"/>
            <w:bottom w:w="0" w:type="dxa"/>
            <w:right w:w="108" w:type="dxa"/>
          </w:tblCellMar>
        </w:tblPrEx>
        <w:trPr>
          <w:trHeight w:val="285" w:hRule="atLeast"/>
          <w:jc w:val="center"/>
        </w:trPr>
        <w:tc>
          <w:tcPr>
            <w:tcW w:w="3099" w:type="dxa"/>
            <w:noWrap/>
          </w:tcPr>
          <w:p w14:paraId="78C536AF">
            <w:pPr>
              <w:jc w:val="left"/>
              <w:rPr>
                <w:rFonts w:ascii="Times New Roman" w:hAnsi="Times New Roman" w:cs="Times New Roman"/>
                <w:b/>
                <w:bCs/>
                <w:sz w:val="22"/>
              </w:rPr>
            </w:pPr>
            <w:r>
              <w:rPr>
                <w:rFonts w:ascii="Times New Roman" w:hAnsi="Times New Roman" w:cs="Times New Roman"/>
                <w:b w:val="0"/>
                <w:bCs w:val="0"/>
                <w:sz w:val="22"/>
              </w:rPr>
              <w:t>1-48%-4h TCF (This work)</w:t>
            </w:r>
          </w:p>
        </w:tc>
        <w:tc>
          <w:tcPr>
            <w:tcW w:w="1590" w:type="dxa"/>
            <w:noWrap/>
          </w:tcPr>
          <w:p w14:paraId="393A8B97">
            <w:pPr>
              <w:jc w:val="center"/>
              <w:rPr>
                <w:rFonts w:ascii="Times New Roman" w:hAnsi="Times New Roman" w:cs="Times New Roman"/>
                <w:sz w:val="22"/>
              </w:rPr>
            </w:pPr>
            <w:r>
              <w:rPr>
                <w:rFonts w:ascii="Times New Roman" w:hAnsi="Times New Roman" w:cs="Times New Roman"/>
                <w:sz w:val="22"/>
              </w:rPr>
              <w:t>30030</w:t>
            </w:r>
          </w:p>
        </w:tc>
        <w:tc>
          <w:tcPr>
            <w:tcW w:w="2115" w:type="dxa"/>
            <w:noWrap/>
          </w:tcPr>
          <w:p w14:paraId="1334315E">
            <w:pPr>
              <w:jc w:val="center"/>
              <w:rPr>
                <w:rFonts w:ascii="Times New Roman" w:hAnsi="Times New Roman" w:cs="Times New Roman"/>
                <w:sz w:val="22"/>
              </w:rPr>
            </w:pPr>
            <w:r>
              <w:rPr>
                <w:rFonts w:ascii="Times New Roman" w:hAnsi="Times New Roman" w:cs="Times New Roman"/>
                <w:b w:val="0"/>
                <w:bCs w:val="0"/>
                <w:sz w:val="22"/>
              </w:rPr>
              <w:t>This work</w:t>
            </w:r>
          </w:p>
        </w:tc>
        <w:tc>
          <w:tcPr>
            <w:tcW w:w="900" w:type="dxa"/>
            <w:noWrap/>
          </w:tcPr>
          <w:p w14:paraId="4DBC38B6">
            <w:pPr>
              <w:jc w:val="center"/>
              <w:rPr>
                <w:rFonts w:ascii="Times New Roman" w:hAnsi="Times New Roman" w:cs="Times New Roman"/>
                <w:sz w:val="22"/>
              </w:rPr>
            </w:pPr>
            <w:r>
              <w:rPr>
                <w:rFonts w:ascii="Times New Roman" w:hAnsi="Times New Roman" w:cs="Times New Roman"/>
                <w:sz w:val="22"/>
              </w:rPr>
              <w:t>r.t.</w:t>
            </w:r>
          </w:p>
        </w:tc>
        <w:tc>
          <w:tcPr>
            <w:tcW w:w="818" w:type="dxa"/>
            <w:noWrap/>
          </w:tcPr>
          <w:p w14:paraId="6F0EBD6D">
            <w:pPr>
              <w:jc w:val="center"/>
              <w:rPr>
                <w:rFonts w:ascii="Times New Roman" w:hAnsi="Times New Roman" w:cs="Times New Roman"/>
                <w:sz w:val="22"/>
                <w:vertAlign w:val="baseline"/>
              </w:rPr>
            </w:pPr>
            <w:r>
              <w:rPr>
                <w:rFonts w:ascii="Times New Roman" w:hAnsi="Times New Roman" w:cs="Times New Roman"/>
                <w:sz w:val="22"/>
                <w:vertAlign w:val="baseline"/>
              </w:rPr>
              <w:t>-</w:t>
            </w:r>
          </w:p>
        </w:tc>
      </w:tr>
      <w:tr w14:paraId="02669FC9">
        <w:tblPrEx>
          <w:tblCellMar>
            <w:top w:w="0" w:type="dxa"/>
            <w:left w:w="108" w:type="dxa"/>
            <w:bottom w:w="0" w:type="dxa"/>
            <w:right w:w="108" w:type="dxa"/>
          </w:tblCellMar>
        </w:tblPrEx>
        <w:trPr>
          <w:trHeight w:val="270" w:hRule="atLeast"/>
          <w:jc w:val="center"/>
        </w:trPr>
        <w:tc>
          <w:tcPr>
            <w:tcW w:w="3099" w:type="dxa"/>
            <w:shd w:val="clear" w:color="auto" w:fill="F1F1F1" w:themeFill="background1" w:themeFillShade="F2"/>
            <w:noWrap/>
          </w:tcPr>
          <w:p w14:paraId="458EE407">
            <w:pPr>
              <w:jc w:val="left"/>
              <w:rPr>
                <w:rFonts w:ascii="Times New Roman" w:hAnsi="Times New Roman" w:cs="Times New Roman"/>
                <w:b/>
                <w:bCs/>
                <w:sz w:val="22"/>
              </w:rPr>
            </w:pPr>
            <w:r>
              <w:rPr>
                <w:rFonts w:ascii="Times New Roman" w:hAnsi="Times New Roman" w:cs="Times New Roman"/>
                <w:b w:val="0"/>
                <w:bCs w:val="0"/>
                <w:sz w:val="22"/>
              </w:rPr>
              <w:t>PBA/EG</w:t>
            </w:r>
          </w:p>
        </w:tc>
        <w:tc>
          <w:tcPr>
            <w:tcW w:w="1590" w:type="dxa"/>
            <w:shd w:val="clear" w:color="auto" w:fill="F1F1F1" w:themeFill="background1" w:themeFillShade="F2"/>
            <w:noWrap/>
          </w:tcPr>
          <w:p w14:paraId="10C038C4">
            <w:pPr>
              <w:jc w:val="center"/>
              <w:rPr>
                <w:rFonts w:ascii="Times New Roman" w:hAnsi="Times New Roman" w:cs="Times New Roman"/>
                <w:sz w:val="22"/>
              </w:rPr>
            </w:pPr>
            <w:r>
              <w:rPr>
                <w:rFonts w:ascii="Times New Roman" w:hAnsi="Times New Roman" w:cs="Times New Roman"/>
                <w:sz w:val="22"/>
              </w:rPr>
              <w:t>27858</w:t>
            </w:r>
          </w:p>
        </w:tc>
        <w:tc>
          <w:tcPr>
            <w:tcW w:w="2115" w:type="dxa"/>
            <w:shd w:val="clear" w:color="auto" w:fill="F1F1F1" w:themeFill="background1" w:themeFillShade="F2"/>
            <w:noWrap/>
          </w:tcPr>
          <w:p w14:paraId="783DA9E0">
            <w:pPr>
              <w:jc w:val="center"/>
              <w:rPr>
                <w:rFonts w:ascii="Times New Roman" w:hAnsi="Times New Roman" w:cs="Times New Roman"/>
                <w:sz w:val="22"/>
              </w:rPr>
            </w:pPr>
            <w:r>
              <w:rPr>
                <w:rFonts w:ascii="Times New Roman" w:hAnsi="Times New Roman" w:cs="Times New Roman"/>
                <w:sz w:val="22"/>
              </w:rPr>
              <w:t>Calcination</w:t>
            </w:r>
          </w:p>
        </w:tc>
        <w:tc>
          <w:tcPr>
            <w:tcW w:w="900" w:type="dxa"/>
            <w:shd w:val="clear" w:color="auto" w:fill="F1F1F1" w:themeFill="background1" w:themeFillShade="F2"/>
            <w:noWrap/>
          </w:tcPr>
          <w:p w14:paraId="5EF472F1">
            <w:pPr>
              <w:jc w:val="center"/>
              <w:rPr>
                <w:rFonts w:ascii="Times New Roman" w:hAnsi="Times New Roman" w:cs="Times New Roman"/>
                <w:sz w:val="22"/>
              </w:rPr>
            </w:pPr>
            <w:r>
              <w:rPr>
                <w:rFonts w:ascii="Times New Roman" w:hAnsi="Times New Roman" w:cs="Times New Roman"/>
                <w:sz w:val="22"/>
              </w:rPr>
              <w:t>800</w:t>
            </w:r>
          </w:p>
        </w:tc>
        <w:tc>
          <w:tcPr>
            <w:tcW w:w="818" w:type="dxa"/>
            <w:shd w:val="clear" w:color="auto" w:fill="F1F1F1" w:themeFill="background1" w:themeFillShade="F2"/>
            <w:noWrap/>
          </w:tcPr>
          <w:p w14:paraId="5C206FC1">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{"citationID":"pMxyGsHF","properties":{"formattedCitation":"\\super 17\\nosupersub{}","plainCitation":"17","noteIndex":0},"citationItems":[{"id":2877,"uris":["http://zotero.org/users/16084765/items/VCRV3WZP"],"itemData":{"id":2877,"type":"article-journal","citation-key":"huangHighperformancePolybenzoxazineBased2023","container-title":"International Journal of Hydrogen Energy","DOI":"10.1016/j.ijhydene.2023.05.039","ISSN":"03603199","issue":"83","journalAbbreviation":"Int. J</w:instrText>
            </w:r>
            <w:r>
              <w:rPr>
                <w:rFonts w:hint="eastAsia" w:ascii="Times New Roman" w:hAnsi="Times New Roman" w:cs="Times New Roman"/>
                <w:sz w:val="22"/>
                <w:vertAlign w:val="baseline"/>
              </w:rPr>
              <w:instrText xml:space="preserve">. Hydrogen Energy","language":"en","note":"JCR分区: Q1\n中科院分区升级版: 材料科学2区\n影响因子: 8.3\n5年影响因子: 7.7\nEI: 是\nESI: 工程科学\n南农高质量: A","page":"32540-32552","source":"DOI.org (Crossref)","title":"High-performance polybenzoxazine based composites PEMFC bipolar plates </w:instrText>
            </w:r>
            <w:r>
              <w:rPr>
                <w:rFonts w:ascii="Times New Roman" w:hAnsi="Times New Roman" w:cs="Times New Roman"/>
                <w:sz w:val="22"/>
                <w:vertAlign w:val="baseline"/>
              </w:rPr>
              <w:instrText xml:space="preserve">with a multi-layer structure for surface enrichment of conductive phase","volume":"48","author":[{"family":"Huang","given":"Qilong"},{"family":"Tong","given":"Yizhang"},{"family":"Hu","given":"Bin"},{"family":"Huang","given":"Jingshu"},{"family":"Cao","given":"Xianwu"},{"family":"Yang","given":"Zhitao"},{"family":"He","given":"Guangjian"}],"issued":{"date-parts":[["2023",10]]}}}],"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17</w:t>
            </w:r>
            <w:r>
              <w:rPr>
                <w:rFonts w:ascii="Times New Roman" w:hAnsi="Times New Roman" w:cs="Times New Roman"/>
                <w:sz w:val="22"/>
                <w:vertAlign w:val="baseline"/>
              </w:rPr>
              <w:fldChar w:fldCharType="end"/>
            </w:r>
          </w:p>
        </w:tc>
      </w:tr>
      <w:tr w14:paraId="1432B763">
        <w:tblPrEx>
          <w:tblCellMar>
            <w:top w:w="0" w:type="dxa"/>
            <w:left w:w="108" w:type="dxa"/>
            <w:bottom w:w="0" w:type="dxa"/>
            <w:right w:w="108" w:type="dxa"/>
          </w:tblCellMar>
        </w:tblPrEx>
        <w:trPr>
          <w:trHeight w:val="300" w:hRule="atLeast"/>
          <w:jc w:val="center"/>
        </w:trPr>
        <w:tc>
          <w:tcPr>
            <w:tcW w:w="3099" w:type="dxa"/>
            <w:noWrap/>
          </w:tcPr>
          <w:p w14:paraId="3187120A">
            <w:pPr>
              <w:jc w:val="left"/>
              <w:rPr>
                <w:rFonts w:ascii="Times New Roman" w:hAnsi="Times New Roman" w:cs="Times New Roman"/>
                <w:b/>
                <w:bCs/>
                <w:sz w:val="22"/>
              </w:rPr>
            </w:pPr>
            <w:r>
              <w:rPr>
                <w:rFonts w:ascii="Times New Roman" w:hAnsi="Times New Roman" w:cs="Times New Roman"/>
                <w:b w:val="0"/>
                <w:bCs w:val="0"/>
                <w:sz w:val="22"/>
              </w:rPr>
              <w:t>EP/COOH-MWCNT/COOH-GNP/CF</w:t>
            </w:r>
          </w:p>
        </w:tc>
        <w:tc>
          <w:tcPr>
            <w:tcW w:w="1590" w:type="dxa"/>
            <w:noWrap/>
          </w:tcPr>
          <w:p w14:paraId="690D157C">
            <w:pPr>
              <w:jc w:val="center"/>
              <w:rPr>
                <w:rFonts w:ascii="Times New Roman" w:hAnsi="Times New Roman" w:cs="Times New Roman"/>
                <w:sz w:val="22"/>
              </w:rPr>
            </w:pPr>
            <w:r>
              <w:rPr>
                <w:rFonts w:ascii="Times New Roman" w:hAnsi="Times New Roman" w:cs="Times New Roman"/>
                <w:sz w:val="22"/>
              </w:rPr>
              <w:t>27300</w:t>
            </w:r>
          </w:p>
        </w:tc>
        <w:tc>
          <w:tcPr>
            <w:tcW w:w="2115" w:type="dxa"/>
            <w:noWrap/>
          </w:tcPr>
          <w:p w14:paraId="3B49BE16">
            <w:pPr>
              <w:jc w:val="center"/>
              <w:rPr>
                <w:rFonts w:ascii="Times New Roman" w:hAnsi="Times New Roman" w:cs="Times New Roman"/>
                <w:sz w:val="22"/>
              </w:rPr>
            </w:pPr>
            <w:r>
              <w:rPr>
                <w:rFonts w:ascii="Times New Roman" w:hAnsi="Times New Roman" w:cs="Times New Roman"/>
                <w:sz w:val="22"/>
              </w:rPr>
              <w:t>Hot Pressing</w:t>
            </w:r>
          </w:p>
        </w:tc>
        <w:tc>
          <w:tcPr>
            <w:tcW w:w="900" w:type="dxa"/>
            <w:noWrap/>
          </w:tcPr>
          <w:p w14:paraId="55A2A49D">
            <w:pPr>
              <w:jc w:val="center"/>
              <w:rPr>
                <w:rFonts w:ascii="Times New Roman" w:hAnsi="Times New Roman" w:cs="Times New Roman"/>
                <w:sz w:val="22"/>
              </w:rPr>
            </w:pPr>
            <w:r>
              <w:rPr>
                <w:rFonts w:ascii="Times New Roman" w:hAnsi="Times New Roman" w:cs="Times New Roman"/>
                <w:sz w:val="22"/>
              </w:rPr>
              <w:t>140</w:t>
            </w:r>
          </w:p>
        </w:tc>
        <w:tc>
          <w:tcPr>
            <w:tcW w:w="818" w:type="dxa"/>
            <w:noWrap/>
          </w:tcPr>
          <w:p w14:paraId="76114018">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{"citationID":"D7xqTG7R","properties":{"formattedCitation":"\\super 18\\nosupersub{}","plainCitation":"18","noteIndex":0},"citationItems":[{"id":2878,"uris":["http://zotero.org/users/16084765/items/P26X9C4N"],"itemData":{"id":2878,"type":"article-journal","abstract":"The commercial viability of fuel cells for vehicle application has been examined in the context of lightweight material options, as well as in combination with improvements in fuel cell powertrain. Investigation into ultra-lightweight bipolar plates (BPs), the main component in terms of the weight effect, is of great importance to enhance energy efficiency. This research aims to fabricate a layered carbon fiber/epoxy composite structure for BPs. Two types of carbon fillers (COOH-MWCNT and COOH-GNP) reinforced with woven carbon fiber sheets (WCFS) have been utilized. The conceptual idea is to reduce molding cycle time by improving the structural, electrical, and mechanical properties of BPs. Reducing the reactive molding cycle time is required for commercial production possibility. The desired crosslink density of 97%, observed at reactive molding time, was reduced by 83% at 140 °C processing temperature. The as-fabricated BPs demonstrate excellent electrical conductivity and mechanical strength that achieved the DOE standard. Under actual fuel cell operation, the as-fabricated BPs show superior performance to commercial furan-based composite BPs in terms of the cell potential and maximum power. This research demonstrates the practical and straightforward way to produce high-performance and reliable BPs with a rapid production rate for actual PEMFC utilization.","citation-key":"karoonsitPerformanceEvaluationUltralightweight2022","container-title":"Polymers","DOI</w:instrText>
            </w:r>
            <w:r>
              <w:rPr>
                <w:rFonts w:hint="eastAsia" w:ascii="Times New Roman" w:hAnsi="Times New Roman" w:cs="Times New Roman"/>
                <w:sz w:val="22"/>
                <w:vertAlign w:val="baseline"/>
              </w:rPr>
              <w:instrText xml:space="preserve">":"10.3390/polym14235226","ISSN":"2073-4360","issue":"23","journalAbbreviation":"Polymers","language":"en","note":"JCR分区: Q1\n中科院分区升级版: 工程技术3区\n影响因子: 4.9\n5年影响因子: 5.2\nEI: 是\nESI: 化学\n南农高质量: A","page":"5226","source":"DOI.org (Crossref)","title":"Performa</w:instrText>
            </w:r>
            <w:r>
              <w:rPr>
                <w:rFonts w:ascii="Times New Roman" w:hAnsi="Times New Roman" w:cs="Times New Roman"/>
                <w:sz w:val="22"/>
                <w:vertAlign w:val="baseline"/>
              </w:rPr>
              <w:instrText xml:space="preserve">nce evaluation for ultra-lightweight epoxy-based bipolar plate production with cycle time reduction of reactive molding process","volume":"14","author":[{"family":"Karoonsit","given":"Budsaba"},{"family":"Yeetsorn","given":"Rungsima"},{"family":"Aussawasathien","given":"Darunee"},{"family":"Prissanaroon-Ouajai","given":"Walaiporn"},{"family":"Yogesh","given":"Gaurav Kumar"},{"family":"Maiket","given":"Yaowaret"}],"issued":{"date-parts":[["2022",12,1]]}}}],"schema":"https://github.com/citation-style-language/schema/raw/master/csl-citation.json"}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18</w:t>
            </w:r>
            <w:r>
              <w:rPr>
                <w:rFonts w:ascii="Times New Roman" w:hAnsi="Times New Roman" w:cs="Times New Roman"/>
                <w:sz w:val="22"/>
                <w:vertAlign w:val="baseline"/>
              </w:rPr>
              <w:fldChar w:fldCharType="end"/>
            </w:r>
          </w:p>
        </w:tc>
      </w:tr>
      <w:tr w14:paraId="2FCDA511">
        <w:tblPrEx>
          <w:tblCellMar>
            <w:top w:w="0" w:type="dxa"/>
            <w:left w:w="108" w:type="dxa"/>
            <w:bottom w:w="0" w:type="dxa"/>
            <w:right w:w="108" w:type="dxa"/>
          </w:tblCellMar>
        </w:tblPrEx>
        <w:trPr>
          <w:trHeight w:val="300" w:hRule="atLeast"/>
          <w:jc w:val="center"/>
        </w:trPr>
        <w:tc>
          <w:tcPr>
            <w:tcW w:w="3099" w:type="dxa"/>
            <w:shd w:val="clear" w:color="auto" w:fill="F1F1F1" w:themeFill="background1" w:themeFillShade="F2"/>
            <w:noWrap/>
          </w:tcPr>
          <w:p w14:paraId="0F32C965">
            <w:pPr>
              <w:jc w:val="left"/>
              <w:rPr>
                <w:rFonts w:ascii="Times New Roman" w:hAnsi="Times New Roman" w:cs="Times New Roman"/>
                <w:b/>
                <w:bCs/>
                <w:sz w:val="22"/>
              </w:rPr>
            </w:pPr>
            <w:r>
              <w:rPr>
                <w:rFonts w:hint="eastAsia" w:ascii="Times New Roman" w:hAnsi="Times New Roman" w:cs="Times New Roman"/>
                <w:b w:val="0"/>
                <w:bCs w:val="0"/>
                <w:sz w:val="22"/>
              </w:rPr>
              <w:t>G</w:t>
            </w:r>
            <w:r>
              <w:rPr>
                <w:rFonts w:ascii="Times New Roman" w:hAnsi="Times New Roman" w:cs="Times New Roman"/>
                <w:b w:val="0"/>
                <w:bCs w:val="0"/>
                <w:sz w:val="22"/>
              </w:rPr>
              <w:t>raphite/epoxy composites</w:t>
            </w:r>
          </w:p>
        </w:tc>
        <w:tc>
          <w:tcPr>
            <w:tcW w:w="1590" w:type="dxa"/>
            <w:shd w:val="clear" w:color="auto" w:fill="F1F1F1" w:themeFill="background1" w:themeFillShade="F2"/>
            <w:noWrap/>
          </w:tcPr>
          <w:p w14:paraId="4AA65499">
            <w:pPr>
              <w:jc w:val="center"/>
              <w:rPr>
                <w:rFonts w:ascii="Times New Roman" w:hAnsi="Times New Roman" w:cs="Times New Roman"/>
                <w:sz w:val="22"/>
              </w:rPr>
            </w:pPr>
            <w:r>
              <w:rPr>
                <w:rFonts w:ascii="Times New Roman" w:hAnsi="Times New Roman" w:cs="Times New Roman"/>
                <w:sz w:val="22"/>
              </w:rPr>
              <w:t>25470</w:t>
            </w:r>
          </w:p>
        </w:tc>
        <w:tc>
          <w:tcPr>
            <w:tcW w:w="2115" w:type="dxa"/>
            <w:shd w:val="clear" w:color="auto" w:fill="F1F1F1" w:themeFill="background1" w:themeFillShade="F2"/>
            <w:noWrap/>
          </w:tcPr>
          <w:p w14:paraId="52B150FA">
            <w:pPr>
              <w:jc w:val="center"/>
              <w:rPr>
                <w:rFonts w:ascii="Times New Roman" w:hAnsi="Times New Roman" w:cs="Times New Roman"/>
                <w:sz w:val="22"/>
              </w:rPr>
            </w:pPr>
            <w:r>
              <w:rPr>
                <w:rFonts w:ascii="Times New Roman" w:hAnsi="Times New Roman" w:cs="Times New Roman"/>
                <w:sz w:val="22"/>
              </w:rPr>
              <w:t>Hot Pressing</w:t>
            </w:r>
          </w:p>
        </w:tc>
        <w:tc>
          <w:tcPr>
            <w:tcW w:w="900" w:type="dxa"/>
            <w:shd w:val="clear" w:color="auto" w:fill="F1F1F1" w:themeFill="background1" w:themeFillShade="F2"/>
            <w:noWrap/>
          </w:tcPr>
          <w:p w14:paraId="0529DB45">
            <w:pPr>
              <w:jc w:val="center"/>
              <w:rPr>
                <w:rFonts w:ascii="Times New Roman" w:hAnsi="Times New Roman" w:cs="Times New Roman"/>
                <w:sz w:val="22"/>
              </w:rPr>
            </w:pPr>
            <w:r>
              <w:rPr>
                <w:rFonts w:ascii="Times New Roman" w:hAnsi="Times New Roman" w:cs="Times New Roman"/>
                <w:sz w:val="22"/>
              </w:rPr>
              <w:t>190</w:t>
            </w:r>
          </w:p>
        </w:tc>
        <w:tc>
          <w:tcPr>
            <w:tcW w:w="818" w:type="dxa"/>
            <w:shd w:val="clear" w:color="auto" w:fill="F1F1F1" w:themeFill="background1" w:themeFillShade="F2"/>
            <w:noWrap/>
          </w:tcPr>
          <w:p w14:paraId="4C25BD8E">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{"citationID":"JSPJPs9i","properties":{"formattedCitation":"\\super 19\\nosupersub{}","plainCitation":"19","noteIndex":0},"citationItems":[{"id":2879,"uris":["http://zotero.org/users/16084765/items/ACHRJ5UM"],"itemData":{"id":2879,"type":"article-journal","citation-key":"leeEffectCarbonFillers2009a","container-title":"Journal of Power Sources","DOI":"10.1016/j.jpowsour.2009.04.029","ISSN":"03787753","issue":"2","journalAbbreviation":"J. Power Sources","language":"en","note"</w:instrText>
            </w:r>
            <w:r>
              <w:rPr>
                <w:rFonts w:hint="eastAsia" w:ascii="Times New Roman" w:hAnsi="Times New Roman" w:cs="Times New Roman"/>
                <w:sz w:val="22"/>
                <w:vertAlign w:val="baseline"/>
              </w:rPr>
              <w:instrText xml:space="preserve">:"JCR分区: Q1\n中科院分区升级版: 材料科学3区\n影响因子: 7.9\n5年影响因子: 8.4\nEI: 是\nESI: 材料科学\n南农高质量: A","page":"523-529","source":"DOI.org (Crossref)","title":"Effect of carbon fillers on properties of polymer composite bipolar plates of fuel cells","volume":"193","author":[{</w:instrText>
            </w:r>
            <w:r>
              <w:rPr>
                <w:rFonts w:ascii="Times New Roman" w:hAnsi="Times New Roman" w:cs="Times New Roman"/>
                <w:sz w:val="22"/>
                <w:vertAlign w:val="baseline"/>
              </w:rPr>
              <w:instrText xml:space="preserve">"family":"Lee","given":"Joong Hee"},{"family":"Jang","given":"Yun Ki"},{"family":"Hong","given":"Chang Eui"},{"family":"Kim","given":"Nam Hoon"},{"family":"Li","given":"Peng"},{"family":"Lee","given":"Hong Ki"}],"issued":{"date-parts":[["2009",9]]}}}],"schema":"https://github.com/citation-style-language/schema/raw/master/csl-citation.json"}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19</w:t>
            </w:r>
            <w:r>
              <w:rPr>
                <w:rFonts w:ascii="Times New Roman" w:hAnsi="Times New Roman" w:cs="Times New Roman"/>
                <w:sz w:val="22"/>
                <w:vertAlign w:val="baseline"/>
              </w:rPr>
              <w:fldChar w:fldCharType="end"/>
            </w:r>
          </w:p>
        </w:tc>
      </w:tr>
      <w:tr w14:paraId="32A4C721">
        <w:tblPrEx>
          <w:tblCellMar>
            <w:top w:w="0" w:type="dxa"/>
            <w:left w:w="108" w:type="dxa"/>
            <w:bottom w:w="0" w:type="dxa"/>
            <w:right w:w="108" w:type="dxa"/>
          </w:tblCellMar>
        </w:tblPrEx>
        <w:trPr>
          <w:trHeight w:val="270" w:hRule="atLeast"/>
          <w:jc w:val="center"/>
        </w:trPr>
        <w:tc>
          <w:tcPr>
            <w:tcW w:w="3099" w:type="dxa"/>
            <w:noWrap/>
          </w:tcPr>
          <w:p w14:paraId="33460257">
            <w:pPr>
              <w:jc w:val="left"/>
              <w:rPr>
                <w:rFonts w:ascii="Times New Roman" w:hAnsi="Times New Roman" w:cs="Times New Roman"/>
                <w:b/>
                <w:bCs/>
                <w:sz w:val="22"/>
              </w:rPr>
            </w:pPr>
            <w:r>
              <w:rPr>
                <w:rFonts w:ascii="Times New Roman" w:hAnsi="Times New Roman" w:cs="Times New Roman"/>
                <w:b w:val="0"/>
                <w:bCs w:val="0"/>
                <w:sz w:val="22"/>
              </w:rPr>
              <w:t>EP/NFG/CB/Cu Fibers</w:t>
            </w:r>
          </w:p>
        </w:tc>
        <w:tc>
          <w:tcPr>
            <w:tcW w:w="1590" w:type="dxa"/>
            <w:noWrap/>
          </w:tcPr>
          <w:p w14:paraId="2DA0E11F">
            <w:pPr>
              <w:jc w:val="center"/>
              <w:rPr>
                <w:rFonts w:ascii="Times New Roman" w:hAnsi="Times New Roman" w:cs="Times New Roman"/>
                <w:sz w:val="22"/>
              </w:rPr>
            </w:pPr>
            <w:r>
              <w:rPr>
                <w:rFonts w:ascii="Times New Roman" w:hAnsi="Times New Roman" w:cs="Times New Roman"/>
                <w:sz w:val="22"/>
              </w:rPr>
              <w:t>21800</w:t>
            </w:r>
          </w:p>
        </w:tc>
        <w:tc>
          <w:tcPr>
            <w:tcW w:w="2115" w:type="dxa"/>
            <w:noWrap/>
          </w:tcPr>
          <w:p w14:paraId="3E536A4D">
            <w:pPr>
              <w:jc w:val="center"/>
              <w:rPr>
                <w:rFonts w:ascii="Times New Roman" w:hAnsi="Times New Roman" w:cs="Times New Roman"/>
                <w:sz w:val="22"/>
              </w:rPr>
            </w:pPr>
            <w:r>
              <w:rPr>
                <w:rFonts w:ascii="Times New Roman" w:hAnsi="Times New Roman" w:cs="Times New Roman"/>
                <w:sz w:val="22"/>
              </w:rPr>
              <w:t>Cold Pressing</w:t>
            </w:r>
          </w:p>
        </w:tc>
        <w:tc>
          <w:tcPr>
            <w:tcW w:w="900" w:type="dxa"/>
            <w:noWrap/>
          </w:tcPr>
          <w:p w14:paraId="6C6EFA51">
            <w:pPr>
              <w:jc w:val="center"/>
              <w:rPr>
                <w:rFonts w:ascii="Times New Roman" w:hAnsi="Times New Roman" w:cs="Times New Roman"/>
                <w:sz w:val="22"/>
              </w:rPr>
            </w:pPr>
            <w:r>
              <w:rPr>
                <w:rFonts w:ascii="Times New Roman" w:hAnsi="Times New Roman" w:cs="Times New Roman"/>
                <w:sz w:val="22"/>
              </w:rPr>
              <w:t>65</w:t>
            </w:r>
          </w:p>
        </w:tc>
        <w:tc>
          <w:tcPr>
            <w:tcW w:w="818" w:type="dxa"/>
            <w:noWrap/>
          </w:tcPr>
          <w:p w14:paraId="730A678D">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{"citationID":"pMwKc4UH","properties":{"formattedCitation":"\\super 20\\nosupersub{}","plainCitation":"20","noteIndex":0},"citationItems":[{"id":2882,"uris":["http://zotero.org/users/16084765/items/Z6LS8XY9"],"itemData":{"id":2882,"type":"article-journal","citation-key":"mathewNovelCopperFiberfilled2024","container-title":"International Journal of Hydrogen Energy","DOI":"10.1016/j.ijhydene.2023.07.112","ISSN":"03603199","journalAbbreviation":"Int. J. Hydrogen Energy","langu</w:instrText>
            </w:r>
            <w:r>
              <w:rPr>
                <w:rFonts w:hint="eastAsia" w:ascii="Times New Roman" w:hAnsi="Times New Roman" w:cs="Times New Roman"/>
                <w:sz w:val="22"/>
                <w:vertAlign w:val="baseline"/>
              </w:rPr>
              <w:instrText xml:space="preserve">age":"en","note":"JCR分区: Q1\n中科院分区升级版: 材料科学2区\n影响因子: 8.3\n5年影响因子: 7.7\nEI: 是\nESI: 工程科学\n南农高质量: A","page":"941-953","source":"DOI.org (Crossref)","title":"Novel copper fiber-filled polymer composites for enhancing the properties of bipolar plates for poly</w:instrText>
            </w:r>
            <w:r>
              <w:rPr>
                <w:rFonts w:ascii="Times New Roman" w:hAnsi="Times New Roman" w:cs="Times New Roman"/>
                <w:sz w:val="22"/>
                <w:vertAlign w:val="baseline"/>
              </w:rPr>
              <w:instrText xml:space="preserve">mer electrolyte membrane fuel cells","volume":"52","author":[{"family":"Mathew","given":"Cijo"},{"family":"Mohamed","given":"Samsudeen Naina"},{"family":"Singaravelu","given":"D. Lenin"}],"issued":{"date-parts":[["2024",1]]}}}],"schema":"https://github.com/citation-style-language/schema/raw/master/csl-citation.json"}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20</w:t>
            </w:r>
            <w:r>
              <w:rPr>
                <w:rFonts w:ascii="Times New Roman" w:hAnsi="Times New Roman" w:cs="Times New Roman"/>
                <w:sz w:val="22"/>
                <w:vertAlign w:val="baseline"/>
              </w:rPr>
              <w:fldChar w:fldCharType="end"/>
            </w:r>
          </w:p>
        </w:tc>
      </w:tr>
      <w:tr w14:paraId="2164279D">
        <w:tblPrEx>
          <w:tblCellMar>
            <w:top w:w="0" w:type="dxa"/>
            <w:left w:w="108" w:type="dxa"/>
            <w:bottom w:w="0" w:type="dxa"/>
            <w:right w:w="108" w:type="dxa"/>
          </w:tblCellMar>
        </w:tblPrEx>
        <w:trPr>
          <w:trHeight w:val="540" w:hRule="atLeast"/>
          <w:jc w:val="center"/>
        </w:trPr>
        <w:tc>
          <w:tcPr>
            <w:tcW w:w="3099" w:type="dxa"/>
            <w:shd w:val="clear" w:color="auto" w:fill="F1F1F1" w:themeFill="background1" w:themeFillShade="F2"/>
            <w:noWrap/>
          </w:tcPr>
          <w:p w14:paraId="69B4D0EA">
            <w:pPr>
              <w:jc w:val="left"/>
              <w:rPr>
                <w:rFonts w:ascii="Times New Roman" w:hAnsi="Times New Roman" w:cs="Times New Roman"/>
                <w:b/>
                <w:bCs/>
                <w:sz w:val="22"/>
              </w:rPr>
            </w:pPr>
            <w:r>
              <w:rPr>
                <w:rFonts w:ascii="Times New Roman" w:hAnsi="Times New Roman" w:cs="Times New Roman"/>
                <w:b w:val="0"/>
                <w:bCs w:val="0"/>
                <w:sz w:val="22"/>
              </w:rPr>
              <w:t>EP-PF Copolymer/NFG</w:t>
            </w:r>
          </w:p>
        </w:tc>
        <w:tc>
          <w:tcPr>
            <w:tcW w:w="1590" w:type="dxa"/>
            <w:shd w:val="clear" w:color="auto" w:fill="F1F1F1" w:themeFill="background1" w:themeFillShade="F2"/>
            <w:noWrap/>
          </w:tcPr>
          <w:p w14:paraId="3C597615">
            <w:pPr>
              <w:jc w:val="center"/>
              <w:rPr>
                <w:rFonts w:ascii="Times New Roman" w:hAnsi="Times New Roman" w:cs="Times New Roman"/>
                <w:sz w:val="22"/>
              </w:rPr>
            </w:pPr>
            <w:r>
              <w:rPr>
                <w:rFonts w:ascii="Times New Roman" w:hAnsi="Times New Roman" w:cs="Times New Roman"/>
                <w:sz w:val="22"/>
              </w:rPr>
              <w:t>20300</w:t>
            </w:r>
          </w:p>
        </w:tc>
        <w:tc>
          <w:tcPr>
            <w:tcW w:w="2115" w:type="dxa"/>
            <w:shd w:val="clear" w:color="auto" w:fill="F1F1F1" w:themeFill="background1" w:themeFillShade="F2"/>
            <w:noWrap/>
          </w:tcPr>
          <w:p w14:paraId="02D4ECDD">
            <w:pPr>
              <w:jc w:val="center"/>
              <w:rPr>
                <w:rFonts w:ascii="Times New Roman" w:hAnsi="Times New Roman" w:cs="Times New Roman"/>
                <w:sz w:val="22"/>
              </w:rPr>
            </w:pPr>
            <w:r>
              <w:rPr>
                <w:rFonts w:ascii="Times New Roman" w:hAnsi="Times New Roman" w:cs="Times New Roman"/>
                <w:sz w:val="22"/>
              </w:rPr>
              <w:t>Hot Pressing</w:t>
            </w:r>
          </w:p>
        </w:tc>
        <w:tc>
          <w:tcPr>
            <w:tcW w:w="900" w:type="dxa"/>
            <w:shd w:val="clear" w:color="auto" w:fill="F1F1F1" w:themeFill="background1" w:themeFillShade="F2"/>
            <w:noWrap/>
          </w:tcPr>
          <w:p w14:paraId="4E511F39">
            <w:pPr>
              <w:jc w:val="center"/>
              <w:rPr>
                <w:rFonts w:ascii="Times New Roman" w:hAnsi="Times New Roman" w:cs="Times New Roman"/>
                <w:sz w:val="22"/>
              </w:rPr>
            </w:pPr>
            <w:r>
              <w:rPr>
                <w:rFonts w:ascii="Times New Roman" w:hAnsi="Times New Roman" w:cs="Times New Roman"/>
                <w:sz w:val="22"/>
              </w:rPr>
              <w:t>170</w:t>
            </w:r>
          </w:p>
        </w:tc>
        <w:tc>
          <w:tcPr>
            <w:tcW w:w="818" w:type="dxa"/>
            <w:shd w:val="clear" w:color="auto" w:fill="F1F1F1" w:themeFill="background1" w:themeFillShade="F2"/>
            <w:noWrap/>
          </w:tcPr>
          <w:p w14:paraId="61277A3F">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{"citationID":"Yy5RqM7h","properties":{"formattedCitation":"\\super 21\\nosupersub{}","plainCitation":"21","noteIndex":0},"citationItems":[{"id":2883,"uris":["http://zotero.org/users/16084765/items/29CKRB99"],"itemData":{"id":2883,"type":"article-journal","citation-key":"chenTailoringFlexiblesegmentrichResin2024","container-title":"Composites Science and Technology","DOI":"10.1016/j.compscitech.2023.110422","ISSN":"02663538","journalAbbreviation":"Compos. Sci. Technol.","la</w:instrText>
            </w:r>
            <w:r>
              <w:rPr>
                <w:rFonts w:hint="eastAsia" w:ascii="Times New Roman" w:hAnsi="Times New Roman" w:cs="Times New Roman"/>
                <w:sz w:val="22"/>
                <w:vertAlign w:val="baseline"/>
              </w:rPr>
              <w:instrText xml:space="preserve">nguage":"en","note":"JCR分区: Q1\n中科院分区升级版: 材料科学2区\n影响因子: 9.8\n5年影响因子: 9.3\nEI: 是\nESI: 材料科学\n南农高质量: A","page":"110422","source":"DOI.org (Crossref)","title":"Tailoring flexible-segment-rich resin network structure by multi-step copolymerization for improve</w:instrText>
            </w:r>
            <w:r>
              <w:rPr>
                <w:rFonts w:ascii="Times New Roman" w:hAnsi="Times New Roman" w:cs="Times New Roman"/>
                <w:sz w:val="22"/>
                <w:vertAlign w:val="baseline"/>
              </w:rPr>
              <w:instrText xml:space="preserve">d composite bipolar plate of proton exchange membrane fuel cell","volume":"247","author":[{"family":"Chen","given":"Jing"},{"family":"Qin","given":"Nan"},{"family":"Jin","given":"Liming"},{"family":"Pan","given":"Xiangmin"},{"family":"Zheng","given":"Junsheng"},{"family":"Ming","given":"Pingwen"},{"family":"Zhang","given":"Cunman"},{"family":"Zheng","given":"Jim P."}],"issued":{"date-parts":[["2024",3]]}}}],"schema":"https://github.com/citation-style-language/schema/raw/master/csl-citation.json"}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21</w:t>
            </w:r>
            <w:r>
              <w:rPr>
                <w:rFonts w:ascii="Times New Roman" w:hAnsi="Times New Roman" w:cs="Times New Roman"/>
                <w:sz w:val="22"/>
                <w:vertAlign w:val="baseline"/>
              </w:rPr>
              <w:fldChar w:fldCharType="end"/>
            </w:r>
          </w:p>
        </w:tc>
      </w:tr>
      <w:tr w14:paraId="053DC906">
        <w:tblPrEx>
          <w:tblCellMar>
            <w:top w:w="0" w:type="dxa"/>
            <w:left w:w="108" w:type="dxa"/>
            <w:bottom w:w="0" w:type="dxa"/>
            <w:right w:w="108" w:type="dxa"/>
          </w:tblCellMar>
        </w:tblPrEx>
        <w:trPr>
          <w:trHeight w:val="390" w:hRule="atLeast"/>
          <w:jc w:val="center"/>
        </w:trPr>
        <w:tc>
          <w:tcPr>
            <w:tcW w:w="3099" w:type="dxa"/>
          </w:tcPr>
          <w:p w14:paraId="68C5D16A">
            <w:pPr>
              <w:jc w:val="left"/>
              <w:rPr>
                <w:rFonts w:ascii="Times New Roman" w:hAnsi="Times New Roman" w:cs="Times New Roman"/>
                <w:b/>
                <w:bCs/>
                <w:sz w:val="22"/>
              </w:rPr>
            </w:pPr>
            <w:r>
              <w:rPr>
                <w:rFonts w:ascii="Times New Roman" w:hAnsi="Times New Roman" w:cs="Times New Roman"/>
                <w:b w:val="0"/>
                <w:bCs w:val="0"/>
                <w:sz w:val="22"/>
              </w:rPr>
              <w:t>PVDF-graphite-CB</w:t>
            </w:r>
          </w:p>
        </w:tc>
        <w:tc>
          <w:tcPr>
            <w:tcW w:w="1590" w:type="dxa"/>
            <w:noWrap/>
          </w:tcPr>
          <w:p w14:paraId="5353F331">
            <w:pPr>
              <w:jc w:val="center"/>
              <w:rPr>
                <w:rFonts w:ascii="Times New Roman" w:hAnsi="Times New Roman" w:cs="Times New Roman"/>
                <w:sz w:val="22"/>
              </w:rPr>
            </w:pPr>
            <w:r>
              <w:rPr>
                <w:rFonts w:ascii="Times New Roman" w:hAnsi="Times New Roman" w:cs="Times New Roman"/>
                <w:sz w:val="22"/>
              </w:rPr>
              <w:t>17787</w:t>
            </w:r>
          </w:p>
        </w:tc>
        <w:tc>
          <w:tcPr>
            <w:tcW w:w="2115" w:type="dxa"/>
            <w:noWrap/>
          </w:tcPr>
          <w:p w14:paraId="338A9647">
            <w:pPr>
              <w:jc w:val="center"/>
              <w:rPr>
                <w:rFonts w:ascii="Times New Roman" w:hAnsi="Times New Roman" w:cs="Times New Roman"/>
                <w:sz w:val="22"/>
              </w:rPr>
            </w:pPr>
            <w:r>
              <w:rPr>
                <w:rFonts w:ascii="Times New Roman" w:hAnsi="Times New Roman" w:cs="Times New Roman"/>
                <w:sz w:val="22"/>
              </w:rPr>
              <w:t>Hot Pressing</w:t>
            </w:r>
          </w:p>
        </w:tc>
        <w:tc>
          <w:tcPr>
            <w:tcW w:w="900" w:type="dxa"/>
            <w:noWrap/>
          </w:tcPr>
          <w:p w14:paraId="590C48F9">
            <w:pPr>
              <w:jc w:val="center"/>
              <w:rPr>
                <w:rFonts w:ascii="Times New Roman" w:hAnsi="Times New Roman" w:cs="Times New Roman"/>
                <w:sz w:val="22"/>
              </w:rPr>
            </w:pPr>
            <w:r>
              <w:rPr>
                <w:rFonts w:ascii="Times New Roman" w:hAnsi="Times New Roman" w:cs="Times New Roman"/>
                <w:sz w:val="22"/>
              </w:rPr>
              <w:t>190</w:t>
            </w:r>
          </w:p>
        </w:tc>
        <w:tc>
          <w:tcPr>
            <w:tcW w:w="818" w:type="dxa"/>
            <w:noWrap/>
          </w:tcPr>
          <w:p w14:paraId="517D7271">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{"citationID":"Vai8fMT6","properties":{"formattedCitation":"\\super 22\\nosupersub{}","plainCitation":"22","noteIndex":0},"citationItems":[{"id":2884,"uris":["http://zotero.org/users/16084765/items/BYA2XPEV"],"itemData":{"i</w:instrText>
            </w:r>
            <w:r>
              <w:rPr>
                <w:rFonts w:hint="eastAsia" w:ascii="Times New Roman" w:hAnsi="Times New Roman" w:cs="Times New Roman"/>
                <w:sz w:val="22"/>
                <w:vertAlign w:val="baseline"/>
              </w:rPr>
              <w:instrText xml:space="preserve">d":2884,"type":"article-journal","citation-key":"huLowFillerHighly2022","container-title":"Energy","DOI":"10.1016/j.energy.2022.123982","ISSN":"03605442","journalAbbreviation":"Energy","language":"en","note":"JCR分区: Q1\n中科院分区升级版: 工程技术1区\n影响因子: 9.4\n5年影响因子: 8.8\nEI: 是\nESI: 工程科学\n南农高质量: A","page":"123982","source":"DOI.org (Crossref)","title":"Low filler and highly conductive composite bipolar plates with synergistic segregated structure for enhanced proton exchange membrane fuel cell performance","volume"</w:instrText>
            </w:r>
            <w:r>
              <w:rPr>
                <w:rFonts w:ascii="Times New Roman" w:hAnsi="Times New Roman" w:cs="Times New Roman"/>
                <w:sz w:val="22"/>
                <w:vertAlign w:val="baseline"/>
              </w:rPr>
              <w:instrText xml:space="preserve">:"251","author":[{"family":"Hu","given":"Bin"},{"family":"He","given":"Guangjian"},{"family":"Chang","given":"Fulu"},{"family":"Yang","given":"Han"},{"family":"Cao","given":"Xianwu"},{"family":"Yin","given":"Xiaochun"}],"issued":{"date-parts":[["2022",7]]}}}],"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22</w:t>
            </w:r>
            <w:r>
              <w:rPr>
                <w:rFonts w:ascii="Times New Roman" w:hAnsi="Times New Roman" w:cs="Times New Roman"/>
                <w:sz w:val="22"/>
                <w:vertAlign w:val="baseline"/>
              </w:rPr>
              <w:fldChar w:fldCharType="end"/>
            </w:r>
          </w:p>
        </w:tc>
      </w:tr>
      <w:tr w14:paraId="726C8D76">
        <w:tblPrEx>
          <w:tblCellMar>
            <w:top w:w="0" w:type="dxa"/>
            <w:left w:w="108" w:type="dxa"/>
            <w:bottom w:w="0" w:type="dxa"/>
            <w:right w:w="108" w:type="dxa"/>
          </w:tblCellMar>
        </w:tblPrEx>
        <w:trPr>
          <w:trHeight w:val="261" w:hRule="atLeast"/>
          <w:jc w:val="center"/>
        </w:trPr>
        <w:tc>
          <w:tcPr>
            <w:tcW w:w="3099" w:type="dxa"/>
            <w:shd w:val="clear" w:color="auto" w:fill="F1F1F1" w:themeFill="background1" w:themeFillShade="F2"/>
          </w:tcPr>
          <w:p w14:paraId="2BAC8DC8">
            <w:pPr>
              <w:jc w:val="left"/>
              <w:rPr>
                <w:rFonts w:ascii="Times New Roman" w:hAnsi="Times New Roman" w:cs="Times New Roman"/>
                <w:b/>
                <w:bCs/>
                <w:sz w:val="22"/>
              </w:rPr>
            </w:pPr>
            <w:r>
              <w:rPr>
                <w:rFonts w:ascii="Times New Roman" w:hAnsi="Times New Roman" w:cs="Times New Roman"/>
                <w:b w:val="0"/>
                <w:bCs w:val="0"/>
                <w:sz w:val="22"/>
              </w:rPr>
              <w:t>PANI/CM</w:t>
            </w:r>
          </w:p>
        </w:tc>
        <w:tc>
          <w:tcPr>
            <w:tcW w:w="1590" w:type="dxa"/>
            <w:shd w:val="clear" w:color="auto" w:fill="F1F1F1" w:themeFill="background1" w:themeFillShade="F2"/>
            <w:noWrap/>
          </w:tcPr>
          <w:p w14:paraId="6A3C008A">
            <w:pPr>
              <w:jc w:val="center"/>
              <w:rPr>
                <w:rFonts w:ascii="Times New Roman" w:hAnsi="Times New Roman" w:cs="Times New Roman"/>
                <w:sz w:val="22"/>
              </w:rPr>
            </w:pPr>
            <w:r>
              <w:rPr>
                <w:rFonts w:ascii="Times New Roman" w:hAnsi="Times New Roman" w:cs="Times New Roman"/>
                <w:sz w:val="22"/>
              </w:rPr>
              <w:t>17400</w:t>
            </w:r>
          </w:p>
        </w:tc>
        <w:tc>
          <w:tcPr>
            <w:tcW w:w="2115" w:type="dxa"/>
            <w:shd w:val="clear" w:color="auto" w:fill="F1F1F1" w:themeFill="background1" w:themeFillShade="F2"/>
            <w:noWrap/>
          </w:tcPr>
          <w:p w14:paraId="53445B1B">
            <w:pPr>
              <w:jc w:val="center"/>
              <w:rPr>
                <w:rFonts w:ascii="Times New Roman" w:hAnsi="Times New Roman" w:cs="Times New Roman"/>
                <w:sz w:val="22"/>
              </w:rPr>
            </w:pPr>
            <w:r>
              <w:rPr>
                <w:rFonts w:ascii="Times New Roman" w:hAnsi="Times New Roman" w:cs="Times New Roman"/>
                <w:sz w:val="22"/>
              </w:rPr>
              <w:t>Electrochemical Deposition</w:t>
            </w:r>
          </w:p>
        </w:tc>
        <w:tc>
          <w:tcPr>
            <w:tcW w:w="900" w:type="dxa"/>
            <w:shd w:val="clear" w:color="auto" w:fill="F1F1F1" w:themeFill="background1" w:themeFillShade="F2"/>
            <w:noWrap/>
          </w:tcPr>
          <w:p w14:paraId="73349CBD">
            <w:pPr>
              <w:jc w:val="center"/>
              <w:rPr>
                <w:rFonts w:ascii="Times New Roman" w:hAnsi="Times New Roman" w:cs="Times New Roman"/>
                <w:sz w:val="22"/>
              </w:rPr>
            </w:pPr>
            <w:r>
              <w:rPr>
                <w:rFonts w:ascii="Times New Roman" w:hAnsi="Times New Roman" w:cs="Times New Roman"/>
                <w:sz w:val="22"/>
              </w:rPr>
              <w:t>r.t.</w:t>
            </w:r>
          </w:p>
        </w:tc>
        <w:tc>
          <w:tcPr>
            <w:tcW w:w="818" w:type="dxa"/>
            <w:shd w:val="clear" w:color="auto" w:fill="F1F1F1" w:themeFill="background1" w:themeFillShade="F2"/>
            <w:noWrap/>
          </w:tcPr>
          <w:p w14:paraId="6C8A0424">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{"citationID":"P6gnjqvs","properties":{"formattedCitation":"\\super 23\\nosupersub{}","plainCitation":"23","noteIndex":0},"citationItems":[{"id":2898,"uris":["http://zotero.org/users/16084765/items/C7LGV5PX"],"itemData":{"id":2898,"type":"article-journal","citation-key":"panPreparationPerformancePolyaniline2022","container-title":"Separation and Purification Technology","DOI":"10.1016/j.seppur.2022.120600","ISSN":"13835866","journalAbbreviation":"Sep. Purif. Technol.","lang</w:instrText>
            </w:r>
            <w:r>
              <w:rPr>
                <w:rFonts w:hint="eastAsia" w:ascii="Times New Roman" w:hAnsi="Times New Roman" w:cs="Times New Roman"/>
                <w:sz w:val="22"/>
                <w:vertAlign w:val="baseline"/>
              </w:rPr>
              <w:instrText xml:space="preserve">uage":"en","note":"JCR分区: Q1\n中科院分区升级版: 工程技术2区\n影响因子: 9.0\n5年影响因子: 8.5\nEI: 是\nESI: 化学\n南农高质量: A","page":"120600","source":"DOI.org (Crossref)","title":"Preparation and performance of polyaniline modified coal-based carbon membrane for electrochemical fil</w:instrText>
            </w:r>
            <w:r>
              <w:rPr>
                <w:rFonts w:ascii="Times New Roman" w:hAnsi="Times New Roman" w:cs="Times New Roman"/>
                <w:sz w:val="22"/>
                <w:vertAlign w:val="baseline"/>
              </w:rPr>
              <w:instrText xml:space="preserve">tration treatment of organic wastewater","volume":"287","author":[{"family":"Pan","given":"Zonglin"},{"family":"Xin","given":"Hong"},{"family":"Xu","given":"Shuang"},{"family":"Xu","given":"Ruisong"},{"family":"Wang","given":"Pengcheng"},{"family":"Yuan","given":"Yin"},{"family":"Fan","given":"Xinfei"},{"family":"Song","given":"Yongxin"},{"family":"Song","given":"Chengwen"},{"family":"Wang","given":"Tonghua"}],"issued":{"date-parts":[["2022",4]]}}}],"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23</w:t>
            </w:r>
            <w:r>
              <w:rPr>
                <w:rFonts w:ascii="Times New Roman" w:hAnsi="Times New Roman" w:cs="Times New Roman"/>
                <w:sz w:val="22"/>
                <w:vertAlign w:val="baseline"/>
              </w:rPr>
              <w:fldChar w:fldCharType="end"/>
            </w:r>
          </w:p>
        </w:tc>
      </w:tr>
      <w:tr w14:paraId="4D834813">
        <w:tblPrEx>
          <w:tblCellMar>
            <w:top w:w="0" w:type="dxa"/>
            <w:left w:w="108" w:type="dxa"/>
            <w:bottom w:w="0" w:type="dxa"/>
            <w:right w:w="108" w:type="dxa"/>
          </w:tblCellMar>
        </w:tblPrEx>
        <w:trPr>
          <w:trHeight w:val="379" w:hRule="atLeast"/>
          <w:jc w:val="center"/>
        </w:trPr>
        <w:tc>
          <w:tcPr>
            <w:tcW w:w="3099" w:type="dxa"/>
          </w:tcPr>
          <w:p w14:paraId="2A77B69E">
            <w:pPr>
              <w:jc w:val="left"/>
              <w:rPr>
                <w:rFonts w:ascii="Times New Roman" w:hAnsi="Times New Roman" w:cs="Times New Roman"/>
                <w:b/>
                <w:bCs/>
                <w:sz w:val="22"/>
              </w:rPr>
            </w:pPr>
            <w:r>
              <w:rPr>
                <w:rFonts w:ascii="Times New Roman" w:hAnsi="Times New Roman" w:cs="Times New Roman"/>
                <w:b w:val="0"/>
                <w:bCs w:val="0"/>
                <w:sz w:val="22"/>
              </w:rPr>
              <w:t xml:space="preserve">TiO2/carbon </w:t>
            </w:r>
            <w:r>
              <w:rPr>
                <w:rFonts w:hint="eastAsia" w:ascii="Times New Roman" w:hAnsi="Times New Roman" w:cs="Times New Roman"/>
                <w:b w:val="0"/>
                <w:bCs w:val="0"/>
                <w:sz w:val="22"/>
              </w:rPr>
              <w:t>ECM</w:t>
            </w:r>
          </w:p>
        </w:tc>
        <w:tc>
          <w:tcPr>
            <w:tcW w:w="1590" w:type="dxa"/>
            <w:noWrap/>
          </w:tcPr>
          <w:p w14:paraId="0CEB5654">
            <w:pPr>
              <w:jc w:val="center"/>
              <w:rPr>
                <w:rFonts w:ascii="Times New Roman" w:hAnsi="Times New Roman" w:cs="Times New Roman"/>
                <w:sz w:val="22"/>
              </w:rPr>
            </w:pPr>
            <w:r>
              <w:rPr>
                <w:rFonts w:ascii="Times New Roman" w:hAnsi="Times New Roman" w:cs="Times New Roman"/>
                <w:sz w:val="22"/>
              </w:rPr>
              <w:t>16800</w:t>
            </w:r>
          </w:p>
        </w:tc>
        <w:tc>
          <w:tcPr>
            <w:tcW w:w="2115" w:type="dxa"/>
            <w:noWrap/>
          </w:tcPr>
          <w:p w14:paraId="54B3D122">
            <w:pPr>
              <w:jc w:val="center"/>
              <w:rPr>
                <w:rFonts w:ascii="Times New Roman" w:hAnsi="Times New Roman" w:cs="Times New Roman"/>
                <w:sz w:val="22"/>
              </w:rPr>
            </w:pPr>
            <w:r>
              <w:rPr>
                <w:rFonts w:ascii="Times New Roman" w:hAnsi="Times New Roman" w:cs="Times New Roman"/>
                <w:sz w:val="22"/>
              </w:rPr>
              <w:t>Calcination</w:t>
            </w:r>
          </w:p>
        </w:tc>
        <w:tc>
          <w:tcPr>
            <w:tcW w:w="900" w:type="dxa"/>
            <w:noWrap/>
          </w:tcPr>
          <w:p w14:paraId="4153CAB4">
            <w:pPr>
              <w:jc w:val="center"/>
              <w:rPr>
                <w:rFonts w:ascii="Times New Roman" w:hAnsi="Times New Roman" w:cs="Times New Roman"/>
                <w:sz w:val="22"/>
              </w:rPr>
            </w:pPr>
            <w:r>
              <w:rPr>
                <w:rFonts w:ascii="Times New Roman" w:hAnsi="Times New Roman" w:cs="Times New Roman"/>
                <w:sz w:val="22"/>
              </w:rPr>
              <w:t>950</w:t>
            </w:r>
          </w:p>
        </w:tc>
        <w:tc>
          <w:tcPr>
            <w:tcW w:w="818" w:type="dxa"/>
            <w:noWrap/>
          </w:tcPr>
          <w:p w14:paraId="3C8D1ABB">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{"citationID":"bgNifL2I","properties":{"formattedCitation":"\\super 24\\nosupersub{}","plainCitation":"24","noteIndex":0},"citationItems":[{"id":2885,"uris":["http://zotero.org/users/16084765/items/46NI7PWT"],"itemData":{"i</w:instrText>
            </w:r>
            <w:r>
              <w:rPr>
                <w:rFonts w:hint="eastAsia" w:ascii="Times New Roman" w:hAnsi="Times New Roman" w:cs="Times New Roman"/>
                <w:sz w:val="22"/>
                <w:vertAlign w:val="baseline"/>
              </w:rPr>
              <w:instrText xml:space="preserve">d":2885,"type":"article-journal","citation-key":"liPreparationApplicationHighperformance2022","container-title":"Chemosphere","DOI":"10.1016/j.chemosphere.2022.134017","ISSN":"00456535","journalAbbreviation":"Chemosphere","language":"en","note":"EI: 是\nESI: 环境／生态学\n南农高质量: A","page":"134017","source":"DOI.org (Crossref)","title":"Preparation and application of high-performance and acid-tolerant TiO2/carbon electrocatalytic membrane for organic wastewater treatment","volume":"296","author":[{"family":"Li","</w:instrText>
            </w:r>
            <w:r>
              <w:rPr>
                <w:rFonts w:ascii="Times New Roman" w:hAnsi="Times New Roman" w:cs="Times New Roman"/>
                <w:sz w:val="22"/>
                <w:vertAlign w:val="baseline"/>
              </w:rPr>
              <w:instrText xml:space="preserve">given":"Chen"},{"family":"Feng","given":"Guoqing"},{"family":"Sun","given":"Menghan"},{"family":"Pan","given":"Zonglin"},{"family":"Yan","given":"Xiaoqing"},{"family":"Fan","given":"Xinfei"},{"family":"Song","given":"Chengwen"},{"family":"Wang","given":"Tonghua"}],"issued":{"date-parts":[["2022",6]]}}}],"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24</w:t>
            </w:r>
            <w:r>
              <w:rPr>
                <w:rFonts w:ascii="Times New Roman" w:hAnsi="Times New Roman" w:cs="Times New Roman"/>
                <w:sz w:val="22"/>
                <w:vertAlign w:val="baseline"/>
              </w:rPr>
              <w:fldChar w:fldCharType="end"/>
            </w:r>
          </w:p>
        </w:tc>
      </w:tr>
      <w:tr w14:paraId="3E913686">
        <w:tblPrEx>
          <w:tblCellMar>
            <w:top w:w="0" w:type="dxa"/>
            <w:left w:w="108" w:type="dxa"/>
            <w:bottom w:w="0" w:type="dxa"/>
            <w:right w:w="108" w:type="dxa"/>
          </w:tblCellMar>
        </w:tblPrEx>
        <w:trPr>
          <w:trHeight w:val="285" w:hRule="atLeast"/>
          <w:jc w:val="center"/>
        </w:trPr>
        <w:tc>
          <w:tcPr>
            <w:tcW w:w="3099" w:type="dxa"/>
            <w:shd w:val="clear" w:color="auto" w:fill="F1F1F1" w:themeFill="background1" w:themeFillShade="F2"/>
            <w:noWrap/>
          </w:tcPr>
          <w:p w14:paraId="6CA60BA8">
            <w:pPr>
              <w:jc w:val="left"/>
              <w:rPr>
                <w:rFonts w:ascii="Times New Roman" w:hAnsi="Times New Roman" w:cs="Times New Roman"/>
                <w:b/>
                <w:bCs/>
                <w:sz w:val="22"/>
              </w:rPr>
            </w:pPr>
            <w:r>
              <w:rPr>
                <w:rFonts w:ascii="Times New Roman" w:hAnsi="Times New Roman" w:cs="Times New Roman"/>
                <w:b w:val="0"/>
                <w:bCs w:val="0"/>
                <w:sz w:val="22"/>
              </w:rPr>
              <w:t>Carbon onions</w:t>
            </w:r>
          </w:p>
        </w:tc>
        <w:tc>
          <w:tcPr>
            <w:tcW w:w="1590" w:type="dxa"/>
            <w:shd w:val="clear" w:color="auto" w:fill="F1F1F1" w:themeFill="background1" w:themeFillShade="F2"/>
            <w:noWrap/>
          </w:tcPr>
          <w:p w14:paraId="6B8FF29E">
            <w:pPr>
              <w:jc w:val="center"/>
              <w:rPr>
                <w:rFonts w:ascii="Times New Roman" w:hAnsi="Times New Roman" w:cs="Times New Roman"/>
                <w:sz w:val="22"/>
              </w:rPr>
            </w:pPr>
            <w:r>
              <w:rPr>
                <w:rFonts w:ascii="Times New Roman" w:hAnsi="Times New Roman" w:cs="Times New Roman"/>
                <w:sz w:val="22"/>
              </w:rPr>
              <w:t>14710</w:t>
            </w:r>
          </w:p>
        </w:tc>
        <w:tc>
          <w:tcPr>
            <w:tcW w:w="2115" w:type="dxa"/>
            <w:shd w:val="clear" w:color="auto" w:fill="F1F1F1" w:themeFill="background1" w:themeFillShade="F2"/>
            <w:noWrap/>
          </w:tcPr>
          <w:p w14:paraId="110D0E24">
            <w:pPr>
              <w:jc w:val="center"/>
              <w:rPr>
                <w:rFonts w:ascii="Times New Roman" w:hAnsi="Times New Roman" w:cs="Times New Roman"/>
                <w:sz w:val="22"/>
              </w:rPr>
            </w:pPr>
            <w:r>
              <w:rPr>
                <w:rFonts w:ascii="Times New Roman" w:hAnsi="Times New Roman" w:cs="Times New Roman"/>
                <w:sz w:val="22"/>
              </w:rPr>
              <w:t>Calcination</w:t>
            </w:r>
          </w:p>
        </w:tc>
        <w:tc>
          <w:tcPr>
            <w:tcW w:w="900" w:type="dxa"/>
            <w:shd w:val="clear" w:color="auto" w:fill="F1F1F1" w:themeFill="background1" w:themeFillShade="F2"/>
            <w:noWrap/>
          </w:tcPr>
          <w:p w14:paraId="43EF163F">
            <w:pPr>
              <w:jc w:val="center"/>
              <w:rPr>
                <w:rFonts w:ascii="Times New Roman" w:hAnsi="Times New Roman" w:cs="Times New Roman"/>
                <w:sz w:val="22"/>
              </w:rPr>
            </w:pPr>
            <w:r>
              <w:rPr>
                <w:rFonts w:ascii="Times New Roman" w:hAnsi="Times New Roman" w:cs="Times New Roman"/>
                <w:sz w:val="22"/>
              </w:rPr>
              <w:t>500</w:t>
            </w:r>
          </w:p>
        </w:tc>
        <w:tc>
          <w:tcPr>
            <w:tcW w:w="818" w:type="dxa"/>
            <w:shd w:val="clear" w:color="auto" w:fill="F1F1F1" w:themeFill="background1" w:themeFillShade="F2"/>
            <w:noWrap/>
          </w:tcPr>
          <w:p w14:paraId="50E7AFCA">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{"citationID":"Ubquji0A","properties":{"formattedCitation":"\\super 25\\nosupersub{}","plainCitation":"25","noteIndex":0},"citationItems":[{"id":2886,"uris":["http://zotero.org/users/16084765/items/YRSIBMVT"],"itemData":{"id":2886,"type":"article-journal","citation-key":"zhangNanoporesCreatedCarbon2019a","container-title":"Diamond and Related Materials","DOI":"10.1016/j.diamond.2019.05.015","ISSN":"09259635","journalAbbreviation":"Diamond Relat. Mater.","language":"en","not</w:instrText>
            </w:r>
            <w:r>
              <w:rPr>
                <w:rFonts w:hint="eastAsia" w:ascii="Times New Roman" w:hAnsi="Times New Roman" w:cs="Times New Roman"/>
                <w:sz w:val="22"/>
                <w:vertAlign w:val="baseline"/>
              </w:rPr>
              <w:instrText xml:space="preserve">e":"JCR分区: Q1\n中科院分区升级版: 材料科学3区\n影响因子: 5.1\n5年影响因子: 4.6\nEI: 是\nESI: 材料科学\n南农高质量: B","page":"231-236","source":"DOI.org (Crossref)","title":"Nanopores created by carbon onion conductive agent providing enhanced capacitance in supercapacitors","volume":"96</w:instrText>
            </w:r>
            <w:r>
              <w:rPr>
                <w:rFonts w:ascii="Times New Roman" w:hAnsi="Times New Roman" w:cs="Times New Roman"/>
                <w:sz w:val="22"/>
                <w:vertAlign w:val="baseline"/>
              </w:rPr>
              <w:instrText xml:space="preserve">","author":[{"family":"Zhang","given":"Weike"},{"family":"Wang","given":"Jiawei"},{"family":"Bao","given":"Luyu"},{"family":"Gao","given":"Zeyu"},{"family":"Yu","given":"Junsheng"}],"issued":{"date-parts":[["2019",6]]}}}],"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25</w:t>
            </w:r>
            <w:r>
              <w:rPr>
                <w:rFonts w:ascii="Times New Roman" w:hAnsi="Times New Roman" w:cs="Times New Roman"/>
                <w:sz w:val="22"/>
                <w:vertAlign w:val="baseline"/>
              </w:rPr>
              <w:fldChar w:fldCharType="end"/>
            </w:r>
          </w:p>
        </w:tc>
      </w:tr>
      <w:tr w14:paraId="1F710662">
        <w:tblPrEx>
          <w:tblCellMar>
            <w:top w:w="0" w:type="dxa"/>
            <w:left w:w="108" w:type="dxa"/>
            <w:bottom w:w="0" w:type="dxa"/>
            <w:right w:w="108" w:type="dxa"/>
          </w:tblCellMar>
        </w:tblPrEx>
        <w:trPr>
          <w:trHeight w:val="300" w:hRule="atLeast"/>
          <w:jc w:val="center"/>
        </w:trPr>
        <w:tc>
          <w:tcPr>
            <w:tcW w:w="3099" w:type="dxa"/>
            <w:noWrap/>
          </w:tcPr>
          <w:p w14:paraId="1928C372">
            <w:pPr>
              <w:jc w:val="left"/>
              <w:rPr>
                <w:rFonts w:ascii="Times New Roman" w:hAnsi="Times New Roman" w:cs="Times New Roman"/>
                <w:b/>
                <w:bCs/>
                <w:sz w:val="22"/>
              </w:rPr>
            </w:pPr>
            <w:r>
              <w:rPr>
                <w:rFonts w:ascii="Times New Roman" w:hAnsi="Times New Roman" w:cs="Times New Roman"/>
                <w:b w:val="0"/>
                <w:bCs w:val="0"/>
                <w:sz w:val="22"/>
              </w:rPr>
              <w:t>1-32%-4h TCF</w:t>
            </w:r>
          </w:p>
        </w:tc>
        <w:tc>
          <w:tcPr>
            <w:tcW w:w="1590" w:type="dxa"/>
            <w:noWrap/>
          </w:tcPr>
          <w:p w14:paraId="0FCA5CA0">
            <w:pPr>
              <w:jc w:val="center"/>
              <w:rPr>
                <w:rFonts w:ascii="Times New Roman" w:hAnsi="Times New Roman" w:cs="Times New Roman"/>
                <w:sz w:val="22"/>
              </w:rPr>
            </w:pPr>
            <w:r>
              <w:rPr>
                <w:rFonts w:ascii="Times New Roman" w:hAnsi="Times New Roman" w:cs="Times New Roman"/>
                <w:sz w:val="22"/>
              </w:rPr>
              <w:t>13812</w:t>
            </w:r>
          </w:p>
        </w:tc>
        <w:tc>
          <w:tcPr>
            <w:tcW w:w="2115" w:type="dxa"/>
            <w:noWrap/>
          </w:tcPr>
          <w:p w14:paraId="35BF0D6F">
            <w:pPr>
              <w:jc w:val="center"/>
              <w:rPr>
                <w:rFonts w:ascii="Times New Roman" w:hAnsi="Times New Roman" w:cs="Times New Roman"/>
                <w:sz w:val="22"/>
              </w:rPr>
            </w:pPr>
            <w:r>
              <w:rPr>
                <w:rFonts w:ascii="Times New Roman" w:hAnsi="Times New Roman" w:cs="Times New Roman"/>
                <w:b w:val="0"/>
                <w:bCs w:val="0"/>
                <w:sz w:val="22"/>
              </w:rPr>
              <w:t>This work</w:t>
            </w:r>
          </w:p>
        </w:tc>
        <w:tc>
          <w:tcPr>
            <w:tcW w:w="900" w:type="dxa"/>
            <w:noWrap/>
          </w:tcPr>
          <w:p w14:paraId="74E6F37A">
            <w:pPr>
              <w:jc w:val="center"/>
              <w:rPr>
                <w:rFonts w:ascii="Times New Roman" w:hAnsi="Times New Roman" w:cs="Times New Roman"/>
                <w:sz w:val="22"/>
              </w:rPr>
            </w:pPr>
            <w:r>
              <w:rPr>
                <w:rFonts w:ascii="Times New Roman" w:hAnsi="Times New Roman" w:cs="Times New Roman"/>
                <w:sz w:val="22"/>
              </w:rPr>
              <w:t>r.t.</w:t>
            </w:r>
          </w:p>
        </w:tc>
        <w:tc>
          <w:tcPr>
            <w:tcW w:w="818" w:type="dxa"/>
            <w:noWrap/>
          </w:tcPr>
          <w:p w14:paraId="24516C42">
            <w:pPr>
              <w:jc w:val="center"/>
              <w:rPr>
                <w:rFonts w:ascii="Times New Roman" w:hAnsi="Times New Roman" w:cs="Times New Roman"/>
                <w:sz w:val="22"/>
                <w:vertAlign w:val="baseline"/>
              </w:rPr>
            </w:pPr>
            <w:r>
              <w:rPr>
                <w:rFonts w:ascii="Times New Roman" w:hAnsi="Times New Roman" w:cs="Times New Roman"/>
                <w:sz w:val="22"/>
                <w:vertAlign w:val="baseline"/>
              </w:rPr>
              <w:t>-</w:t>
            </w:r>
          </w:p>
        </w:tc>
      </w:tr>
      <w:tr w14:paraId="741C3561">
        <w:tblPrEx>
          <w:tblCellMar>
            <w:top w:w="0" w:type="dxa"/>
            <w:left w:w="108" w:type="dxa"/>
            <w:bottom w:w="0" w:type="dxa"/>
            <w:right w:w="108" w:type="dxa"/>
          </w:tblCellMar>
        </w:tblPrEx>
        <w:trPr>
          <w:trHeight w:val="285" w:hRule="atLeast"/>
          <w:jc w:val="center"/>
        </w:trPr>
        <w:tc>
          <w:tcPr>
            <w:tcW w:w="3099" w:type="dxa"/>
            <w:shd w:val="clear" w:color="auto" w:fill="F1F1F1" w:themeFill="background1" w:themeFillShade="F2"/>
            <w:noWrap/>
          </w:tcPr>
          <w:p w14:paraId="297DB9D0">
            <w:pPr>
              <w:jc w:val="left"/>
              <w:rPr>
                <w:rFonts w:ascii="Times New Roman" w:hAnsi="Times New Roman" w:cs="Times New Roman"/>
                <w:b/>
                <w:bCs/>
                <w:sz w:val="22"/>
              </w:rPr>
            </w:pPr>
            <w:r>
              <w:rPr>
                <w:rFonts w:ascii="Times New Roman" w:hAnsi="Times New Roman" w:cs="Times New Roman"/>
                <w:b w:val="0"/>
                <w:bCs w:val="0"/>
                <w:sz w:val="22"/>
              </w:rPr>
              <w:t>CNT/SiC-B4C</w:t>
            </w:r>
          </w:p>
        </w:tc>
        <w:tc>
          <w:tcPr>
            <w:tcW w:w="1590" w:type="dxa"/>
            <w:shd w:val="clear" w:color="auto" w:fill="F1F1F1" w:themeFill="background1" w:themeFillShade="F2"/>
            <w:noWrap/>
          </w:tcPr>
          <w:p w14:paraId="754A322D">
            <w:pPr>
              <w:jc w:val="center"/>
              <w:rPr>
                <w:rFonts w:ascii="Times New Roman" w:hAnsi="Times New Roman" w:cs="Times New Roman"/>
                <w:sz w:val="22"/>
              </w:rPr>
            </w:pPr>
            <w:r>
              <w:rPr>
                <w:rFonts w:ascii="Times New Roman" w:hAnsi="Times New Roman" w:cs="Times New Roman"/>
                <w:sz w:val="22"/>
              </w:rPr>
              <w:t>13440</w:t>
            </w:r>
          </w:p>
        </w:tc>
        <w:tc>
          <w:tcPr>
            <w:tcW w:w="2115" w:type="dxa"/>
            <w:shd w:val="clear" w:color="auto" w:fill="F1F1F1" w:themeFill="background1" w:themeFillShade="F2"/>
            <w:noWrap/>
          </w:tcPr>
          <w:p w14:paraId="51984055">
            <w:pPr>
              <w:jc w:val="center"/>
              <w:rPr>
                <w:rFonts w:ascii="Times New Roman" w:hAnsi="Times New Roman" w:cs="Times New Roman"/>
                <w:sz w:val="22"/>
              </w:rPr>
            </w:pPr>
            <w:r>
              <w:rPr>
                <w:rFonts w:ascii="Times New Roman" w:hAnsi="Times New Roman" w:cs="Times New Roman"/>
                <w:sz w:val="22"/>
              </w:rPr>
              <w:t>Calcination</w:t>
            </w:r>
          </w:p>
        </w:tc>
        <w:tc>
          <w:tcPr>
            <w:tcW w:w="900" w:type="dxa"/>
            <w:shd w:val="clear" w:color="auto" w:fill="F1F1F1" w:themeFill="background1" w:themeFillShade="F2"/>
            <w:noWrap/>
          </w:tcPr>
          <w:p w14:paraId="594D4D32">
            <w:pPr>
              <w:jc w:val="center"/>
              <w:rPr>
                <w:rFonts w:ascii="Times New Roman" w:hAnsi="Times New Roman" w:cs="Times New Roman"/>
                <w:sz w:val="22"/>
              </w:rPr>
            </w:pPr>
            <w:r>
              <w:rPr>
                <w:rFonts w:ascii="Times New Roman" w:hAnsi="Times New Roman" w:cs="Times New Roman"/>
                <w:sz w:val="22"/>
              </w:rPr>
              <w:t>1600</w:t>
            </w:r>
          </w:p>
        </w:tc>
        <w:tc>
          <w:tcPr>
            <w:tcW w:w="818" w:type="dxa"/>
            <w:shd w:val="clear" w:color="auto" w:fill="F1F1F1" w:themeFill="background1" w:themeFillShade="F2"/>
            <w:noWrap/>
          </w:tcPr>
          <w:p w14:paraId="5C100F34">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{"citationID":"18LdxL9J","properties":{"formattedCitation":"\\super 26\\nosupersub{}","plainCitation":"26","noteIndex":0},"citationItems":[{"id":2890,"uris":["http://zotero.org/users/16084765/items/3B2C6PBV"],"itemData":{"id":2890,"type":"article-journal","citation-key":"caiMechanicalElectricalProperties2016a","container-title":"Ceramics International","DOI":"10.1016/j.ceramint.2015.12.011","ISSN":"02728842","issue":"4","journalAbbreviation":"Ceram. Int.","language":"en","n</w:instrText>
            </w:r>
            <w:r>
              <w:rPr>
                <w:rFonts w:hint="eastAsia" w:ascii="Times New Roman" w:hAnsi="Times New Roman" w:cs="Times New Roman"/>
                <w:sz w:val="22"/>
                <w:vertAlign w:val="baseline"/>
              </w:rPr>
              <w:instrText xml:space="preserve">ote":"JCR分区: Q1\n中科院分区升级版: 材料科学2区\n影响因子: 5.6\n5年影响因子: 5.2\nEI: 是\nESI: 材料科学\n南农高质量: A","page":"4984-4992","source":"DOI.org (Crossref)","title":"Mechanical and electrical properties of carbon nanotube buckypaper reinforced silicon carbide nanocomposites",</w:instrText>
            </w:r>
            <w:r>
              <w:rPr>
                <w:rFonts w:ascii="Times New Roman" w:hAnsi="Times New Roman" w:cs="Times New Roman"/>
                <w:sz w:val="22"/>
                <w:vertAlign w:val="baseline"/>
              </w:rPr>
              <w:instrText xml:space="preserve">"volume":"42","author":[{"family":"Cai","given":"Yanzhi"},{"family":"Chen","given":"Lingqi"},{"family":"Yang","given":"Hongjiang"},{"family":"Gou","given":"Jihua"},{"family":"Cheng","given":"Laifei"},{"family":"Yin","given":"Xiaowei"},{"family":"Yin","given":"Hongfeng"}],"issued":{"date-parts":[["2016",3]]}}}],"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26</w:t>
            </w:r>
            <w:r>
              <w:rPr>
                <w:rFonts w:ascii="Times New Roman" w:hAnsi="Times New Roman" w:cs="Times New Roman"/>
                <w:sz w:val="22"/>
                <w:vertAlign w:val="baseline"/>
              </w:rPr>
              <w:fldChar w:fldCharType="end"/>
            </w:r>
          </w:p>
        </w:tc>
      </w:tr>
      <w:tr w14:paraId="0A31ABD2">
        <w:tblPrEx>
          <w:tblCellMar>
            <w:top w:w="0" w:type="dxa"/>
            <w:left w:w="108" w:type="dxa"/>
            <w:bottom w:w="0" w:type="dxa"/>
            <w:right w:w="108" w:type="dxa"/>
          </w:tblCellMar>
        </w:tblPrEx>
        <w:trPr>
          <w:trHeight w:val="300" w:hRule="atLeast"/>
          <w:jc w:val="center"/>
        </w:trPr>
        <w:tc>
          <w:tcPr>
            <w:tcW w:w="3099" w:type="dxa"/>
            <w:noWrap/>
          </w:tcPr>
          <w:p w14:paraId="65224193">
            <w:pPr>
              <w:jc w:val="left"/>
              <w:rPr>
                <w:rFonts w:ascii="Times New Roman" w:hAnsi="Times New Roman" w:cs="Times New Roman"/>
                <w:b/>
                <w:bCs/>
                <w:sz w:val="22"/>
              </w:rPr>
            </w:pPr>
            <w:r>
              <w:rPr>
                <w:rFonts w:ascii="Times New Roman" w:hAnsi="Times New Roman" w:cs="Times New Roman"/>
                <w:b w:val="0"/>
                <w:bCs w:val="0"/>
                <w:sz w:val="22"/>
              </w:rPr>
              <w:t>rGO-CNT membrane</w:t>
            </w:r>
          </w:p>
        </w:tc>
        <w:tc>
          <w:tcPr>
            <w:tcW w:w="1590" w:type="dxa"/>
            <w:noWrap/>
          </w:tcPr>
          <w:p w14:paraId="780E512B">
            <w:pPr>
              <w:jc w:val="center"/>
              <w:rPr>
                <w:rFonts w:ascii="Times New Roman" w:hAnsi="Times New Roman" w:cs="Times New Roman"/>
                <w:sz w:val="22"/>
              </w:rPr>
            </w:pPr>
            <w:r>
              <w:rPr>
                <w:rFonts w:ascii="Times New Roman" w:hAnsi="Times New Roman" w:cs="Times New Roman"/>
                <w:sz w:val="22"/>
              </w:rPr>
              <w:t>10000</w:t>
            </w:r>
          </w:p>
        </w:tc>
        <w:tc>
          <w:tcPr>
            <w:tcW w:w="2115" w:type="dxa"/>
            <w:noWrap/>
          </w:tcPr>
          <w:p w14:paraId="134CC093">
            <w:pPr>
              <w:jc w:val="center"/>
              <w:rPr>
                <w:rFonts w:ascii="Times New Roman" w:hAnsi="Times New Roman" w:cs="Times New Roman"/>
                <w:sz w:val="22"/>
              </w:rPr>
            </w:pPr>
            <w:r>
              <w:rPr>
                <w:rFonts w:ascii="Times New Roman" w:hAnsi="Times New Roman" w:cs="Times New Roman"/>
                <w:sz w:val="22"/>
              </w:rPr>
              <w:t>Bar Coating</w:t>
            </w:r>
          </w:p>
        </w:tc>
        <w:tc>
          <w:tcPr>
            <w:tcW w:w="900" w:type="dxa"/>
            <w:noWrap/>
          </w:tcPr>
          <w:p w14:paraId="00976065">
            <w:pPr>
              <w:jc w:val="center"/>
              <w:rPr>
                <w:rFonts w:ascii="Times New Roman" w:hAnsi="Times New Roman" w:cs="Times New Roman"/>
                <w:sz w:val="22"/>
              </w:rPr>
            </w:pPr>
            <w:r>
              <w:rPr>
                <w:rFonts w:ascii="Times New Roman" w:hAnsi="Times New Roman" w:cs="Times New Roman"/>
                <w:sz w:val="22"/>
              </w:rPr>
              <w:t>r.t.</w:t>
            </w:r>
          </w:p>
        </w:tc>
        <w:tc>
          <w:tcPr>
            <w:tcW w:w="818" w:type="dxa"/>
            <w:noWrap/>
          </w:tcPr>
          <w:p w14:paraId="24B90F5D">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{"citationID":"RBa29cJT","properties":{"formattedCitation":"\\super 27\\nosupersub{}","plainCitation":"27","noteIndex":0},"citationItems":[{"id":2816,"uris":["http://zotero.org/users/16084765/items/UKC6DUTP"],"itemData":{"i</w:instrText>
            </w:r>
            <w:r>
              <w:rPr>
                <w:rFonts w:hint="eastAsia" w:ascii="Times New Roman" w:hAnsi="Times New Roman" w:cs="Times New Roman"/>
                <w:sz w:val="22"/>
                <w:vertAlign w:val="baseline"/>
              </w:rPr>
              <w:instrText xml:space="preserve">d":2816,"type":"article-journal","abstract":"Abstract\n            \n              A simple and scalable method to fabricate a yarn‐type supercapacitor with a large specific capacitance without the aid of traditional pseudocapacitive electrode materials such as conducting polymers and metal oxides is reported. The yarn‐type supercapacitors are made from twisting reduced graphene oxide (rGO) or/and single‐walled carbon nanotubes (SWNTs)‐coated Korean traditional paper (KTP). The yarn‐type paper supercapacitor displays surprisingly enhanced electrochemical capacitance values, showing synergistic effect between rGO and SWNTs (500 times larger than performance of yarn‐type rGO‐coated paper supercapacitors). Coating rGO or/and SWNTs on KTP gives good morphology to the composite film, in which porosity increases and mean pore diameter decreases. The yarn‐type rGO/SWNT paper supercapacitor shows good mechanical strength, high flexibility, excellent electrochemical performance, and long‐life operation. The yarn‐t</w:instrText>
            </w:r>
            <w:r>
              <w:rPr>
                <w:rFonts w:ascii="Times New Roman" w:hAnsi="Times New Roman" w:cs="Times New Roman"/>
                <w:sz w:val="22"/>
                <w:vertAlign w:val="baseline"/>
              </w:rPr>
              <w:instrText xml:space="preserve">ype supercapacitor has an excellent electrochemical performance with a specific capacitance of 366 F g\n              −1\n              at scan rate of 25 mV s\n              −1\n              and high stability without any degradation in electrical performance up to 10 000 charge–discharge cycles. The average capacitance of rGO/SWNT@KTP yarn</w:instrText>
            </w:r>
            <w:r>
              <w:rPr>
                <w:rFonts w:hint="eastAsia" w:ascii="Times New Roman" w:hAnsi="Times New Roman" w:cs="Times New Roman"/>
                <w:sz w:val="22"/>
                <w:vertAlign w:val="baseline"/>
              </w:rPr>
              <w:instrText xml:space="preserve">‐</w:instrText>
            </w:r>
            <w:r>
              <w:rPr>
                <w:rFonts w:ascii="Times New Roman" w:hAnsi="Times New Roman" w:cs="Times New Roman"/>
                <w:sz w:val="22"/>
                <w:vertAlign w:val="baseline"/>
              </w:rPr>
              <w:instrText xml:space="preserve">type supercapacitors is seven times higher than that of sheet</w:instrText>
            </w:r>
            <w:r>
              <w:rPr>
                <w:rFonts w:hint="eastAsia" w:ascii="Times New Roman" w:hAnsi="Times New Roman" w:cs="Times New Roman"/>
                <w:sz w:val="22"/>
                <w:vertAlign w:val="baseline"/>
              </w:rPr>
              <w:instrText xml:space="preserve">‐</w:instrText>
            </w:r>
            <w:r>
              <w:rPr>
                <w:rFonts w:ascii="Times New Roman" w:hAnsi="Times New Roman" w:cs="Times New Roman"/>
                <w:sz w:val="22"/>
                <w:vertAlign w:val="baseline"/>
              </w:rPr>
              <w:instrText xml:space="preserve">type supercapacitors at scan rate of 500 mV s\n              −1\n              . The lighting of a red </w:instrText>
            </w:r>
            <w:r>
              <w:rPr>
                <w:rFonts w:hint="eastAsia" w:ascii="Times New Roman" w:hAnsi="Times New Roman" w:cs="Times New Roman"/>
                <w:sz w:val="22"/>
                <w:vertAlign w:val="baseline"/>
              </w:rPr>
              <w:instrText xml:space="preserve">light‐emitting diode (LED) is demonstrated by the yarn‐type paper supercapacitor without connecting supercapacitors in series.","citation-key":"heoLargescaleConductiveYarns2018","container-title":"Advanced Energy Materials","DOI":"10.1002/aenm.201801854",</w:instrText>
            </w:r>
            <w:r>
              <w:rPr>
                <w:rFonts w:ascii="Times New Roman" w:hAnsi="Times New Roman" w:cs="Times New Roman"/>
                <w:sz w:val="22"/>
                <w:vertAlign w:val="baseline"/>
              </w:rPr>
              <w:instrText xml:space="preserve">"ISSN":"1614-6832, 1614-6840","issue":"27","journalAbbreviation":"Adv. Energy Mater.","language":"en","page":"1801854","source":"DOI.org (Crossref)","title":"Large-scale conductive yarns based on twistable korean traditional paper (hanji) for supercapacitor applications: toward high-performance paper supercapacitors","title-short":"Large-scale conductive yarns based on twistable korean traditional paper (hanji) for supercapacitor applications","volume":"8","author":[{"family":"Heo","given":"Young-Jung"},{"family":"Lee","given":"Ji Won"},{"family":"Son","given":"Yeong-Rae"},{"family":"Lee","given":"Jong-Hoon"},{"family":"Yeo","given":"Chang Su"},{"family":"Lam","given":"Tran Dai"},{"family":"Park","given":"Sang Yoon"},{"family":"Park","given":"Soo-Jin"},{"family":"Sinh","given":"Le Hoang"},{"family":"Shin","given":"Min Kyoon"}],"issued":{"date-parts":[["2018",9]]}}}],"schema":"https://github.com/citation-style-language/schema/raw/master/csl-citation.json"}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27</w:t>
            </w:r>
            <w:r>
              <w:rPr>
                <w:rFonts w:ascii="Times New Roman" w:hAnsi="Times New Roman" w:cs="Times New Roman"/>
                <w:sz w:val="22"/>
                <w:vertAlign w:val="baseline"/>
              </w:rPr>
              <w:fldChar w:fldCharType="end"/>
            </w:r>
          </w:p>
        </w:tc>
      </w:tr>
      <w:tr w14:paraId="154C8879">
        <w:tblPrEx>
          <w:tblCellMar>
            <w:top w:w="0" w:type="dxa"/>
            <w:left w:w="108" w:type="dxa"/>
            <w:bottom w:w="0" w:type="dxa"/>
            <w:right w:w="108" w:type="dxa"/>
          </w:tblCellMar>
        </w:tblPrEx>
        <w:trPr>
          <w:trHeight w:val="285" w:hRule="atLeast"/>
          <w:jc w:val="center"/>
        </w:trPr>
        <w:tc>
          <w:tcPr>
            <w:tcW w:w="3099" w:type="dxa"/>
            <w:shd w:val="clear" w:color="auto" w:fill="F1F1F1" w:themeFill="background1" w:themeFillShade="F2"/>
            <w:noWrap/>
          </w:tcPr>
          <w:p w14:paraId="32285770">
            <w:pPr>
              <w:jc w:val="left"/>
              <w:rPr>
                <w:rFonts w:ascii="Times New Roman" w:hAnsi="Times New Roman" w:cs="Times New Roman"/>
                <w:b/>
                <w:bCs/>
                <w:sz w:val="22"/>
              </w:rPr>
            </w:pPr>
            <w:r>
              <w:rPr>
                <w:rFonts w:ascii="Times New Roman" w:hAnsi="Times New Roman" w:cs="Times New Roman"/>
                <w:b w:val="0"/>
                <w:bCs w:val="0"/>
                <w:sz w:val="22"/>
              </w:rPr>
              <w:t>CNT/SiC</w:t>
            </w:r>
          </w:p>
        </w:tc>
        <w:tc>
          <w:tcPr>
            <w:tcW w:w="1590" w:type="dxa"/>
            <w:shd w:val="clear" w:color="auto" w:fill="F1F1F1" w:themeFill="background1" w:themeFillShade="F2"/>
            <w:noWrap/>
          </w:tcPr>
          <w:p w14:paraId="7C15B994">
            <w:pPr>
              <w:jc w:val="center"/>
              <w:rPr>
                <w:rFonts w:ascii="Times New Roman" w:hAnsi="Times New Roman" w:cs="Times New Roman"/>
                <w:sz w:val="22"/>
              </w:rPr>
            </w:pPr>
            <w:r>
              <w:rPr>
                <w:rFonts w:ascii="Times New Roman" w:hAnsi="Times New Roman" w:cs="Times New Roman"/>
                <w:sz w:val="22"/>
              </w:rPr>
              <w:t>8064</w:t>
            </w:r>
          </w:p>
        </w:tc>
        <w:tc>
          <w:tcPr>
            <w:tcW w:w="2115" w:type="dxa"/>
            <w:shd w:val="clear" w:color="auto" w:fill="F1F1F1" w:themeFill="background1" w:themeFillShade="F2"/>
            <w:noWrap/>
          </w:tcPr>
          <w:p w14:paraId="0665F63B">
            <w:pPr>
              <w:jc w:val="center"/>
              <w:rPr>
                <w:rFonts w:ascii="Times New Roman" w:hAnsi="Times New Roman" w:cs="Times New Roman"/>
                <w:sz w:val="22"/>
              </w:rPr>
            </w:pPr>
            <w:r>
              <w:rPr>
                <w:rFonts w:ascii="Times New Roman" w:hAnsi="Times New Roman" w:cs="Times New Roman"/>
                <w:sz w:val="22"/>
              </w:rPr>
              <w:t>Calcination</w:t>
            </w:r>
          </w:p>
        </w:tc>
        <w:tc>
          <w:tcPr>
            <w:tcW w:w="900" w:type="dxa"/>
            <w:shd w:val="clear" w:color="auto" w:fill="F1F1F1" w:themeFill="background1" w:themeFillShade="F2"/>
            <w:noWrap/>
          </w:tcPr>
          <w:p w14:paraId="2660D6B0">
            <w:pPr>
              <w:jc w:val="center"/>
              <w:rPr>
                <w:rFonts w:ascii="Times New Roman" w:hAnsi="Times New Roman" w:cs="Times New Roman"/>
                <w:sz w:val="22"/>
              </w:rPr>
            </w:pPr>
            <w:r>
              <w:rPr>
                <w:rFonts w:ascii="Times New Roman" w:hAnsi="Times New Roman" w:cs="Times New Roman"/>
                <w:sz w:val="22"/>
              </w:rPr>
              <w:t>1600</w:t>
            </w:r>
          </w:p>
        </w:tc>
        <w:tc>
          <w:tcPr>
            <w:tcW w:w="818" w:type="dxa"/>
            <w:shd w:val="clear" w:color="auto" w:fill="F1F1F1" w:themeFill="background1" w:themeFillShade="F2"/>
            <w:noWrap/>
          </w:tcPr>
          <w:p w14:paraId="75D4A4F0">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{"citationID":"H8nbOlkD","properties":{"formattedCitation":"\\super 26\\nosupersub{}","plainCitation":"26","noteIndex":0},"citationItems":[{"id":2890,"uris":["http://zotero.org/users/16084765/items/3B2C6PBV"],"itemData":{"id":2890,"type":"article-journal","citation-key":"caiMechanicalElectricalProperties2016a","container-title":"Ceramics International","DOI":"10.1016/j.ceramint.2015.12.011","ISSN":"02728842","issue":"4","journalAbbreviation":"Ceram. Int.","language":"en","n</w:instrText>
            </w:r>
            <w:r>
              <w:rPr>
                <w:rFonts w:hint="eastAsia" w:ascii="Times New Roman" w:hAnsi="Times New Roman" w:cs="Times New Roman"/>
                <w:sz w:val="22"/>
                <w:vertAlign w:val="baseline"/>
              </w:rPr>
              <w:instrText xml:space="preserve">ote":"JCR分区: Q1\n中科院分区升级版: 材料科学2区\n影响因子: 5.6\n5年影响因子: 5.2\nEI: 是\nESI: 材料科学\n南农高质量: A","page":"4984-4992","source":"DOI.org (Crossref)","title":"Mechanical and electrical properties of carbon nanotube buckypaper reinforced silicon carbide nanocomposites",</w:instrText>
            </w:r>
            <w:r>
              <w:rPr>
                <w:rFonts w:ascii="Times New Roman" w:hAnsi="Times New Roman" w:cs="Times New Roman"/>
                <w:sz w:val="22"/>
                <w:vertAlign w:val="baseline"/>
              </w:rPr>
              <w:instrText xml:space="preserve">"volume":"42","author":[{"family":"Cai","given":"Yanzhi"},{"family":"Chen","given":"Lingqi"},{"family":"Yang","given":"Hongjiang"},{"family":"Gou","given":"Jihua"},{"family":"Cheng","given":"Laifei"},{"family":"Yin","given":"Xiaowei"},{"family":"Yin","given":"Hongfeng"}],"issued":{"date-parts":[["2016",3]]}}}],"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26</w:t>
            </w:r>
            <w:r>
              <w:rPr>
                <w:rFonts w:ascii="Times New Roman" w:hAnsi="Times New Roman" w:cs="Times New Roman"/>
                <w:sz w:val="22"/>
                <w:vertAlign w:val="baseline"/>
              </w:rPr>
              <w:fldChar w:fldCharType="end"/>
            </w:r>
          </w:p>
        </w:tc>
      </w:tr>
      <w:tr w14:paraId="357645DE">
        <w:tblPrEx>
          <w:tblCellMar>
            <w:top w:w="0" w:type="dxa"/>
            <w:left w:w="108" w:type="dxa"/>
            <w:bottom w:w="0" w:type="dxa"/>
            <w:right w:w="108" w:type="dxa"/>
          </w:tblCellMar>
        </w:tblPrEx>
        <w:trPr>
          <w:trHeight w:val="345" w:hRule="atLeast"/>
          <w:jc w:val="center"/>
        </w:trPr>
        <w:tc>
          <w:tcPr>
            <w:tcW w:w="3099" w:type="dxa"/>
            <w:noWrap/>
          </w:tcPr>
          <w:p w14:paraId="72091D56">
            <w:pPr>
              <w:jc w:val="left"/>
              <w:rPr>
                <w:rFonts w:ascii="Times New Roman" w:hAnsi="Times New Roman" w:cs="Times New Roman"/>
                <w:b/>
                <w:bCs/>
                <w:sz w:val="22"/>
              </w:rPr>
            </w:pPr>
            <w:r>
              <w:rPr>
                <w:rFonts w:hint="eastAsia" w:ascii="Times New Roman" w:hAnsi="Times New Roman" w:cs="Times New Roman"/>
                <w:b w:val="0"/>
                <w:bCs w:val="0"/>
                <w:sz w:val="22"/>
              </w:rPr>
              <w:t>G</w:t>
            </w:r>
            <w:r>
              <w:rPr>
                <w:rFonts w:ascii="Times New Roman" w:hAnsi="Times New Roman" w:cs="Times New Roman"/>
                <w:b w:val="0"/>
                <w:bCs w:val="0"/>
                <w:sz w:val="22"/>
              </w:rPr>
              <w:t>raphene paper</w:t>
            </w:r>
          </w:p>
        </w:tc>
        <w:tc>
          <w:tcPr>
            <w:tcW w:w="1590" w:type="dxa"/>
            <w:noWrap/>
          </w:tcPr>
          <w:p w14:paraId="3493269A">
            <w:pPr>
              <w:jc w:val="center"/>
              <w:rPr>
                <w:rFonts w:ascii="Times New Roman" w:hAnsi="Times New Roman" w:cs="Times New Roman"/>
                <w:sz w:val="22"/>
              </w:rPr>
            </w:pPr>
            <w:r>
              <w:rPr>
                <w:rFonts w:ascii="Times New Roman" w:hAnsi="Times New Roman" w:cs="Times New Roman"/>
                <w:sz w:val="22"/>
              </w:rPr>
              <w:t>7200</w:t>
            </w:r>
          </w:p>
        </w:tc>
        <w:tc>
          <w:tcPr>
            <w:tcW w:w="2115" w:type="dxa"/>
            <w:noWrap/>
          </w:tcPr>
          <w:p w14:paraId="7B3FA665">
            <w:pPr>
              <w:jc w:val="center"/>
              <w:rPr>
                <w:rFonts w:ascii="Times New Roman" w:hAnsi="Times New Roman" w:cs="Times New Roman"/>
                <w:sz w:val="22"/>
              </w:rPr>
            </w:pPr>
            <w:r>
              <w:rPr>
                <w:rFonts w:ascii="Times New Roman" w:hAnsi="Times New Roman" w:cs="Times New Roman"/>
                <w:sz w:val="22"/>
              </w:rPr>
              <w:t>Chemical reduction &amp; Vacuum filtration</w:t>
            </w:r>
          </w:p>
        </w:tc>
        <w:tc>
          <w:tcPr>
            <w:tcW w:w="900" w:type="dxa"/>
            <w:noWrap/>
          </w:tcPr>
          <w:p w14:paraId="7BC96334">
            <w:pPr>
              <w:jc w:val="center"/>
              <w:rPr>
                <w:rFonts w:ascii="Times New Roman" w:hAnsi="Times New Roman" w:cs="Times New Roman"/>
                <w:sz w:val="22"/>
              </w:rPr>
            </w:pPr>
            <w:r>
              <w:rPr>
                <w:rFonts w:ascii="Times New Roman" w:hAnsi="Times New Roman" w:cs="Times New Roman"/>
                <w:sz w:val="22"/>
              </w:rPr>
              <w:t>95</w:t>
            </w:r>
          </w:p>
        </w:tc>
        <w:tc>
          <w:tcPr>
            <w:tcW w:w="818" w:type="dxa"/>
            <w:noWrap/>
          </w:tcPr>
          <w:p w14:paraId="63BD9215">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{"citationID":"ngT6hm2R","properties":{"formattedCitation":"\\super 28\\nosupersub{}","plainCitation":"28","noteIndex":0},"citationItems":[{"id":2821,"uris":["http://zotero.org/users/16084765/items/753TXWCV"],"itemData":{"id":2821,"type":"article-journal","citation-key":"liProcessableAqueousDispersions2008","container-title":"Nature Nanotechnology","DOI":"10.1038/nnano.2007.451","ISSN":"1748-3387, 1748-3395","issue":"2","journalAbbreviation":"Nat. Nanotechnol.","language":"en","license":"http://www.springer.com/tdm","note":"TLDR: It is reported that chemically converted graphene sheets obtained from graphite can readily form stable aqueous colloids through electrostatic stabilization, making it possible to process graphene materials using low-cost solution processing techniques, opening up enormous opportunities to use this unique carbon nanostructure for many technological applications.","page":"101-105","source":"DOI.org (Crossref)","title":"Processable aqueous dispersions of graphene nanosheets","volume":"3","author":[{"family":"Li","given":"Dan"},{"family":"Müller","given":"Marc B."},{"family":"Gilje","given":"Scott"},{"family":"Kaner","given":"Richard B."},{"family":"Wallace","given":"Gordon G."}],"issued":{"date-parts":[["2008",2]]}}}],"schema":"https://github.com/citation-style-language/schema/raw/master/csl-citation.json"}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28</w:t>
            </w:r>
            <w:r>
              <w:rPr>
                <w:rFonts w:ascii="Times New Roman" w:hAnsi="Times New Roman" w:cs="Times New Roman"/>
                <w:sz w:val="22"/>
                <w:vertAlign w:val="baseline"/>
              </w:rPr>
              <w:fldChar w:fldCharType="end"/>
            </w:r>
          </w:p>
        </w:tc>
      </w:tr>
      <w:tr w14:paraId="6641E982">
        <w:tblPrEx>
          <w:tblCellMar>
            <w:top w:w="0" w:type="dxa"/>
            <w:left w:w="108" w:type="dxa"/>
            <w:bottom w:w="0" w:type="dxa"/>
            <w:right w:w="108" w:type="dxa"/>
          </w:tblCellMar>
        </w:tblPrEx>
        <w:trPr>
          <w:trHeight w:val="285" w:hRule="atLeast"/>
          <w:jc w:val="center"/>
        </w:trPr>
        <w:tc>
          <w:tcPr>
            <w:tcW w:w="3099" w:type="dxa"/>
            <w:shd w:val="clear" w:color="auto" w:fill="F1F1F1" w:themeFill="background1" w:themeFillShade="F2"/>
            <w:noWrap/>
          </w:tcPr>
          <w:p w14:paraId="1C464F96">
            <w:pPr>
              <w:jc w:val="left"/>
              <w:rPr>
                <w:rFonts w:ascii="Times New Roman" w:hAnsi="Times New Roman" w:cs="Times New Roman"/>
                <w:b/>
                <w:bCs/>
                <w:sz w:val="22"/>
              </w:rPr>
            </w:pPr>
            <w:r>
              <w:rPr>
                <w:rFonts w:ascii="Times New Roman" w:hAnsi="Times New Roman" w:cs="Times New Roman"/>
                <w:b w:val="0"/>
                <w:bCs w:val="0"/>
                <w:sz w:val="22"/>
              </w:rPr>
              <w:t>SWCNT</w:t>
            </w:r>
          </w:p>
        </w:tc>
        <w:tc>
          <w:tcPr>
            <w:tcW w:w="1590" w:type="dxa"/>
            <w:shd w:val="clear" w:color="auto" w:fill="F1F1F1" w:themeFill="background1" w:themeFillShade="F2"/>
            <w:noWrap/>
          </w:tcPr>
          <w:p w14:paraId="7A618E60">
            <w:pPr>
              <w:jc w:val="center"/>
              <w:rPr>
                <w:rFonts w:ascii="Times New Roman" w:hAnsi="Times New Roman" w:cs="Times New Roman"/>
                <w:sz w:val="22"/>
              </w:rPr>
            </w:pPr>
            <w:r>
              <w:rPr>
                <w:rFonts w:ascii="Times New Roman" w:hAnsi="Times New Roman" w:cs="Times New Roman"/>
                <w:sz w:val="22"/>
              </w:rPr>
              <w:t>5000</w:t>
            </w:r>
          </w:p>
        </w:tc>
        <w:tc>
          <w:tcPr>
            <w:tcW w:w="2115" w:type="dxa"/>
            <w:shd w:val="clear" w:color="auto" w:fill="F1F1F1" w:themeFill="background1" w:themeFillShade="F2"/>
            <w:noWrap/>
          </w:tcPr>
          <w:p w14:paraId="4F5FDC07">
            <w:pPr>
              <w:jc w:val="center"/>
              <w:rPr>
                <w:rFonts w:ascii="Times New Roman" w:hAnsi="Times New Roman" w:cs="Times New Roman"/>
                <w:sz w:val="22"/>
              </w:rPr>
            </w:pPr>
            <w:r>
              <w:rPr>
                <w:rFonts w:ascii="Times New Roman" w:hAnsi="Times New Roman" w:cs="Times New Roman"/>
                <w:sz w:val="22"/>
              </w:rPr>
              <w:t>Spinning</w:t>
            </w:r>
          </w:p>
        </w:tc>
        <w:tc>
          <w:tcPr>
            <w:tcW w:w="900" w:type="dxa"/>
            <w:shd w:val="clear" w:color="auto" w:fill="F1F1F1" w:themeFill="background1" w:themeFillShade="F2"/>
            <w:noWrap/>
          </w:tcPr>
          <w:p w14:paraId="58A3AE7B">
            <w:pPr>
              <w:jc w:val="center"/>
              <w:rPr>
                <w:rFonts w:ascii="Times New Roman" w:hAnsi="Times New Roman" w:cs="Times New Roman"/>
                <w:sz w:val="22"/>
              </w:rPr>
            </w:pPr>
            <w:r>
              <w:rPr>
                <w:rFonts w:hint="eastAsia" w:ascii="Times New Roman" w:hAnsi="Times New Roman" w:cs="Times New Roman"/>
                <w:sz w:val="22"/>
              </w:rPr>
              <w:t>r.t.</w:t>
            </w:r>
          </w:p>
        </w:tc>
        <w:tc>
          <w:tcPr>
            <w:tcW w:w="818" w:type="dxa"/>
            <w:shd w:val="clear" w:color="auto" w:fill="F1F1F1" w:themeFill="background1" w:themeFillShade="F2"/>
            <w:noWrap/>
          </w:tcPr>
          <w:p w14:paraId="4C18FF45">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{"citationID":"op2R01yK","properties":{"formattedCitation":"\\super 29\\nosupersub{}","plainCitation":"29","noteIndex":0},"citationItems":[{"id":2823,"uris":["http://zotero.org/users/16084765/items/NZFULDHI"],"itemData":{"id":2823,"type":"article-journal","abstract":"Well-aligned macroscopic fibers composed solely of single-walled carbon nanotubes (SWNTs) were produced by conventional spinning. Fuming sulfuric acid charges SWNTs and promotes their ordering into an aligned phase of individual mobile SWNTs surrounded by acid anions. This ordered dispersion was extruded via solution spinning into continuous lengths of macroscopic neat SWNT fibers. Such fibers possess interesting structural composition and physical properties.","citation-key":"ericsonMacroscopicNeatSinglewalled2004","container-title":"Science","DOI":"10.1126/science.1101398","ISSN":"0036-8075, 1095-9203","issue":"5689","journalAbbreviation":"Science","language":"en","note":"TLDR: Well-aligned macroscopic fibers</w:instrText>
            </w:r>
            <w:r>
              <w:rPr>
                <w:rFonts w:hint="eastAsia" w:ascii="Times New Roman" w:hAnsi="Times New Roman" w:cs="Times New Roman"/>
                <w:sz w:val="22"/>
                <w:vertAlign w:val="baseline"/>
              </w:rPr>
              <w:instrText xml:space="preserve"> composed solely of single-walled carbon nanotubes (SWNTs) were produced by conventional spinning and possess interesting structural composition and physical properties.\nJCR分区: Q1\n中科院分区升级版: 综合性期刊1区\n影响因子: 45.8\n5年影响因子: 49.7\nESI: 多学科\n南农高质量: A","page":"</w:instrText>
            </w:r>
            <w:r>
              <w:rPr>
                <w:rFonts w:ascii="Times New Roman" w:hAnsi="Times New Roman" w:cs="Times New Roman"/>
                <w:sz w:val="22"/>
                <w:vertAlign w:val="baseline"/>
              </w:rPr>
              <w:instrText xml:space="preserve">1447-1450","source":"DOI.org (Crossref)","title":"Macroscopic, neat, single-walled carbon nanotube fibers","volume":"305","author":[{"family":"Ericson","given":"Lars M."},{"family":"Fan","given":"Hua"},{"family":"Peng","given":"Haiqing"},{"family":"Davis","given":"Virginia A."},{"family":"Zhou","given":"Wei"},{"family":"Sulpizio","given":"Joseph"},{"family":"Wang","given":"Yuhuang"},{"family":"Booker","given":"Richard"},{"family":"Vavro","given":"Juraj"},{"family":"Guthy","given":"Csaba"},{"family":"Parra-Vasquez","given":"A. Nicholas G."},{"family":"Kim","given":"Myung Jong"},{"family":"Ramesh","given":"Sivarajan"},{"family":"Saini","given":"Rajesh K."},{"family":"Kittrell","given":"Carter"},{"family":"Lavin","given":"Gerry"},{"family":"Schmidt","given":"Howard"},{"family":"Adams","given":"W. Wade"},{"family":"Billups","given":"W. E."},{"family":"Pasquali","given":"Matteo"},{"family":"Hwang","given":"Wen-Fang"},{"family":"Hauge","given":"Robert H."},{"family":"Fischer","given":"John E."},{"family":"Smalley","given":"Richard E."}],"issued":{"date-parts":[["2004",9,3]]}}}],"schema":"https://github.com/citation-style-language/schema/raw/master/csl-citation.json"}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29</w:t>
            </w:r>
            <w:r>
              <w:rPr>
                <w:rFonts w:ascii="Times New Roman" w:hAnsi="Times New Roman" w:cs="Times New Roman"/>
                <w:sz w:val="22"/>
                <w:vertAlign w:val="baseline"/>
              </w:rPr>
              <w:fldChar w:fldCharType="end"/>
            </w:r>
          </w:p>
        </w:tc>
      </w:tr>
      <w:tr w14:paraId="7BF7E24D">
        <w:tblPrEx>
          <w:tblCellMar>
            <w:top w:w="0" w:type="dxa"/>
            <w:left w:w="108" w:type="dxa"/>
            <w:bottom w:w="0" w:type="dxa"/>
            <w:right w:w="108" w:type="dxa"/>
          </w:tblCellMar>
        </w:tblPrEx>
        <w:trPr>
          <w:trHeight w:val="270" w:hRule="atLeast"/>
          <w:jc w:val="center"/>
        </w:trPr>
        <w:tc>
          <w:tcPr>
            <w:tcW w:w="3099" w:type="dxa"/>
            <w:noWrap/>
          </w:tcPr>
          <w:p w14:paraId="246B3377">
            <w:pPr>
              <w:jc w:val="left"/>
              <w:rPr>
                <w:rFonts w:ascii="Times New Roman" w:hAnsi="Times New Roman" w:cs="Times New Roman"/>
                <w:b/>
                <w:bCs/>
                <w:sz w:val="22"/>
              </w:rPr>
            </w:pPr>
            <w:r>
              <w:rPr>
                <w:rFonts w:ascii="Times New Roman" w:hAnsi="Times New Roman" w:cs="Times New Roman"/>
                <w:b w:val="0"/>
                <w:bCs w:val="0"/>
                <w:sz w:val="22"/>
              </w:rPr>
              <w:t xml:space="preserve">VF-LBL MWNT </w:t>
            </w:r>
          </w:p>
        </w:tc>
        <w:tc>
          <w:tcPr>
            <w:tcW w:w="1590" w:type="dxa"/>
            <w:noWrap/>
          </w:tcPr>
          <w:p w14:paraId="40943428">
            <w:pPr>
              <w:jc w:val="center"/>
              <w:rPr>
                <w:rFonts w:ascii="Times New Roman" w:hAnsi="Times New Roman" w:cs="Times New Roman"/>
                <w:sz w:val="22"/>
              </w:rPr>
            </w:pPr>
            <w:r>
              <w:rPr>
                <w:rFonts w:ascii="Times New Roman" w:hAnsi="Times New Roman" w:cs="Times New Roman"/>
                <w:sz w:val="22"/>
              </w:rPr>
              <w:t>4100</w:t>
            </w:r>
          </w:p>
        </w:tc>
        <w:tc>
          <w:tcPr>
            <w:tcW w:w="2115" w:type="dxa"/>
            <w:noWrap/>
          </w:tcPr>
          <w:p w14:paraId="06C96655">
            <w:pPr>
              <w:jc w:val="center"/>
              <w:rPr>
                <w:rFonts w:ascii="Times New Roman" w:hAnsi="Times New Roman" w:cs="Times New Roman"/>
                <w:sz w:val="22"/>
              </w:rPr>
            </w:pPr>
            <w:r>
              <w:rPr>
                <w:rFonts w:ascii="Times New Roman" w:hAnsi="Times New Roman" w:cs="Times New Roman"/>
                <w:sz w:val="22"/>
              </w:rPr>
              <w:t>Plasma treatment</w:t>
            </w:r>
          </w:p>
        </w:tc>
        <w:tc>
          <w:tcPr>
            <w:tcW w:w="900" w:type="dxa"/>
            <w:noWrap/>
          </w:tcPr>
          <w:p w14:paraId="0643E2A1">
            <w:pPr>
              <w:jc w:val="center"/>
              <w:rPr>
                <w:rFonts w:ascii="Times New Roman" w:hAnsi="Times New Roman" w:cs="Times New Roman"/>
                <w:sz w:val="22"/>
              </w:rPr>
            </w:pPr>
            <w:r>
              <w:rPr>
                <w:rFonts w:ascii="Times New Roman" w:hAnsi="Times New Roman" w:cs="Times New Roman"/>
                <w:sz w:val="22"/>
              </w:rPr>
              <w:t>r.t.</w:t>
            </w:r>
          </w:p>
        </w:tc>
        <w:tc>
          <w:tcPr>
            <w:tcW w:w="818" w:type="dxa"/>
            <w:noWrap/>
          </w:tcPr>
          <w:p w14:paraId="1CC1BBB6">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{"citationID":"Yk8KHPAF","properties":{"formattedCitation":"\\super 30\\nosupersub{}","plainCitation":"30","noteIndex":0},"citationItems":[{"id":"RprFYzrP/DcwzXiWM","uris":["http://zotero.org/users/16084765/items/WQEXKIZM"],"itemData":{"id":2892,"type":"article-journal","container-title":"Industrial &amp; Engineering Chemistry Research","DOI":"10.1021/acs.iecr.7b00847","ISSN":"0888-5885, 1520-5045","issue":"30","journalAbbreviation":"Ind. Eng. Chem. Res.","language":"en","page":"8474-8484","source":"DOI.org (Crossref)","title":"Highly conductive ultrafiltration membrane via vacuum filtration assisted layer-by-layer deposition of functionalized carbon nanotubes","volume":"56","author":[{"family":"Omi","given":"Farah R."},{"family":"Choudhury","given":"Mahbuboor R."},{"family":"Anwar","given":"Nawrin"},{"family":"Bakr","given":"Ahmed R."},{"family":"Rahaman","given":"Md. Saifur"}],"issued":{"date-parts":[["2017",8,2]]}}}],"schema":"https://github.com/citation-style-language/schema/raw/master/csl-citation.json"}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30</w:t>
            </w:r>
            <w:r>
              <w:rPr>
                <w:rFonts w:ascii="Times New Roman" w:hAnsi="Times New Roman" w:cs="Times New Roman"/>
                <w:sz w:val="22"/>
                <w:vertAlign w:val="baseline"/>
              </w:rPr>
              <w:fldChar w:fldCharType="end"/>
            </w:r>
          </w:p>
        </w:tc>
      </w:tr>
      <w:tr w14:paraId="6C61EC3C">
        <w:tblPrEx>
          <w:tblCellMar>
            <w:top w:w="0" w:type="dxa"/>
            <w:left w:w="108" w:type="dxa"/>
            <w:bottom w:w="0" w:type="dxa"/>
            <w:right w:w="108" w:type="dxa"/>
          </w:tblCellMar>
        </w:tblPrEx>
        <w:trPr>
          <w:trHeight w:val="285" w:hRule="atLeast"/>
          <w:jc w:val="center"/>
        </w:trPr>
        <w:tc>
          <w:tcPr>
            <w:tcW w:w="3099" w:type="dxa"/>
            <w:shd w:val="clear" w:color="auto" w:fill="F1F1F1" w:themeFill="background1" w:themeFillShade="F2"/>
            <w:noWrap/>
          </w:tcPr>
          <w:p w14:paraId="42F354CE">
            <w:pPr>
              <w:jc w:val="left"/>
              <w:rPr>
                <w:rFonts w:ascii="Times New Roman" w:hAnsi="Times New Roman" w:cs="Times New Roman"/>
                <w:b/>
                <w:bCs/>
                <w:sz w:val="22"/>
              </w:rPr>
            </w:pPr>
            <w:r>
              <w:rPr>
                <w:rFonts w:ascii="Times New Roman" w:hAnsi="Times New Roman" w:cs="Times New Roman"/>
                <w:b w:val="0"/>
                <w:bCs w:val="0"/>
                <w:sz w:val="22"/>
              </w:rPr>
              <w:t>G/CNT</w:t>
            </w:r>
          </w:p>
        </w:tc>
        <w:tc>
          <w:tcPr>
            <w:tcW w:w="1590" w:type="dxa"/>
            <w:shd w:val="clear" w:color="auto" w:fill="F1F1F1" w:themeFill="background1" w:themeFillShade="F2"/>
            <w:noWrap/>
          </w:tcPr>
          <w:p w14:paraId="39343C6E">
            <w:pPr>
              <w:jc w:val="center"/>
              <w:rPr>
                <w:rFonts w:ascii="Times New Roman" w:hAnsi="Times New Roman" w:cs="Times New Roman"/>
                <w:sz w:val="22"/>
              </w:rPr>
            </w:pPr>
            <w:r>
              <w:rPr>
                <w:rFonts w:ascii="Times New Roman" w:hAnsi="Times New Roman" w:cs="Times New Roman"/>
                <w:sz w:val="22"/>
              </w:rPr>
              <w:t>3600</w:t>
            </w:r>
          </w:p>
        </w:tc>
        <w:tc>
          <w:tcPr>
            <w:tcW w:w="2115" w:type="dxa"/>
            <w:shd w:val="clear" w:color="auto" w:fill="F1F1F1" w:themeFill="background1" w:themeFillShade="F2"/>
            <w:noWrap/>
          </w:tcPr>
          <w:p w14:paraId="24F1B290">
            <w:pPr>
              <w:jc w:val="center"/>
              <w:rPr>
                <w:rFonts w:ascii="Times New Roman" w:hAnsi="Times New Roman" w:cs="Times New Roman"/>
                <w:sz w:val="22"/>
              </w:rPr>
            </w:pPr>
            <w:r>
              <w:rPr>
                <w:rFonts w:ascii="Times New Roman" w:hAnsi="Times New Roman" w:cs="Times New Roman"/>
                <w:sz w:val="22"/>
              </w:rPr>
              <w:t>CVD</w:t>
            </w:r>
          </w:p>
        </w:tc>
        <w:tc>
          <w:tcPr>
            <w:tcW w:w="900" w:type="dxa"/>
            <w:shd w:val="clear" w:color="auto" w:fill="F1F1F1" w:themeFill="background1" w:themeFillShade="F2"/>
            <w:noWrap/>
          </w:tcPr>
          <w:p w14:paraId="66DC9BDE">
            <w:pPr>
              <w:jc w:val="center"/>
              <w:rPr>
                <w:rFonts w:ascii="Times New Roman" w:hAnsi="Times New Roman" w:cs="Times New Roman"/>
                <w:sz w:val="22"/>
              </w:rPr>
            </w:pPr>
            <w:r>
              <w:rPr>
                <w:rFonts w:ascii="Times New Roman" w:hAnsi="Times New Roman" w:cs="Times New Roman"/>
                <w:sz w:val="22"/>
              </w:rPr>
              <w:t>1000</w:t>
            </w:r>
          </w:p>
        </w:tc>
        <w:tc>
          <w:tcPr>
            <w:tcW w:w="818" w:type="dxa"/>
            <w:shd w:val="clear" w:color="auto" w:fill="F1F1F1" w:themeFill="background1" w:themeFillShade="F2"/>
            <w:noWrap/>
          </w:tcPr>
          <w:p w14:paraId="339CD395">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{"citationID":"dkKPszI8","properties":{"formattedCitation":"\\super 31\\nosupersub{}","plainCitation":"31","noteIndex":0},"citationItems":[{"id":2673,"uris":["http://zotero.org/users/16084765/items/CLEQJCZ3"],"itemData":{"id":2673,"type":"article-journal","abstract":"Abstract\n            Integrating 1D carbon nanotubes (CNTs) and 2D graphene with covalent bonds can inherit the outstanding properties of both components and obtain additional advantages. Here, this work repor</w:instrText>
            </w:r>
            <w:r>
              <w:rPr>
                <w:rFonts w:hint="eastAsia" w:ascii="Times New Roman" w:hAnsi="Times New Roman" w:cs="Times New Roman"/>
                <w:sz w:val="22"/>
                <w:vertAlign w:val="baseline"/>
              </w:rPr>
              <w:instrText xml:space="preserve">ts the preparation of covalently bonded graphene/CNT (G/CNT) structure by a normal chemical vapor deposition method. Specifically, the pre‐synthesized defects on the sidewall of CNTs act as nucleation sites for the growth of graphene sheets to form a branch‐leaf structure. Graphene leaves restrict the sliding and re‐stacking of CNTs, endowing G/CNT hybrid demonstrates excellent anti‐agglomeration properties that are not present in either graphene or CNTs. In addition, the covalently bonded structure and h</w:instrText>
            </w:r>
            <w:r>
              <w:rPr>
                <w:rFonts w:ascii="Times New Roman" w:hAnsi="Times New Roman" w:cs="Times New Roman"/>
                <w:sz w:val="22"/>
                <w:vertAlign w:val="baseline"/>
              </w:rPr>
              <w:instrText xml:space="preserve">igh graphitization degree of graphene sheets and CNTs significantly enhance the comprehensive properties of the G/CNT hybrid material, such as large specific surface area, excellent thermal stability, and high electrical conductivity. Consequently, the mi</w:instrText>
            </w:r>
            <w:r>
              <w:rPr>
                <w:rFonts w:hint="eastAsia" w:ascii="Times New Roman" w:hAnsi="Times New Roman" w:cs="Times New Roman"/>
                <w:sz w:val="22"/>
                <w:vertAlign w:val="baseline"/>
              </w:rPr>
              <w:instrText xml:space="preserve">crowave absorption properties of G/CNT are significantly enhanced compared with CNTs. This work provides a feasible pathway to synthesize high‐performance covalently bonded G/CNT hybrids.","citation-key":"shengCovalentlyBondedGraphene2023","container-title":"Advanced Functional Materials","DOI":"10.1002/adfm.202306785","ISSN":"1616-301X, 1616-3028","issue":"43","journalAbbreviation":"Adv. Funct. Mater.","language":"en","note":"JCR分区: Q1\n中科院分区升级版: 材料科学1区\n影响因子: 19.0\n5年影响因子: 19.4\nEI: 是\nESI: 材料科学\n南农高质量:</w:instrText>
            </w:r>
            <w:r>
              <w:rPr>
                <w:rFonts w:ascii="Times New Roman" w:hAnsi="Times New Roman" w:cs="Times New Roman"/>
                <w:sz w:val="22"/>
                <w:vertAlign w:val="baseline"/>
              </w:rPr>
              <w:instrText xml:space="preserve"> A","page":"2306785","source":"DOI.org (Crossref)","title":"Covalently bonded graphene sheets on carbon nanotubes: Direct growth and outstanding properties","title-short":"Covalently bonded graphene sheets on carbon nanotubes","volume":"33","author":[{"family":"Sheng","given":"Jian"},{"family":"Han","given":"Zhen"},{"family":"Jia","given":"Guodong"},{"family":"Zhu","given":"Sheng"},{"family":"Xu","given":"Yifan"},{"family":"Zhang","given":"Xinrui"},{"family":"Yao","given":"Yixi"},{"family":"Li","given":"Yan"}],"issued":{"date-parts":[["2023",10]]}}}],"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31</w:t>
            </w:r>
            <w:r>
              <w:rPr>
                <w:rFonts w:ascii="Times New Roman" w:hAnsi="Times New Roman" w:cs="Times New Roman"/>
                <w:sz w:val="22"/>
                <w:vertAlign w:val="baseline"/>
              </w:rPr>
              <w:fldChar w:fldCharType="end"/>
            </w:r>
          </w:p>
        </w:tc>
      </w:tr>
      <w:tr w14:paraId="42C4F5E5">
        <w:tblPrEx>
          <w:tblCellMar>
            <w:top w:w="0" w:type="dxa"/>
            <w:left w:w="108" w:type="dxa"/>
            <w:bottom w:w="0" w:type="dxa"/>
            <w:right w:w="108" w:type="dxa"/>
          </w:tblCellMar>
        </w:tblPrEx>
        <w:trPr>
          <w:trHeight w:val="300" w:hRule="atLeast"/>
          <w:jc w:val="center"/>
        </w:trPr>
        <w:tc>
          <w:tcPr>
            <w:tcW w:w="3099" w:type="dxa"/>
            <w:noWrap/>
          </w:tcPr>
          <w:p w14:paraId="36B79480">
            <w:pPr>
              <w:jc w:val="left"/>
              <w:rPr>
                <w:rFonts w:ascii="Times New Roman" w:hAnsi="Times New Roman" w:cs="Times New Roman"/>
                <w:b/>
                <w:bCs/>
                <w:sz w:val="22"/>
              </w:rPr>
            </w:pPr>
            <w:r>
              <w:rPr>
                <w:rFonts w:ascii="Times New Roman" w:hAnsi="Times New Roman" w:cs="Times New Roman"/>
                <w:b w:val="0"/>
                <w:bCs w:val="0"/>
                <w:sz w:val="22"/>
              </w:rPr>
              <w:t>ECM-950</w:t>
            </w:r>
          </w:p>
        </w:tc>
        <w:tc>
          <w:tcPr>
            <w:tcW w:w="1590" w:type="dxa"/>
            <w:noWrap/>
          </w:tcPr>
          <w:p w14:paraId="4191BD01">
            <w:pPr>
              <w:jc w:val="center"/>
              <w:rPr>
                <w:rFonts w:ascii="Times New Roman" w:hAnsi="Times New Roman" w:cs="Times New Roman"/>
                <w:sz w:val="22"/>
              </w:rPr>
            </w:pPr>
            <w:r>
              <w:rPr>
                <w:rFonts w:ascii="Times New Roman" w:hAnsi="Times New Roman" w:cs="Times New Roman"/>
                <w:sz w:val="22"/>
              </w:rPr>
              <w:t>2948</w:t>
            </w:r>
          </w:p>
        </w:tc>
        <w:tc>
          <w:tcPr>
            <w:tcW w:w="2115" w:type="dxa"/>
            <w:noWrap/>
          </w:tcPr>
          <w:p w14:paraId="7EE4E00A">
            <w:pPr>
              <w:jc w:val="center"/>
              <w:rPr>
                <w:rFonts w:ascii="Times New Roman" w:hAnsi="Times New Roman" w:cs="Times New Roman"/>
                <w:sz w:val="22"/>
              </w:rPr>
            </w:pPr>
            <w:r>
              <w:rPr>
                <w:rFonts w:ascii="Times New Roman" w:hAnsi="Times New Roman" w:cs="Times New Roman"/>
                <w:sz w:val="22"/>
              </w:rPr>
              <w:t>Calcination</w:t>
            </w:r>
          </w:p>
        </w:tc>
        <w:tc>
          <w:tcPr>
            <w:tcW w:w="900" w:type="dxa"/>
            <w:noWrap/>
          </w:tcPr>
          <w:p w14:paraId="331B9BAC">
            <w:pPr>
              <w:jc w:val="center"/>
              <w:rPr>
                <w:rFonts w:ascii="Times New Roman" w:hAnsi="Times New Roman" w:cs="Times New Roman"/>
                <w:sz w:val="22"/>
              </w:rPr>
            </w:pPr>
            <w:r>
              <w:rPr>
                <w:rFonts w:ascii="Times New Roman" w:hAnsi="Times New Roman" w:cs="Times New Roman"/>
                <w:sz w:val="22"/>
              </w:rPr>
              <w:t>950</w:t>
            </w:r>
          </w:p>
        </w:tc>
        <w:tc>
          <w:tcPr>
            <w:tcW w:w="818" w:type="dxa"/>
            <w:noWrap/>
          </w:tcPr>
          <w:p w14:paraId="0A763D06">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{"citationID":"ZnlRudGo","properties":{"formattedCitation":"\\super 32\\nosupersub{}","plainCitation":"32","noteIndex":0},"citationItems":[{"id":2894,"uris":["http://zotero.org/users/16084765/items/FNCS5KAK"],"itemData":{"id":2894,"type":"article-journal","citation-key":"panElectrochemicalFiltrationCarbon2020","container-title":"Separation and Purification Technology","DOI":"10.1016/j.seppur.2020.116948","ISSN":"13835866","journalAbbreviation":"Sep. Purif. Technol.","langua</w:instrText>
            </w:r>
            <w:r>
              <w:rPr>
                <w:rFonts w:hint="eastAsia" w:ascii="Times New Roman" w:hAnsi="Times New Roman" w:cs="Times New Roman"/>
                <w:sz w:val="22"/>
                <w:vertAlign w:val="baseline"/>
              </w:rPr>
              <w:instrText xml:space="preserve">ge":"en","note":"JCR分区: Q1\n中科院分区升级版: 工程技术2区\n影响因子: 9.0\n5年影响因子: 8.5\nEI: 是\nESI: 化学\n南农高质量: A","page":"116948","source":"DOI.org (Crossref)","title":"Electrochemical filtration carbon membrane derived from coal for wastewater treatment: insights into the</w:instrText>
            </w:r>
            <w:r>
              <w:rPr>
                <w:rFonts w:ascii="Times New Roman" w:hAnsi="Times New Roman" w:cs="Times New Roman"/>
                <w:sz w:val="22"/>
                <w:vertAlign w:val="baseline"/>
              </w:rPr>
              <w:instrText xml:space="preserve"> evolution of electrical conductivity and electrochemical performance during carbonization","title-short":"Electrochemical filtration carbon membrane derived from coal for wastewater treatment","volume":"247","author":[{"family":"Pan","given":"Zonglin"},{"family":"Yu","given":"Fangpeng"},{"family":"Li","given":"Lin"},{"family":"Liu","given":"Ming"},{"family":"Song","given":"Chengwen"},{"family":"Yang","given":"Jiawei"},{"family":"Li","given":"Hanxu"},{"family":"Wang","given":"Chunlei"},{"family":"Pan","given":"Yanqiu"},{"family":"Wang","given":"Tonghua"}],"issued":{"date-parts":[["2020",9]]}}}],"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32</w:t>
            </w:r>
            <w:r>
              <w:rPr>
                <w:rFonts w:ascii="Times New Roman" w:hAnsi="Times New Roman" w:cs="Times New Roman"/>
                <w:sz w:val="22"/>
                <w:vertAlign w:val="baseline"/>
              </w:rPr>
              <w:fldChar w:fldCharType="end"/>
            </w:r>
          </w:p>
        </w:tc>
      </w:tr>
      <w:tr w14:paraId="76502354">
        <w:tblPrEx>
          <w:tblCellMar>
            <w:top w:w="0" w:type="dxa"/>
            <w:left w:w="108" w:type="dxa"/>
            <w:bottom w:w="0" w:type="dxa"/>
            <w:right w:w="108" w:type="dxa"/>
          </w:tblCellMar>
        </w:tblPrEx>
        <w:trPr>
          <w:trHeight w:val="285" w:hRule="atLeast"/>
          <w:jc w:val="center"/>
        </w:trPr>
        <w:tc>
          <w:tcPr>
            <w:tcW w:w="3099" w:type="dxa"/>
            <w:shd w:val="clear" w:color="auto" w:fill="F1F1F1" w:themeFill="background1" w:themeFillShade="F2"/>
            <w:noWrap/>
          </w:tcPr>
          <w:p w14:paraId="780CED94">
            <w:pPr>
              <w:jc w:val="left"/>
              <w:rPr>
                <w:rFonts w:ascii="Times New Roman" w:hAnsi="Times New Roman" w:cs="Times New Roman"/>
                <w:b/>
                <w:bCs/>
                <w:sz w:val="22"/>
              </w:rPr>
            </w:pPr>
            <w:r>
              <w:rPr>
                <w:rFonts w:ascii="Times New Roman" w:hAnsi="Times New Roman" w:cs="Times New Roman"/>
                <w:b w:val="0"/>
                <w:bCs w:val="0"/>
                <w:sz w:val="22"/>
              </w:rPr>
              <w:t>Chitosan-MWCNT</w:t>
            </w:r>
          </w:p>
        </w:tc>
        <w:tc>
          <w:tcPr>
            <w:tcW w:w="1590" w:type="dxa"/>
            <w:shd w:val="clear" w:color="auto" w:fill="F1F1F1" w:themeFill="background1" w:themeFillShade="F2"/>
            <w:noWrap/>
          </w:tcPr>
          <w:p w14:paraId="38EF5361">
            <w:pPr>
              <w:jc w:val="center"/>
              <w:rPr>
                <w:rFonts w:ascii="Times New Roman" w:hAnsi="Times New Roman" w:cs="Times New Roman"/>
                <w:sz w:val="22"/>
              </w:rPr>
            </w:pPr>
            <w:r>
              <w:rPr>
                <w:rFonts w:ascii="Times New Roman" w:hAnsi="Times New Roman" w:cs="Times New Roman"/>
                <w:sz w:val="22"/>
              </w:rPr>
              <w:t>2300</w:t>
            </w:r>
          </w:p>
        </w:tc>
        <w:tc>
          <w:tcPr>
            <w:tcW w:w="2115" w:type="dxa"/>
            <w:shd w:val="clear" w:color="auto" w:fill="F1F1F1" w:themeFill="background1" w:themeFillShade="F2"/>
            <w:noWrap/>
          </w:tcPr>
          <w:p w14:paraId="7FC0243F">
            <w:pPr>
              <w:jc w:val="center"/>
              <w:rPr>
                <w:rFonts w:ascii="Times New Roman" w:hAnsi="Times New Roman" w:cs="Times New Roman"/>
                <w:sz w:val="22"/>
              </w:rPr>
            </w:pPr>
            <w:r>
              <w:rPr>
                <w:rFonts w:ascii="Times New Roman" w:hAnsi="Times New Roman" w:cs="Times New Roman"/>
                <w:sz w:val="22"/>
              </w:rPr>
              <w:t>Calcination</w:t>
            </w:r>
          </w:p>
        </w:tc>
        <w:tc>
          <w:tcPr>
            <w:tcW w:w="900" w:type="dxa"/>
            <w:shd w:val="clear" w:color="auto" w:fill="F1F1F1" w:themeFill="background1" w:themeFillShade="F2"/>
            <w:noWrap/>
          </w:tcPr>
          <w:p w14:paraId="560F53E1">
            <w:pPr>
              <w:jc w:val="center"/>
              <w:rPr>
                <w:rFonts w:ascii="Times New Roman" w:hAnsi="Times New Roman" w:cs="Times New Roman"/>
                <w:sz w:val="22"/>
              </w:rPr>
            </w:pPr>
            <w:r>
              <w:rPr>
                <w:rFonts w:ascii="Times New Roman" w:hAnsi="Times New Roman" w:cs="Times New Roman"/>
                <w:sz w:val="22"/>
              </w:rPr>
              <w:t>500</w:t>
            </w:r>
          </w:p>
        </w:tc>
        <w:tc>
          <w:tcPr>
            <w:tcW w:w="818" w:type="dxa"/>
            <w:shd w:val="clear" w:color="auto" w:fill="F1F1F1" w:themeFill="background1" w:themeFillShade="F2"/>
            <w:noWrap/>
          </w:tcPr>
          <w:p w14:paraId="123D8E2D">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{"citationID":"Q5Y9vH6x","properties":{"formattedCitation":"\\super 33\\nosupersub{}","plainCitation":"33","noteIndex":0},"citationItems":[{"id":2828,"uris":["http://zotero.org/users/16084765/items/GZGHBTXI"],"itemData":{"i</w:instrText>
            </w:r>
            <w:r>
              <w:rPr>
                <w:rFonts w:hint="eastAsia" w:ascii="Times New Roman" w:hAnsi="Times New Roman" w:cs="Times New Roman"/>
                <w:sz w:val="22"/>
                <w:vertAlign w:val="baseline"/>
              </w:rPr>
              <w:instrText xml:space="preserve">d":2828,"type":"article-journal","abstract":"Abstract\n            Biopolymer chitosan was incorporated into a thin multiwalled carbon nanotube membrane (MWNT buckypaper) via filtration and soaking in 0.1% (w/v) of low‐molecular‐weight (MW) chitosan. The </w:instrText>
            </w:r>
            <w:r>
              <w:rPr>
                <w:rFonts w:ascii="Times New Roman" w:hAnsi="Times New Roman" w:cs="Times New Roman"/>
                <w:sz w:val="22"/>
                <w:vertAlign w:val="baseline"/>
              </w:rPr>
              <w:instrText xml:space="preserve">properties of the buckypaper membrane before and after annealing and after soaking were characterized by measurement of their electrical conductivities (19 ± 2 to 42 ± 2 S/cm), contact angles (31 ± 4° to 71 ± 4°), and mechanical properties (tensile strength, small</w:instrText>
            </w:r>
            <w:r>
              <w:rPr>
                <w:rFonts w:hint="eastAsia" w:ascii="Times New Roman" w:hAnsi="Times New Roman" w:cs="Times New Roman"/>
                <w:sz w:val="22"/>
                <w:vertAlign w:val="baseline"/>
              </w:rPr>
              <w:instrText xml:space="preserve">‐</w:instrText>
            </w:r>
            <w:r>
              <w:rPr>
                <w:rFonts w:ascii="Times New Roman" w:hAnsi="Times New Roman" w:cs="Times New Roman"/>
                <w:sz w:val="22"/>
                <w:vertAlign w:val="baseline"/>
              </w:rPr>
              <w:instrText xml:space="preserve">ranging between 1.4 ± 0.1 and 4.2 ± 0.7 MPa; Young's modulus: 85 ± 4 to 443 ± 20 MPa). Moreover, the morphological properties, surface area, and permeability toward water of these buckypaper membranes were characterized and compared with corresp</w:instrText>
            </w:r>
            <w:r>
              <w:rPr>
                <w:rFonts w:hint="eastAsia" w:ascii="Times New Roman" w:hAnsi="Times New Roman" w:cs="Times New Roman"/>
                <w:sz w:val="22"/>
                <w:vertAlign w:val="baseline"/>
              </w:rPr>
              <w:instrText xml:space="preserve">onding carbon nanotube membranes prepared with Triton X‐100 (Trix) as the surfactant. Scanning electron microscopic (SEM) images and Brunauer, Emmett, and Teller (BET) data of MWNT‐annealing buckypaper membranes revealed that the diameters of their surfac</w:instrText>
            </w:r>
            <w:r>
              <w:rPr>
                <w:rFonts w:ascii="Times New Roman" w:hAnsi="Times New Roman" w:cs="Times New Roman"/>
                <w:sz w:val="22"/>
                <w:vertAlign w:val="baseline"/>
              </w:rPr>
              <w:instrText xml:space="preserve">e pores were significantly higher than that of the corresponding buckypaper membranes soaked in chitosan solution. The solution of chitosan incorporated inside the porous structure of the annealed MWNT membrane led to a significantly reduced surface area and pore size distribution of the composite membrane, revealing that this could be a useful method for desalination.","citation-key":"alosimePreparationCharacterizationBuckypaper2020","container-title":"Polymer Composites","DOI":"10.1002/pc.25463","ISSN":</w:instrText>
            </w:r>
            <w:r>
              <w:rPr>
                <w:rFonts w:hint="eastAsia" w:ascii="Times New Roman" w:hAnsi="Times New Roman" w:cs="Times New Roman"/>
                <w:sz w:val="22"/>
                <w:vertAlign w:val="baseline"/>
              </w:rPr>
              <w:instrText xml:space="preserve">"0272-8397, 1548-0569","issue":"4","journalAbbreviation":"Polym. Compos.","language":"en","note":"JCR分区: Q1\n中科院分区升级版: 材料科学2区\n影响因子: 4.7\n5年影响因子: 4.5\nEI: 是\nESI: 材料科学\n南农高质量: A","page":"1393-1404","source":"DOI.org (Crossref)","title":"The preparation an</w:instrText>
            </w:r>
            <w:r>
              <w:rPr>
                <w:rFonts w:ascii="Times New Roman" w:hAnsi="Times New Roman" w:cs="Times New Roman"/>
                <w:sz w:val="22"/>
                <w:vertAlign w:val="baseline"/>
              </w:rPr>
              <w:instrText xml:space="preserve">d characterization of buckypaper made from carbon nanotubes impregnated with chitosan","volume":"41","author":[{"family":"Alosime","given":"Eid M."},{"family":"Alshahrani","given":"Ahmed A."},{"family":"Nghiem","given":"Long D."},{"family":"In Het Panhuis","given":"Marc"}],"issued":{"date-parts":[["2020",4]]}}}],"schema":"https://github.com/citation-style-language/schema/raw/master/csl-citation.json"}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33</w:t>
            </w:r>
            <w:r>
              <w:rPr>
                <w:rFonts w:ascii="Times New Roman" w:hAnsi="Times New Roman" w:cs="Times New Roman"/>
                <w:sz w:val="22"/>
                <w:vertAlign w:val="baseline"/>
              </w:rPr>
              <w:fldChar w:fldCharType="end"/>
            </w:r>
          </w:p>
        </w:tc>
      </w:tr>
      <w:tr w14:paraId="32F329FE">
        <w:tblPrEx>
          <w:tblCellMar>
            <w:top w:w="0" w:type="dxa"/>
            <w:left w:w="108" w:type="dxa"/>
            <w:bottom w:w="0" w:type="dxa"/>
            <w:right w:w="108" w:type="dxa"/>
          </w:tblCellMar>
        </w:tblPrEx>
        <w:trPr>
          <w:trHeight w:val="285" w:hRule="atLeast"/>
          <w:jc w:val="center"/>
        </w:trPr>
        <w:tc>
          <w:tcPr>
            <w:tcW w:w="3099" w:type="dxa"/>
            <w:noWrap/>
          </w:tcPr>
          <w:p w14:paraId="23C68115">
            <w:pPr>
              <w:jc w:val="left"/>
              <w:rPr>
                <w:rFonts w:ascii="Times New Roman" w:hAnsi="Times New Roman" w:cs="Times New Roman"/>
                <w:b/>
                <w:bCs/>
                <w:sz w:val="22"/>
              </w:rPr>
            </w:pPr>
            <w:r>
              <w:rPr>
                <w:rFonts w:ascii="Times New Roman" w:hAnsi="Times New Roman" w:cs="Times New Roman"/>
                <w:b w:val="0"/>
                <w:bCs w:val="0"/>
                <w:sz w:val="22"/>
              </w:rPr>
              <w:t>PANI/GO</w:t>
            </w:r>
          </w:p>
        </w:tc>
        <w:tc>
          <w:tcPr>
            <w:tcW w:w="1590" w:type="dxa"/>
            <w:noWrap/>
          </w:tcPr>
          <w:p w14:paraId="0316C94D">
            <w:pPr>
              <w:jc w:val="center"/>
              <w:rPr>
                <w:rFonts w:ascii="Times New Roman" w:hAnsi="Times New Roman" w:cs="Times New Roman"/>
                <w:sz w:val="22"/>
              </w:rPr>
            </w:pPr>
            <w:r>
              <w:rPr>
                <w:rFonts w:ascii="Times New Roman" w:hAnsi="Times New Roman" w:cs="Times New Roman"/>
                <w:sz w:val="22"/>
              </w:rPr>
              <w:t>2190</w:t>
            </w:r>
          </w:p>
        </w:tc>
        <w:tc>
          <w:tcPr>
            <w:tcW w:w="2115" w:type="dxa"/>
            <w:noWrap/>
          </w:tcPr>
          <w:p w14:paraId="0E89D26F">
            <w:pPr>
              <w:jc w:val="center"/>
              <w:rPr>
                <w:rFonts w:ascii="Times New Roman" w:hAnsi="Times New Roman" w:cs="Times New Roman"/>
                <w:sz w:val="22"/>
              </w:rPr>
            </w:pPr>
            <w:r>
              <w:rPr>
                <w:rFonts w:ascii="Times New Roman" w:hAnsi="Times New Roman" w:cs="Times New Roman"/>
                <w:sz w:val="22"/>
              </w:rPr>
              <w:t>Polymerization</w:t>
            </w:r>
          </w:p>
        </w:tc>
        <w:tc>
          <w:tcPr>
            <w:tcW w:w="900" w:type="dxa"/>
            <w:noWrap/>
          </w:tcPr>
          <w:p w14:paraId="2FEE1178">
            <w:pPr>
              <w:jc w:val="center"/>
              <w:rPr>
                <w:rFonts w:ascii="Times New Roman" w:hAnsi="Times New Roman" w:cs="Times New Roman"/>
                <w:sz w:val="22"/>
              </w:rPr>
            </w:pPr>
            <w:r>
              <w:rPr>
                <w:rFonts w:ascii="Times New Roman" w:hAnsi="Times New Roman" w:cs="Times New Roman"/>
                <w:sz w:val="22"/>
              </w:rPr>
              <w:t>0</w:t>
            </w:r>
          </w:p>
        </w:tc>
        <w:tc>
          <w:tcPr>
            <w:tcW w:w="818" w:type="dxa"/>
            <w:noWrap/>
          </w:tcPr>
          <w:p w14:paraId="51CF9BEB">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{"citationID":"M0TNpx8E","properties":{"formattedCitation":"\\super 11\\nosupersub{}","plainCitation":"11","noteIndex":0},"citationItems":[{"id":2809,"uris":["http://zotero.org/users/16084765/items/5G8GZAQ4"],"itemData":{"i</w:instrText>
            </w:r>
            <w:r>
              <w:rPr>
                <w:rFonts w:hint="eastAsia" w:ascii="Times New Roman" w:hAnsi="Times New Roman" w:cs="Times New Roman"/>
                <w:sz w:val="22"/>
                <w:vertAlign w:val="baseline"/>
              </w:rPr>
              <w:instrText xml:space="preserve">d":2809,"type":"article-journal","abstract":"Abstract\n            The urgent demand for renewable energy has attracted widespread interest in polymer‐based thermoelectric materials due to easy fabrication, high flexibility, low toxicity, low thermal cond</w:instrText>
            </w:r>
            <w:r>
              <w:rPr>
                <w:rFonts w:ascii="Times New Roman" w:hAnsi="Times New Roman" w:cs="Times New Roman"/>
                <w:sz w:val="22"/>
                <w:vertAlign w:val="baseline"/>
              </w:rPr>
              <w:instrText xml:space="preserve">uctivity, and great potential in industrial applications. However, the power factors of the polymers are still quite low compared with those of their inorganic counterparts, resulting in a low energy conversion efficiency. Highly conductive carbon materia</w:instrText>
            </w:r>
            <w:r>
              <w:rPr>
                <w:rFonts w:hint="eastAsia" w:ascii="Times New Roman" w:hAnsi="Times New Roman" w:cs="Times New Roman"/>
                <w:sz w:val="22"/>
                <w:vertAlign w:val="baseline"/>
              </w:rPr>
              <w:instrText xml:space="preserve">ls, including graphene and carbon nanotubes, have recently been incorporated into the polymer matrix through intrinsic chemical intimacy, providing new opportunities to tune the thermoelectric properties. In particular, the characteristic π‐π coupling and other interactions between the two components have contributed to unique mechanisms for better thermoelectric performance beyond the simple rule of mixtures. This paper aims to review the up‐to‐date progress in polymer/carbon nanocomposites along with va</w:instrText>
            </w:r>
            <w:r>
              <w:rPr>
                <w:rFonts w:ascii="Times New Roman" w:hAnsi="Times New Roman" w:cs="Times New Roman"/>
                <w:sz w:val="22"/>
                <w:vertAlign w:val="baseline"/>
              </w:rPr>
              <w:instrText xml:space="preserve">rious compositions and novel synthetic strategies. The salient aspects of this review are characteristic interactions and various mechanisms, which might result in enhanced thermoelectric properties and subsequent potential applications in energy harvesti</w:instrText>
            </w:r>
            <w:r>
              <w:rPr>
                <w:rFonts w:hint="eastAsia" w:ascii="Times New Roman" w:hAnsi="Times New Roman" w:cs="Times New Roman"/>
                <w:sz w:val="22"/>
                <w:vertAlign w:val="baseline"/>
              </w:rPr>
              <w:instrText xml:space="preserve">ng, wearable electronics, photo‐thermoelectrics, and other devices.","citation-key":"liangPolymerCarbonComposites2023","container-title":"Advanced Functional Materials","DOI":"10.1002/adfm.202208813","ISSN":"1616-301X, 1616-3028","issue":"9","journalAbbreviation":"Adv. Funct. Mater.","language":"en","note":"JCR分区: Q1\n中科院分区升级版: 材料科学1区\n影响因子: 19.0\n5年影响因子: 19.4\nEI: 是\nESI: 材料科学\n南农高质量: A","page":"2208813","source":"DOI.org (Crossref)","title":"Polymer/carbon composites with versatile interfacial interacti</w:instrText>
            </w:r>
            <w:r>
              <w:rPr>
                <w:rFonts w:ascii="Times New Roman" w:hAnsi="Times New Roman" w:cs="Times New Roman"/>
                <w:sz w:val="22"/>
                <w:vertAlign w:val="baseline"/>
              </w:rPr>
              <w:instrText xml:space="preserve">ons for high performance carbon-based thermoelectrics: principles and applications","title-short":"Polymer/carbon composites with versatile interfacial interactions for high performance carbon-based thermoelectrics","volume":"33","author":[{"family":"Liang","given":"Jia"},{"family":"Cui","given":"Ruopeng"},{"family":"Zhang","given":"Xuefei"},{"family":"Koumoto","given":"Kunihito"},{"family":"Wan","given":"Chunlei"}],"issued":{"date-parts":[["2023",2]]}}}],"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11</w:t>
            </w:r>
            <w:r>
              <w:rPr>
                <w:rFonts w:ascii="Times New Roman" w:hAnsi="Times New Roman" w:cs="Times New Roman"/>
                <w:sz w:val="22"/>
                <w:vertAlign w:val="baseline"/>
              </w:rPr>
              <w:fldChar w:fldCharType="end"/>
            </w:r>
          </w:p>
        </w:tc>
      </w:tr>
      <w:tr w14:paraId="036045D4">
        <w:tblPrEx>
          <w:tblCellMar>
            <w:top w:w="0" w:type="dxa"/>
            <w:left w:w="108" w:type="dxa"/>
            <w:bottom w:w="0" w:type="dxa"/>
            <w:right w:w="108" w:type="dxa"/>
          </w:tblCellMar>
        </w:tblPrEx>
        <w:trPr>
          <w:trHeight w:val="419" w:hRule="atLeast"/>
          <w:jc w:val="center"/>
        </w:trPr>
        <w:tc>
          <w:tcPr>
            <w:tcW w:w="3099" w:type="dxa"/>
            <w:shd w:val="clear" w:color="auto" w:fill="F1F1F1" w:themeFill="background1" w:themeFillShade="F2"/>
            <w:noWrap/>
          </w:tcPr>
          <w:p w14:paraId="33604D4E">
            <w:pPr>
              <w:jc w:val="left"/>
              <w:rPr>
                <w:rFonts w:ascii="Times New Roman" w:hAnsi="Times New Roman" w:cs="Times New Roman"/>
                <w:b/>
                <w:bCs/>
                <w:sz w:val="22"/>
              </w:rPr>
            </w:pPr>
            <w:r>
              <w:rPr>
                <w:rFonts w:ascii="Times New Roman" w:hAnsi="Times New Roman" w:cs="Times New Roman"/>
                <w:b w:val="0"/>
                <w:bCs w:val="0"/>
                <w:sz w:val="22"/>
              </w:rPr>
              <w:t>Carbonized PAN filber</w:t>
            </w:r>
          </w:p>
        </w:tc>
        <w:tc>
          <w:tcPr>
            <w:tcW w:w="1590" w:type="dxa"/>
            <w:shd w:val="clear" w:color="auto" w:fill="F1F1F1" w:themeFill="background1" w:themeFillShade="F2"/>
            <w:noWrap/>
          </w:tcPr>
          <w:p w14:paraId="647F64A9">
            <w:pPr>
              <w:jc w:val="center"/>
              <w:rPr>
                <w:rFonts w:ascii="Times New Roman" w:hAnsi="Times New Roman" w:cs="Times New Roman"/>
                <w:sz w:val="22"/>
              </w:rPr>
            </w:pPr>
            <w:r>
              <w:rPr>
                <w:rFonts w:ascii="Times New Roman" w:hAnsi="Times New Roman" w:cs="Times New Roman"/>
                <w:sz w:val="22"/>
              </w:rPr>
              <w:t>2010</w:t>
            </w:r>
          </w:p>
        </w:tc>
        <w:tc>
          <w:tcPr>
            <w:tcW w:w="2115" w:type="dxa"/>
            <w:shd w:val="clear" w:color="auto" w:fill="F1F1F1" w:themeFill="background1" w:themeFillShade="F2"/>
            <w:noWrap/>
          </w:tcPr>
          <w:p w14:paraId="19B7429B">
            <w:pPr>
              <w:jc w:val="center"/>
              <w:rPr>
                <w:rFonts w:ascii="Times New Roman" w:hAnsi="Times New Roman" w:cs="Times New Roman"/>
                <w:sz w:val="22"/>
              </w:rPr>
            </w:pPr>
            <w:r>
              <w:rPr>
                <w:rFonts w:ascii="Times New Roman" w:hAnsi="Times New Roman" w:cs="Times New Roman"/>
                <w:sz w:val="22"/>
              </w:rPr>
              <w:t>Calcination</w:t>
            </w:r>
          </w:p>
        </w:tc>
        <w:tc>
          <w:tcPr>
            <w:tcW w:w="900" w:type="dxa"/>
            <w:shd w:val="clear" w:color="auto" w:fill="F1F1F1" w:themeFill="background1" w:themeFillShade="F2"/>
            <w:noWrap/>
          </w:tcPr>
          <w:p w14:paraId="41D63E5B">
            <w:pPr>
              <w:jc w:val="center"/>
              <w:rPr>
                <w:rFonts w:ascii="Times New Roman" w:hAnsi="Times New Roman" w:cs="Times New Roman"/>
                <w:sz w:val="22"/>
              </w:rPr>
            </w:pPr>
            <w:r>
              <w:rPr>
                <w:rFonts w:ascii="Times New Roman" w:hAnsi="Times New Roman" w:cs="Times New Roman"/>
                <w:sz w:val="22"/>
              </w:rPr>
              <w:t>1000</w:t>
            </w:r>
          </w:p>
        </w:tc>
        <w:tc>
          <w:tcPr>
            <w:tcW w:w="818" w:type="dxa"/>
            <w:shd w:val="clear" w:color="auto" w:fill="F1F1F1" w:themeFill="background1" w:themeFillShade="F2"/>
            <w:noWrap/>
          </w:tcPr>
          <w:p w14:paraId="18E354BF">
            <w:pPr>
              <w:jc w:val="center"/>
              <w:rPr>
                <w:rFonts w:ascii="Times New Roman" w:hAnsi="Times New Roman" w:cs="Times New Roman"/>
                <w:sz w:val="22"/>
                <w:vertAlign w:val="baseline"/>
              </w:rPr>
            </w:pPr>
            <w:r>
              <w:rPr>
                <w:rFonts w:ascii="Times New Roman" w:hAnsi="Times New Roman" w:cs="Times New Roman"/>
                <w:sz w:val="22"/>
                <w:vertAlign w:val="baseline"/>
              </w:rPr>
              <w:fldChar w:fldCharType="begin"/>
            </w:r>
            <w:r>
              <w:rPr>
                <w:rFonts w:ascii="Times New Roman" w:hAnsi="Times New Roman" w:cs="Times New Roman"/>
                <w:sz w:val="22"/>
                <w:vertAlign w:val="baseline"/>
              </w:rPr>
              <w:instrText xml:space="preserve"> ADDIN ZOTERO_ITEM CSL_CITATION {"citationID":"rKQALZQm","properties":{"formattedCitation":"\\super 34\\nosupersub{}","plainCitation":"34","noteIndex":0},"citationItems":[{"id":2831,"uris":["http://zotero.org/users/16084765/items/IBSPJPF9"],"itemData":{"id":2831,"type":"article-journal","abstract":"Materials with an extremely low thermal and high electrical conductivity that are easy to process, foldable, and nonflammable are required for sustainable applications, notably in energy converters, miniaturized electronics, and high-temperature fuel cells. Given the inherent correlation between high thermal and high electrical conductivity, innovative design concepts that decouple phonon and electron transport are necessary. We achieved this unique combination of thermal conductivity 19.8 ± 7.8 mW/m/K (cross-plane) and 31.8 ± 11.8 mW/m/K (in-plane); electrical conductivity 4.2 S/cm in-plane in electrospun nonwovens comprising carbon as the matrix and silicon-based ceramics as nano-sized inclusions with a sea-island nanostructure. The carbon phase modulates electronic transport for high electrical conductivity, and the ceramic phase induces phonon scattering for low thermal conductivity by excessive boundary scattering. Our strategy can be used to fabricate the unique nonwoven materials for real-world applications and will inspire the design of materials made from carbon and ceramic.\n          , \n            Carbon/ceramic nonwovens with sea-island nanostructure perfectly balance extremely low thermal and hig</w:instrText>
            </w:r>
            <w:r>
              <w:rPr>
                <w:rFonts w:hint="eastAsia" w:ascii="Times New Roman" w:hAnsi="Times New Roman" w:cs="Times New Roman"/>
                <w:sz w:val="22"/>
                <w:vertAlign w:val="baseline"/>
              </w:rPr>
              <w:instrText xml:space="preserve">h electrical conductivity.","citation-key":"liaoExtremelyLowThermal2023","container-title":"Science Advances","DOI":"10.1126/sciadv.ade6066","ISSN":"2375-2548","issue":"13","journalAbbreviation":"Sci. Adv.","language":"en","note":"JCR分区: Q1\n中科院分区升级版: 综合性期刊1区\n影响因子: 12.5\n5年影响因子: 14.1\nEI: 是\nESI: 多学科\n南农高质量: A","page":"eade6066","source":"DOI.org (Crossref)","title":"Extremely low thermal conductivity and high electrical conductivity of sustainable carbon­ceramic electrospun nonwoven materials","volume":</w:instrText>
            </w:r>
            <w:r>
              <w:rPr>
                <w:rFonts w:ascii="Times New Roman" w:hAnsi="Times New Roman" w:cs="Times New Roman"/>
                <w:sz w:val="22"/>
                <w:vertAlign w:val="baseline"/>
              </w:rPr>
              <w:instrText xml:space="preserve">"9","author":[{"family":"Liao","given":"Xiaojian"},{"family":"Denk","given":"Jakob"},{"family":"Tran","given":"Thomas"},{"family":"Miyajima","given":"Nobuyoshi"},{"family":"Benker","given":"Lothar"},{"family":"Rosenfeldt","given":"Sabine"},{"family":"Schafföner","given":"Stefan"},{"family":"Retsch","given":"Markus"},{"family":"Greiner","given":"Andreas"},{"family":"Motz","given":"Günter"},{"family":"Agarwal","given":"Seema"}],"issued":{"date-parts":[["2023",3,31]]}}}],"schema":"https://github.com/citation-style-language/schema/raw/master/csl-citation.json"} </w:instrText>
            </w:r>
            <w:r>
              <w:rPr>
                <w:rFonts w:ascii="Times New Roman" w:hAnsi="Times New Roman" w:cs="Times New Roman"/>
                <w:sz w:val="22"/>
                <w:vertAlign w:val="baseline"/>
              </w:rPr>
              <w:fldChar w:fldCharType="separate"/>
            </w:r>
            <w:r>
              <w:rPr>
                <w:rFonts w:ascii="Times New Roman" w:hAnsi="Times New Roman" w:cs="Times New Roman"/>
                <w:kern w:val="0"/>
                <w:sz w:val="22"/>
                <w:vertAlign w:val="baseline"/>
              </w:rPr>
              <w:t>34</w:t>
            </w:r>
            <w:r>
              <w:rPr>
                <w:rFonts w:ascii="Times New Roman" w:hAnsi="Times New Roman" w:cs="Times New Roman"/>
                <w:sz w:val="22"/>
                <w:vertAlign w:val="baseline"/>
              </w:rPr>
              <w:fldChar w:fldCharType="end"/>
            </w:r>
          </w:p>
        </w:tc>
      </w:tr>
    </w:tbl>
    <w:p w14:paraId="13DB0396">
      <w:pPr>
        <w:rPr>
          <w:rFonts w:hint="eastAsia" w:ascii="Times New Roman" w:hAnsi="Times New Roman" w:cs="Times New Roman" w:eastAsiaTheme="minorEastAsia"/>
          <w:sz w:val="22"/>
          <w:lang w:val="en-US" w:eastAsia="zh-CN"/>
        </w:rPr>
      </w:pPr>
      <w:r>
        <w:rPr>
          <w:rFonts w:hint="eastAsia" w:ascii="Times New Roman" w:hAnsi="Times New Roman" w:cs="Times New Roman"/>
          <w:b/>
          <w:bCs/>
          <w:sz w:val="22"/>
        </w:rPr>
        <w:t xml:space="preserve">Supplementary Table </w:t>
      </w:r>
      <w:r>
        <w:rPr>
          <w:rFonts w:hint="eastAsia" w:ascii="Times New Roman" w:hAnsi="Times New Roman" w:cs="Times New Roman"/>
          <w:b/>
          <w:bCs/>
          <w:sz w:val="22"/>
          <w:lang w:val="en-US" w:eastAsia="zh-CN"/>
        </w:rPr>
        <w:t>7</w:t>
      </w:r>
      <w:r>
        <w:rPr>
          <w:rFonts w:hint="eastAsia" w:ascii="Times New Roman" w:hAnsi="Times New Roman" w:cs="Times New Roman"/>
          <w:b/>
          <w:bCs/>
          <w:sz w:val="22"/>
        </w:rPr>
        <w:t>.</w:t>
      </w:r>
      <w:r>
        <w:rPr>
          <w:rFonts w:hint="eastAsia" w:ascii="Times New Roman" w:hAnsi="Times New Roman" w:cs="Times New Roman"/>
          <w:sz w:val="22"/>
        </w:rPr>
        <w:t xml:space="preserve"> The mechanical properties of TCFs</w:t>
      </w:r>
      <w:r>
        <w:rPr>
          <w:rFonts w:hint="eastAsia" w:ascii="Times New Roman" w:hAnsi="Times New Roman" w:cs="Times New Roman"/>
          <w:sz w:val="22"/>
          <w:lang w:val="en-US" w:eastAsia="zh-CN"/>
        </w:rPr>
        <w:t>.</w:t>
      </w:r>
    </w:p>
    <w:tbl>
      <w:tblPr>
        <w:tblStyle w:val="41"/>
        <w:tblW w:w="8522" w:type="dxa"/>
        <w:tblInd w:w="0" w:type="dxa"/>
        <w:tblLayout w:type="fixed"/>
        <w:tblCellMar>
          <w:top w:w="0" w:type="dxa"/>
          <w:left w:w="108" w:type="dxa"/>
          <w:bottom w:w="0" w:type="dxa"/>
          <w:right w:w="108" w:type="dxa"/>
        </w:tblCellMar>
      </w:tblPr>
      <w:tblGrid>
        <w:gridCol w:w="2480"/>
        <w:gridCol w:w="2731"/>
        <w:gridCol w:w="3311"/>
      </w:tblGrid>
      <w:tr w14:paraId="1C7E7CC7">
        <w:tblPrEx>
          <w:tblCellMar>
            <w:top w:w="0" w:type="dxa"/>
            <w:left w:w="108" w:type="dxa"/>
            <w:bottom w:w="0" w:type="dxa"/>
            <w:right w:w="108" w:type="dxa"/>
          </w:tblCellMar>
        </w:tblPrEx>
        <w:tc>
          <w:tcPr>
            <w:tcW w:w="2480" w:type="dxa"/>
            <w:tcBorders>
              <w:top w:val="single" w:color="auto" w:sz="12" w:space="0"/>
              <w:bottom w:val="single" w:color="auto" w:sz="12" w:space="0"/>
            </w:tcBorders>
            <w:vAlign w:val="center"/>
          </w:tcPr>
          <w:p w14:paraId="7BAC03D9">
            <w:pPr>
              <w:jc w:val="center"/>
              <w:rPr>
                <w:rFonts w:ascii="Times New Roman" w:hAnsi="Times New Roman" w:cs="Times New Roman"/>
                <w:b w:val="0"/>
                <w:bCs w:val="0"/>
                <w:sz w:val="22"/>
              </w:rPr>
            </w:pPr>
            <w:r>
              <w:rPr>
                <w:rFonts w:ascii="Times New Roman" w:hAnsi="Times New Roman" w:cs="Times New Roman"/>
                <w:b/>
                <w:bCs/>
                <w:sz w:val="22"/>
              </w:rPr>
              <w:t>Sample</w:t>
            </w:r>
          </w:p>
        </w:tc>
        <w:tc>
          <w:tcPr>
            <w:tcW w:w="2731" w:type="dxa"/>
            <w:tcBorders>
              <w:top w:val="single" w:color="auto" w:sz="12" w:space="0"/>
              <w:bottom w:val="single" w:color="auto" w:sz="12" w:space="0"/>
            </w:tcBorders>
            <w:vAlign w:val="center"/>
          </w:tcPr>
          <w:p w14:paraId="7D42D61E">
            <w:pPr>
              <w:jc w:val="center"/>
              <w:rPr>
                <w:rFonts w:ascii="Times New Roman" w:hAnsi="Times New Roman" w:cs="Times New Roman"/>
                <w:b w:val="0"/>
                <w:bCs w:val="0"/>
                <w:sz w:val="22"/>
              </w:rPr>
            </w:pPr>
            <w:r>
              <w:rPr>
                <w:rFonts w:hint="eastAsia" w:ascii="Times New Roman" w:hAnsi="Times New Roman" w:cs="Times New Roman"/>
                <w:b/>
                <w:bCs/>
                <w:sz w:val="22"/>
              </w:rPr>
              <w:t>Young</w:t>
            </w:r>
            <w:r>
              <w:rPr>
                <w:rFonts w:ascii="Times New Roman" w:hAnsi="Times New Roman" w:cs="Times New Roman"/>
                <w:b/>
                <w:bCs/>
                <w:sz w:val="22"/>
              </w:rPr>
              <w:t>’</w:t>
            </w:r>
            <w:r>
              <w:rPr>
                <w:rFonts w:hint="eastAsia" w:ascii="Times New Roman" w:hAnsi="Times New Roman" w:cs="Times New Roman"/>
                <w:b/>
                <w:bCs/>
                <w:sz w:val="22"/>
              </w:rPr>
              <w:t>s modulus (GPa)</w:t>
            </w:r>
          </w:p>
        </w:tc>
        <w:tc>
          <w:tcPr>
            <w:tcW w:w="3311" w:type="dxa"/>
            <w:tcBorders>
              <w:top w:val="single" w:color="auto" w:sz="12" w:space="0"/>
              <w:bottom w:val="single" w:color="auto" w:sz="12" w:space="0"/>
            </w:tcBorders>
            <w:vAlign w:val="center"/>
          </w:tcPr>
          <w:p w14:paraId="2F23B907">
            <w:pPr>
              <w:jc w:val="center"/>
              <w:rPr>
                <w:rFonts w:ascii="Times New Roman" w:hAnsi="Times New Roman" w:cs="Times New Roman"/>
                <w:b w:val="0"/>
                <w:bCs w:val="0"/>
                <w:sz w:val="22"/>
              </w:rPr>
            </w:pPr>
            <w:r>
              <w:rPr>
                <w:rFonts w:hint="eastAsia" w:ascii="Times New Roman" w:hAnsi="Times New Roman" w:cs="Times New Roman"/>
                <w:b/>
                <w:bCs/>
                <w:sz w:val="22"/>
              </w:rPr>
              <w:t>Tensile Stregth (MPa)</w:t>
            </w:r>
          </w:p>
        </w:tc>
      </w:tr>
      <w:tr w14:paraId="73EE6C20">
        <w:tblPrEx>
          <w:tblCellMar>
            <w:top w:w="0" w:type="dxa"/>
            <w:left w:w="108" w:type="dxa"/>
            <w:bottom w:w="0" w:type="dxa"/>
            <w:right w:w="108" w:type="dxa"/>
          </w:tblCellMar>
        </w:tblPrEx>
        <w:tc>
          <w:tcPr>
            <w:tcW w:w="2480" w:type="dxa"/>
            <w:tcBorders>
              <w:top w:val="single" w:color="auto" w:sz="12" w:space="0"/>
              <w:bottom w:val="single" w:color="FFFFFF" w:themeColor="background1" w:sz="4" w:space="0"/>
            </w:tcBorders>
            <w:vAlign w:val="center"/>
          </w:tcPr>
          <w:p w14:paraId="328BFCF5">
            <w:pPr>
              <w:jc w:val="center"/>
              <w:rPr>
                <w:rFonts w:ascii="Times New Roman" w:hAnsi="Times New Roman" w:cs="Times New Roman"/>
                <w:b w:val="0"/>
                <w:bCs w:val="0"/>
                <w:sz w:val="22"/>
              </w:rPr>
            </w:pPr>
            <w:r>
              <w:rPr>
                <w:rFonts w:hint="eastAsia" w:ascii="Times New Roman" w:hAnsi="Times New Roman" w:cs="Times New Roman"/>
                <w:b/>
                <w:bCs/>
                <w:sz w:val="22"/>
              </w:rPr>
              <w:t>1-0%-4h</w:t>
            </w:r>
          </w:p>
        </w:tc>
        <w:tc>
          <w:tcPr>
            <w:tcW w:w="2731" w:type="dxa"/>
            <w:tcBorders>
              <w:top w:val="single" w:color="auto" w:sz="12" w:space="0"/>
              <w:bottom w:val="single" w:color="FFFFFF" w:themeColor="background1" w:sz="4" w:space="0"/>
            </w:tcBorders>
            <w:vAlign w:val="center"/>
          </w:tcPr>
          <w:p w14:paraId="2DA1EA1F">
            <w:pPr>
              <w:jc w:val="center"/>
              <w:rPr>
                <w:rFonts w:ascii="Times New Roman" w:hAnsi="Times New Roman" w:cs="Times New Roman"/>
                <w:sz w:val="22"/>
              </w:rPr>
            </w:pPr>
            <w:r>
              <w:rPr>
                <w:rFonts w:hint="eastAsia" w:ascii="Times New Roman" w:hAnsi="Times New Roman" w:cs="Times New Roman"/>
                <w:sz w:val="22"/>
              </w:rPr>
              <w:t>2.0</w:t>
            </w:r>
          </w:p>
        </w:tc>
        <w:tc>
          <w:tcPr>
            <w:tcW w:w="3311" w:type="dxa"/>
            <w:tcBorders>
              <w:top w:val="single" w:color="auto" w:sz="12" w:space="0"/>
              <w:bottom w:val="single" w:color="FFFFFF" w:themeColor="background1" w:sz="4" w:space="0"/>
            </w:tcBorders>
            <w:vAlign w:val="center"/>
          </w:tcPr>
          <w:p w14:paraId="6DE551CD">
            <w:pPr>
              <w:jc w:val="center"/>
              <w:rPr>
                <w:rFonts w:ascii="Times New Roman" w:hAnsi="Times New Roman" w:cs="Times New Roman"/>
                <w:sz w:val="22"/>
              </w:rPr>
            </w:pPr>
            <w:r>
              <w:rPr>
                <w:rFonts w:hint="eastAsia" w:ascii="Times New Roman" w:hAnsi="Times New Roman" w:cs="Times New Roman"/>
                <w:sz w:val="22"/>
              </w:rPr>
              <w:t>147.7</w:t>
            </w:r>
            <w:r>
              <w:rPr>
                <w:rFonts w:ascii="Times New Roman" w:hAnsi="Times New Roman" w:cs="Times New Roman"/>
                <w:sz w:val="22"/>
              </w:rPr>
              <w:t xml:space="preserve"> ± </w:t>
            </w:r>
            <w:r>
              <w:rPr>
                <w:rFonts w:hint="eastAsia" w:ascii="Times New Roman" w:hAnsi="Times New Roman" w:cs="Times New Roman"/>
                <w:sz w:val="22"/>
              </w:rPr>
              <w:t>7.6</w:t>
            </w:r>
          </w:p>
        </w:tc>
      </w:tr>
      <w:tr w14:paraId="213FF450">
        <w:tblPrEx>
          <w:tblCellMar>
            <w:top w:w="0" w:type="dxa"/>
            <w:left w:w="108" w:type="dxa"/>
            <w:bottom w:w="0" w:type="dxa"/>
            <w:right w:w="108" w:type="dxa"/>
          </w:tblCellMar>
        </w:tblPrEx>
        <w:tc>
          <w:tcPr>
            <w:tcW w:w="2480" w:type="dxa"/>
            <w:tcBorders>
              <w:top w:val="single" w:color="FFFFFF" w:themeColor="background1" w:sz="4" w:space="0"/>
            </w:tcBorders>
            <w:vAlign w:val="center"/>
          </w:tcPr>
          <w:p w14:paraId="2B313AA3">
            <w:pPr>
              <w:jc w:val="center"/>
              <w:rPr>
                <w:rFonts w:ascii="Times New Roman" w:hAnsi="Times New Roman" w:cs="Times New Roman"/>
                <w:b w:val="0"/>
                <w:bCs w:val="0"/>
                <w:sz w:val="22"/>
              </w:rPr>
            </w:pPr>
            <w:r>
              <w:rPr>
                <w:rFonts w:ascii="Times New Roman" w:hAnsi="Times New Roman" w:eastAsia="等线" w:cs="Times New Roman"/>
                <w:b/>
                <w:bCs/>
                <w:color w:val="000000"/>
                <w:sz w:val="22"/>
              </w:rPr>
              <w:t>1-8%-4h</w:t>
            </w:r>
          </w:p>
        </w:tc>
        <w:tc>
          <w:tcPr>
            <w:tcW w:w="2731" w:type="dxa"/>
            <w:tcBorders>
              <w:top w:val="single" w:color="FFFFFF" w:themeColor="background1" w:sz="4" w:space="0"/>
            </w:tcBorders>
            <w:vAlign w:val="center"/>
          </w:tcPr>
          <w:p w14:paraId="76E7E49A">
            <w:pPr>
              <w:jc w:val="center"/>
              <w:rPr>
                <w:rFonts w:ascii="Times New Roman" w:hAnsi="Times New Roman" w:cs="Times New Roman"/>
                <w:sz w:val="22"/>
              </w:rPr>
            </w:pPr>
            <w:r>
              <w:rPr>
                <w:rFonts w:hint="eastAsia" w:ascii="Times New Roman" w:hAnsi="Times New Roman" w:cs="Times New Roman"/>
                <w:sz w:val="22"/>
              </w:rPr>
              <w:t>2.3</w:t>
            </w:r>
          </w:p>
        </w:tc>
        <w:tc>
          <w:tcPr>
            <w:tcW w:w="3311" w:type="dxa"/>
            <w:tcBorders>
              <w:top w:val="single" w:color="FFFFFF" w:themeColor="background1" w:sz="4" w:space="0"/>
            </w:tcBorders>
            <w:vAlign w:val="center"/>
          </w:tcPr>
          <w:p w14:paraId="5DE4DC42">
            <w:pPr>
              <w:jc w:val="center"/>
              <w:rPr>
                <w:rFonts w:ascii="Times New Roman" w:hAnsi="Times New Roman" w:cs="Times New Roman"/>
                <w:sz w:val="22"/>
              </w:rPr>
            </w:pPr>
            <w:r>
              <w:rPr>
                <w:rFonts w:hint="eastAsia" w:ascii="Times New Roman" w:hAnsi="Times New Roman" w:cs="Times New Roman"/>
                <w:sz w:val="22"/>
              </w:rPr>
              <w:t>95.8</w:t>
            </w:r>
            <w:r>
              <w:rPr>
                <w:rFonts w:ascii="Times New Roman" w:hAnsi="Times New Roman" w:cs="Times New Roman"/>
                <w:sz w:val="22"/>
              </w:rPr>
              <w:t xml:space="preserve"> ±</w:t>
            </w:r>
            <w:r>
              <w:rPr>
                <w:rFonts w:hint="eastAsia" w:ascii="Times New Roman" w:hAnsi="Times New Roman" w:cs="Times New Roman"/>
                <w:sz w:val="22"/>
              </w:rPr>
              <w:t xml:space="preserve"> 2.3</w:t>
            </w:r>
          </w:p>
        </w:tc>
      </w:tr>
      <w:tr w14:paraId="787B1E42">
        <w:tblPrEx>
          <w:tblCellMar>
            <w:top w:w="0" w:type="dxa"/>
            <w:left w:w="108" w:type="dxa"/>
            <w:bottom w:w="0" w:type="dxa"/>
            <w:right w:w="108" w:type="dxa"/>
          </w:tblCellMar>
        </w:tblPrEx>
        <w:tc>
          <w:tcPr>
            <w:tcW w:w="2480" w:type="dxa"/>
            <w:vAlign w:val="center"/>
          </w:tcPr>
          <w:p w14:paraId="30D2C418">
            <w:pPr>
              <w:jc w:val="center"/>
              <w:rPr>
                <w:rFonts w:ascii="Times New Roman" w:hAnsi="Times New Roman" w:cs="Times New Roman"/>
                <w:b w:val="0"/>
                <w:bCs w:val="0"/>
                <w:sz w:val="22"/>
              </w:rPr>
            </w:pPr>
            <w:r>
              <w:rPr>
                <w:rFonts w:ascii="Times New Roman" w:hAnsi="Times New Roman" w:eastAsia="等线" w:cs="Times New Roman"/>
                <w:b/>
                <w:bCs/>
                <w:color w:val="000000"/>
                <w:sz w:val="22"/>
              </w:rPr>
              <w:t>1-16%-4h</w:t>
            </w:r>
          </w:p>
        </w:tc>
        <w:tc>
          <w:tcPr>
            <w:tcW w:w="2731" w:type="dxa"/>
            <w:vAlign w:val="center"/>
          </w:tcPr>
          <w:p w14:paraId="413B43DC">
            <w:pPr>
              <w:jc w:val="center"/>
              <w:rPr>
                <w:rFonts w:ascii="Times New Roman" w:hAnsi="Times New Roman" w:cs="Times New Roman"/>
                <w:sz w:val="22"/>
              </w:rPr>
            </w:pPr>
            <w:r>
              <w:rPr>
                <w:rFonts w:hint="eastAsia" w:ascii="Times New Roman" w:hAnsi="Times New Roman" w:cs="Times New Roman"/>
                <w:sz w:val="22"/>
              </w:rPr>
              <w:t>2.9</w:t>
            </w:r>
          </w:p>
        </w:tc>
        <w:tc>
          <w:tcPr>
            <w:tcW w:w="3311" w:type="dxa"/>
            <w:vAlign w:val="center"/>
          </w:tcPr>
          <w:p w14:paraId="333B2F66">
            <w:pPr>
              <w:jc w:val="center"/>
              <w:rPr>
                <w:rFonts w:ascii="Times New Roman" w:hAnsi="Times New Roman" w:cs="Times New Roman"/>
                <w:sz w:val="22"/>
              </w:rPr>
            </w:pPr>
            <w:r>
              <w:rPr>
                <w:rFonts w:hint="eastAsia" w:ascii="Times New Roman" w:hAnsi="Times New Roman" w:cs="Times New Roman"/>
                <w:sz w:val="22"/>
              </w:rPr>
              <w:t>121.4</w:t>
            </w:r>
            <w:r>
              <w:rPr>
                <w:rFonts w:ascii="Times New Roman" w:hAnsi="Times New Roman" w:cs="Times New Roman"/>
                <w:sz w:val="22"/>
              </w:rPr>
              <w:t xml:space="preserve"> ±</w:t>
            </w:r>
            <w:r>
              <w:rPr>
                <w:rFonts w:hint="eastAsia" w:ascii="Times New Roman" w:hAnsi="Times New Roman" w:cs="Times New Roman"/>
                <w:sz w:val="22"/>
              </w:rPr>
              <w:t xml:space="preserve"> 3.3</w:t>
            </w:r>
          </w:p>
        </w:tc>
      </w:tr>
      <w:tr w14:paraId="0AFA58D4">
        <w:tblPrEx>
          <w:tblCellMar>
            <w:top w:w="0" w:type="dxa"/>
            <w:left w:w="108" w:type="dxa"/>
            <w:bottom w:w="0" w:type="dxa"/>
            <w:right w:w="108" w:type="dxa"/>
          </w:tblCellMar>
        </w:tblPrEx>
        <w:tc>
          <w:tcPr>
            <w:tcW w:w="2480" w:type="dxa"/>
            <w:vAlign w:val="center"/>
          </w:tcPr>
          <w:p w14:paraId="45C83EA1">
            <w:pPr>
              <w:jc w:val="center"/>
              <w:rPr>
                <w:rFonts w:ascii="Times New Roman" w:hAnsi="Times New Roman" w:cs="Times New Roman"/>
                <w:b w:val="0"/>
                <w:bCs w:val="0"/>
                <w:sz w:val="22"/>
              </w:rPr>
            </w:pPr>
            <w:r>
              <w:rPr>
                <w:rFonts w:ascii="Times New Roman" w:hAnsi="Times New Roman" w:eastAsia="等线" w:cs="Times New Roman"/>
                <w:b/>
                <w:bCs/>
                <w:color w:val="000000"/>
                <w:sz w:val="22"/>
              </w:rPr>
              <w:t>1-32%-4h</w:t>
            </w:r>
          </w:p>
        </w:tc>
        <w:tc>
          <w:tcPr>
            <w:tcW w:w="2731" w:type="dxa"/>
            <w:vAlign w:val="center"/>
          </w:tcPr>
          <w:p w14:paraId="7957BA8D">
            <w:pPr>
              <w:jc w:val="center"/>
              <w:rPr>
                <w:rFonts w:ascii="Times New Roman" w:hAnsi="Times New Roman" w:cs="Times New Roman"/>
                <w:sz w:val="22"/>
              </w:rPr>
            </w:pPr>
            <w:r>
              <w:rPr>
                <w:rFonts w:hint="eastAsia" w:ascii="Times New Roman" w:hAnsi="Times New Roman" w:cs="Times New Roman"/>
                <w:sz w:val="22"/>
              </w:rPr>
              <w:t>3.0</w:t>
            </w:r>
          </w:p>
        </w:tc>
        <w:tc>
          <w:tcPr>
            <w:tcW w:w="3311" w:type="dxa"/>
            <w:vAlign w:val="center"/>
          </w:tcPr>
          <w:p w14:paraId="19157D97">
            <w:pPr>
              <w:jc w:val="center"/>
              <w:rPr>
                <w:rFonts w:ascii="Times New Roman" w:hAnsi="Times New Roman" w:cs="Times New Roman"/>
                <w:sz w:val="22"/>
              </w:rPr>
            </w:pPr>
            <w:r>
              <w:rPr>
                <w:rFonts w:hint="eastAsia" w:ascii="Times New Roman" w:hAnsi="Times New Roman" w:cs="Times New Roman"/>
                <w:sz w:val="22"/>
              </w:rPr>
              <w:t>126.3</w:t>
            </w:r>
            <w:r>
              <w:rPr>
                <w:rFonts w:ascii="Times New Roman" w:hAnsi="Times New Roman" w:cs="Times New Roman"/>
                <w:sz w:val="22"/>
              </w:rPr>
              <w:t xml:space="preserve"> ±</w:t>
            </w:r>
            <w:r>
              <w:rPr>
                <w:rFonts w:hint="eastAsia" w:ascii="Times New Roman" w:hAnsi="Times New Roman" w:cs="Times New Roman"/>
                <w:sz w:val="22"/>
              </w:rPr>
              <w:t xml:space="preserve"> 12.2</w:t>
            </w:r>
          </w:p>
        </w:tc>
      </w:tr>
      <w:tr w14:paraId="35C08106">
        <w:tblPrEx>
          <w:tblCellMar>
            <w:top w:w="0" w:type="dxa"/>
            <w:left w:w="108" w:type="dxa"/>
            <w:bottom w:w="0" w:type="dxa"/>
            <w:right w:w="108" w:type="dxa"/>
          </w:tblCellMar>
        </w:tblPrEx>
        <w:tc>
          <w:tcPr>
            <w:tcW w:w="2480" w:type="dxa"/>
            <w:vAlign w:val="center"/>
          </w:tcPr>
          <w:p w14:paraId="6744AB83">
            <w:pPr>
              <w:jc w:val="center"/>
              <w:rPr>
                <w:rFonts w:ascii="Times New Roman" w:hAnsi="Times New Roman" w:cs="Times New Roman"/>
                <w:b w:val="0"/>
                <w:bCs w:val="0"/>
                <w:sz w:val="22"/>
              </w:rPr>
            </w:pPr>
            <w:r>
              <w:rPr>
                <w:rFonts w:ascii="Times New Roman" w:hAnsi="Times New Roman" w:eastAsia="等线" w:cs="Times New Roman"/>
                <w:b/>
                <w:bCs/>
                <w:color w:val="000000"/>
                <w:sz w:val="22"/>
              </w:rPr>
              <w:t>1-48%-4h</w:t>
            </w:r>
          </w:p>
        </w:tc>
        <w:tc>
          <w:tcPr>
            <w:tcW w:w="2731" w:type="dxa"/>
            <w:vAlign w:val="center"/>
          </w:tcPr>
          <w:p w14:paraId="239E7C91">
            <w:pPr>
              <w:jc w:val="center"/>
              <w:rPr>
                <w:rFonts w:ascii="Times New Roman" w:hAnsi="Times New Roman" w:cs="Times New Roman"/>
                <w:sz w:val="22"/>
              </w:rPr>
            </w:pPr>
            <w:r>
              <w:rPr>
                <w:rFonts w:hint="eastAsia" w:ascii="Times New Roman" w:hAnsi="Times New Roman" w:cs="Times New Roman"/>
                <w:sz w:val="22"/>
              </w:rPr>
              <w:t>4.5</w:t>
            </w:r>
          </w:p>
        </w:tc>
        <w:tc>
          <w:tcPr>
            <w:tcW w:w="3311" w:type="dxa"/>
            <w:vAlign w:val="center"/>
          </w:tcPr>
          <w:p w14:paraId="1B8F7A5B">
            <w:pPr>
              <w:jc w:val="center"/>
              <w:rPr>
                <w:rFonts w:ascii="Times New Roman" w:hAnsi="Times New Roman" w:cs="Times New Roman"/>
                <w:sz w:val="22"/>
              </w:rPr>
            </w:pPr>
            <w:r>
              <w:rPr>
                <w:rFonts w:hint="eastAsia" w:ascii="Times New Roman" w:hAnsi="Times New Roman" w:cs="Times New Roman"/>
                <w:sz w:val="22"/>
              </w:rPr>
              <w:t>78.8</w:t>
            </w:r>
            <w:r>
              <w:rPr>
                <w:rFonts w:ascii="Times New Roman" w:hAnsi="Times New Roman" w:cs="Times New Roman"/>
                <w:sz w:val="22"/>
              </w:rPr>
              <w:t xml:space="preserve"> ±</w:t>
            </w:r>
            <w:r>
              <w:rPr>
                <w:rFonts w:hint="eastAsia" w:ascii="Times New Roman" w:hAnsi="Times New Roman" w:cs="Times New Roman"/>
                <w:sz w:val="22"/>
              </w:rPr>
              <w:t xml:space="preserve"> 12.8</w:t>
            </w:r>
          </w:p>
        </w:tc>
      </w:tr>
      <w:tr w14:paraId="7F25EA0B">
        <w:tblPrEx>
          <w:tblCellMar>
            <w:top w:w="0" w:type="dxa"/>
            <w:left w:w="108" w:type="dxa"/>
            <w:bottom w:w="0" w:type="dxa"/>
            <w:right w:w="108" w:type="dxa"/>
          </w:tblCellMar>
        </w:tblPrEx>
        <w:tc>
          <w:tcPr>
            <w:tcW w:w="2480" w:type="dxa"/>
            <w:vAlign w:val="center"/>
          </w:tcPr>
          <w:p w14:paraId="2EE6C843">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1-32%-8h</w:t>
            </w:r>
          </w:p>
        </w:tc>
        <w:tc>
          <w:tcPr>
            <w:tcW w:w="2731" w:type="dxa"/>
            <w:vAlign w:val="center"/>
          </w:tcPr>
          <w:p w14:paraId="2CEB3F10">
            <w:pPr>
              <w:jc w:val="center"/>
              <w:rPr>
                <w:rFonts w:ascii="Times New Roman" w:hAnsi="Times New Roman" w:eastAsia="等线" w:cs="Times New Roman"/>
                <w:color w:val="000000"/>
                <w:sz w:val="22"/>
              </w:rPr>
            </w:pPr>
            <w:r>
              <w:rPr>
                <w:rFonts w:hint="eastAsia" w:ascii="Times New Roman" w:hAnsi="Times New Roman" w:eastAsia="等线" w:cs="Times New Roman"/>
                <w:color w:val="000000"/>
                <w:sz w:val="22"/>
              </w:rPr>
              <w:t>3.8</w:t>
            </w:r>
          </w:p>
        </w:tc>
        <w:tc>
          <w:tcPr>
            <w:tcW w:w="3311" w:type="dxa"/>
            <w:vAlign w:val="center"/>
          </w:tcPr>
          <w:p w14:paraId="2B872A8C">
            <w:pPr>
              <w:jc w:val="center"/>
              <w:rPr>
                <w:rFonts w:ascii="Times New Roman" w:hAnsi="Times New Roman" w:eastAsia="等线" w:cs="Times New Roman"/>
                <w:color w:val="000000"/>
                <w:sz w:val="22"/>
              </w:rPr>
            </w:pPr>
            <w:r>
              <w:rPr>
                <w:rFonts w:hint="eastAsia" w:ascii="Times New Roman" w:hAnsi="Times New Roman" w:eastAsia="等线" w:cs="Times New Roman"/>
                <w:color w:val="000000"/>
                <w:sz w:val="22"/>
              </w:rPr>
              <w:t>73.2</w:t>
            </w:r>
            <w:r>
              <w:rPr>
                <w:rFonts w:ascii="Times New Roman" w:hAnsi="Times New Roman" w:eastAsia="等线" w:cs="Times New Roman"/>
                <w:color w:val="000000"/>
                <w:sz w:val="22"/>
              </w:rPr>
              <w:t xml:space="preserve"> ±</w:t>
            </w:r>
            <w:r>
              <w:rPr>
                <w:rFonts w:hint="eastAsia" w:ascii="Times New Roman" w:hAnsi="Times New Roman" w:eastAsia="等线" w:cs="Times New Roman"/>
                <w:color w:val="000000"/>
                <w:sz w:val="22"/>
              </w:rPr>
              <w:t xml:space="preserve"> 8.5</w:t>
            </w:r>
          </w:p>
        </w:tc>
      </w:tr>
      <w:tr w14:paraId="0E4A7531">
        <w:tblPrEx>
          <w:tblCellMar>
            <w:top w:w="0" w:type="dxa"/>
            <w:left w:w="108" w:type="dxa"/>
            <w:bottom w:w="0" w:type="dxa"/>
            <w:right w:w="108" w:type="dxa"/>
          </w:tblCellMar>
        </w:tblPrEx>
        <w:tc>
          <w:tcPr>
            <w:tcW w:w="2480" w:type="dxa"/>
            <w:vAlign w:val="center"/>
          </w:tcPr>
          <w:p w14:paraId="0F62DFE8">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1-32%-16h</w:t>
            </w:r>
          </w:p>
        </w:tc>
        <w:tc>
          <w:tcPr>
            <w:tcW w:w="2731" w:type="dxa"/>
            <w:vAlign w:val="center"/>
          </w:tcPr>
          <w:p w14:paraId="5A843871">
            <w:pPr>
              <w:jc w:val="center"/>
              <w:rPr>
                <w:rFonts w:ascii="Times New Roman" w:hAnsi="Times New Roman" w:eastAsia="等线" w:cs="Times New Roman"/>
                <w:color w:val="000000"/>
                <w:sz w:val="22"/>
              </w:rPr>
            </w:pPr>
            <w:r>
              <w:rPr>
                <w:rFonts w:hint="eastAsia" w:ascii="Times New Roman" w:hAnsi="Times New Roman" w:eastAsia="等线" w:cs="Times New Roman"/>
                <w:color w:val="000000"/>
                <w:sz w:val="22"/>
              </w:rPr>
              <w:t>4.0</w:t>
            </w:r>
          </w:p>
        </w:tc>
        <w:tc>
          <w:tcPr>
            <w:tcW w:w="3311" w:type="dxa"/>
            <w:vAlign w:val="center"/>
          </w:tcPr>
          <w:p w14:paraId="5575278F">
            <w:pPr>
              <w:jc w:val="center"/>
              <w:rPr>
                <w:rFonts w:ascii="Times New Roman" w:hAnsi="Times New Roman" w:eastAsia="等线" w:cs="Times New Roman"/>
                <w:color w:val="000000"/>
                <w:sz w:val="22"/>
              </w:rPr>
            </w:pPr>
            <w:r>
              <w:rPr>
                <w:rFonts w:hint="eastAsia" w:ascii="Times New Roman" w:hAnsi="Times New Roman" w:eastAsia="等线" w:cs="Times New Roman"/>
                <w:color w:val="000000"/>
                <w:sz w:val="22"/>
              </w:rPr>
              <w:t>76.2</w:t>
            </w:r>
            <w:r>
              <w:rPr>
                <w:rFonts w:ascii="Times New Roman" w:hAnsi="Times New Roman" w:eastAsia="等线" w:cs="Times New Roman"/>
                <w:color w:val="000000"/>
                <w:sz w:val="22"/>
              </w:rPr>
              <w:t xml:space="preserve"> ±</w:t>
            </w:r>
            <w:r>
              <w:rPr>
                <w:rFonts w:hint="eastAsia" w:ascii="Times New Roman" w:hAnsi="Times New Roman" w:eastAsia="等线" w:cs="Times New Roman"/>
                <w:color w:val="000000"/>
                <w:sz w:val="22"/>
              </w:rPr>
              <w:t xml:space="preserve"> 12.4</w:t>
            </w:r>
          </w:p>
        </w:tc>
      </w:tr>
      <w:tr w14:paraId="132BC2AF">
        <w:tblPrEx>
          <w:tblCellMar>
            <w:top w:w="0" w:type="dxa"/>
            <w:left w:w="108" w:type="dxa"/>
            <w:bottom w:w="0" w:type="dxa"/>
            <w:right w:w="108" w:type="dxa"/>
          </w:tblCellMar>
        </w:tblPrEx>
        <w:tc>
          <w:tcPr>
            <w:tcW w:w="2480" w:type="dxa"/>
            <w:vAlign w:val="center"/>
          </w:tcPr>
          <w:p w14:paraId="31D4EF8A">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1-32%-24h</w:t>
            </w:r>
          </w:p>
        </w:tc>
        <w:tc>
          <w:tcPr>
            <w:tcW w:w="2731" w:type="dxa"/>
            <w:vAlign w:val="center"/>
          </w:tcPr>
          <w:p w14:paraId="6925E4F2">
            <w:pPr>
              <w:jc w:val="center"/>
              <w:rPr>
                <w:rFonts w:ascii="Times New Roman" w:hAnsi="Times New Roman" w:eastAsia="等线" w:cs="Times New Roman"/>
                <w:color w:val="000000"/>
                <w:sz w:val="22"/>
              </w:rPr>
            </w:pPr>
            <w:r>
              <w:rPr>
                <w:rFonts w:hint="eastAsia" w:ascii="Times New Roman" w:hAnsi="Times New Roman" w:eastAsia="等线" w:cs="Times New Roman"/>
                <w:color w:val="000000"/>
                <w:sz w:val="22"/>
              </w:rPr>
              <w:t>4.0</w:t>
            </w:r>
          </w:p>
        </w:tc>
        <w:tc>
          <w:tcPr>
            <w:tcW w:w="3311" w:type="dxa"/>
            <w:vAlign w:val="center"/>
          </w:tcPr>
          <w:p w14:paraId="25DD7580">
            <w:pPr>
              <w:jc w:val="center"/>
              <w:rPr>
                <w:rFonts w:ascii="Times New Roman" w:hAnsi="Times New Roman" w:eastAsia="等线" w:cs="Times New Roman"/>
                <w:color w:val="000000"/>
                <w:sz w:val="22"/>
              </w:rPr>
            </w:pPr>
            <w:r>
              <w:rPr>
                <w:rFonts w:hint="eastAsia" w:ascii="Times New Roman" w:hAnsi="Times New Roman" w:eastAsia="等线" w:cs="Times New Roman"/>
                <w:color w:val="000000"/>
                <w:sz w:val="22"/>
              </w:rPr>
              <w:t>81.8</w:t>
            </w:r>
            <w:r>
              <w:rPr>
                <w:rFonts w:ascii="Times New Roman" w:hAnsi="Times New Roman" w:eastAsia="等线" w:cs="Times New Roman"/>
                <w:color w:val="000000"/>
                <w:sz w:val="22"/>
              </w:rPr>
              <w:t xml:space="preserve"> ±</w:t>
            </w:r>
            <w:r>
              <w:rPr>
                <w:rFonts w:hint="eastAsia" w:ascii="Times New Roman" w:hAnsi="Times New Roman" w:eastAsia="等线" w:cs="Times New Roman"/>
                <w:color w:val="000000"/>
                <w:sz w:val="22"/>
              </w:rPr>
              <w:t xml:space="preserve"> 0.1</w:t>
            </w:r>
          </w:p>
        </w:tc>
      </w:tr>
      <w:tr w14:paraId="7C513D98">
        <w:tblPrEx>
          <w:tblCellMar>
            <w:top w:w="0" w:type="dxa"/>
            <w:left w:w="108" w:type="dxa"/>
            <w:bottom w:w="0" w:type="dxa"/>
            <w:right w:w="108" w:type="dxa"/>
          </w:tblCellMar>
        </w:tblPrEx>
        <w:tc>
          <w:tcPr>
            <w:tcW w:w="2480" w:type="dxa"/>
            <w:tcBorders>
              <w:bottom w:val="single" w:color="auto" w:sz="12" w:space="0"/>
            </w:tcBorders>
            <w:vAlign w:val="center"/>
          </w:tcPr>
          <w:p w14:paraId="40756E6A">
            <w:pPr>
              <w:jc w:val="center"/>
              <w:rPr>
                <w:rFonts w:ascii="Times New Roman" w:hAnsi="Times New Roman" w:eastAsia="等线" w:cs="Times New Roman"/>
                <w:b w:val="0"/>
                <w:bCs w:val="0"/>
                <w:color w:val="000000"/>
                <w:sz w:val="22"/>
              </w:rPr>
            </w:pPr>
            <w:r>
              <w:rPr>
                <w:rFonts w:ascii="Times New Roman" w:hAnsi="Times New Roman" w:eastAsia="等线" w:cs="Times New Roman"/>
                <w:b/>
                <w:bCs/>
                <w:color w:val="000000"/>
                <w:sz w:val="22"/>
              </w:rPr>
              <w:t>1-32%-48h</w:t>
            </w:r>
          </w:p>
        </w:tc>
        <w:tc>
          <w:tcPr>
            <w:tcW w:w="2731" w:type="dxa"/>
            <w:tcBorders>
              <w:bottom w:val="single" w:color="auto" w:sz="12" w:space="0"/>
            </w:tcBorders>
            <w:vAlign w:val="center"/>
          </w:tcPr>
          <w:p w14:paraId="7C1EFA5D">
            <w:pPr>
              <w:jc w:val="center"/>
              <w:rPr>
                <w:rFonts w:ascii="Times New Roman" w:hAnsi="Times New Roman" w:eastAsia="等线" w:cs="Times New Roman"/>
                <w:color w:val="000000"/>
                <w:sz w:val="22"/>
              </w:rPr>
            </w:pPr>
            <w:r>
              <w:rPr>
                <w:rFonts w:hint="eastAsia" w:ascii="Times New Roman" w:hAnsi="Times New Roman" w:eastAsia="等线" w:cs="Times New Roman"/>
                <w:color w:val="000000"/>
                <w:sz w:val="22"/>
              </w:rPr>
              <w:t>4.6</w:t>
            </w:r>
          </w:p>
        </w:tc>
        <w:tc>
          <w:tcPr>
            <w:tcW w:w="3311" w:type="dxa"/>
            <w:tcBorders>
              <w:bottom w:val="single" w:color="auto" w:sz="12" w:space="0"/>
            </w:tcBorders>
            <w:vAlign w:val="center"/>
          </w:tcPr>
          <w:p w14:paraId="4448C2E6">
            <w:pPr>
              <w:jc w:val="center"/>
              <w:rPr>
                <w:rFonts w:ascii="Times New Roman" w:hAnsi="Times New Roman" w:eastAsia="等线" w:cs="Times New Roman"/>
                <w:color w:val="000000"/>
                <w:sz w:val="22"/>
              </w:rPr>
            </w:pPr>
            <w:r>
              <w:rPr>
                <w:rFonts w:hint="eastAsia" w:ascii="Times New Roman" w:hAnsi="Times New Roman" w:eastAsia="等线" w:cs="Times New Roman"/>
                <w:color w:val="000000"/>
                <w:sz w:val="22"/>
              </w:rPr>
              <w:t>94.2</w:t>
            </w:r>
            <w:r>
              <w:rPr>
                <w:rFonts w:ascii="Times New Roman" w:hAnsi="Times New Roman" w:eastAsia="等线" w:cs="Times New Roman"/>
                <w:color w:val="000000"/>
                <w:sz w:val="22"/>
              </w:rPr>
              <w:t xml:space="preserve"> ±</w:t>
            </w:r>
            <w:r>
              <w:rPr>
                <w:rFonts w:hint="eastAsia" w:ascii="Times New Roman" w:hAnsi="Times New Roman" w:eastAsia="等线" w:cs="Times New Roman"/>
                <w:color w:val="000000"/>
                <w:sz w:val="22"/>
              </w:rPr>
              <w:t xml:space="preserve"> 1.0</w:t>
            </w:r>
          </w:p>
        </w:tc>
      </w:tr>
    </w:tbl>
    <w:p w14:paraId="6A1F43B5">
      <w:pPr>
        <w:rPr>
          <w:rFonts w:ascii="Times New Roman" w:hAnsi="Times New Roman" w:cs="Times New Roman"/>
          <w:sz w:val="22"/>
        </w:rPr>
      </w:pPr>
      <w:r>
        <w:rPr>
          <w:rFonts w:hint="eastAsia" w:ascii="Times New Roman" w:hAnsi="Times New Roman" w:cs="Times New Roman"/>
          <w:sz w:val="22"/>
        </w:rPr>
        <w:t>*The Young</w:t>
      </w:r>
      <w:r>
        <w:rPr>
          <w:rFonts w:ascii="Times New Roman" w:hAnsi="Times New Roman" w:cs="Times New Roman"/>
          <w:sz w:val="22"/>
        </w:rPr>
        <w:t>’</w:t>
      </w:r>
      <w:r>
        <w:rPr>
          <w:rFonts w:hint="eastAsia" w:ascii="Times New Roman" w:hAnsi="Times New Roman" w:cs="Times New Roman"/>
          <w:sz w:val="22"/>
        </w:rPr>
        <w:t>s modulus of pure GO and CM-SWCNT is 1.7 GPa 3.2 GPa, respectively.</w:t>
      </w:r>
    </w:p>
    <w:p w14:paraId="65CED55E">
      <w:pPr>
        <w:rPr>
          <w:rFonts w:ascii="Times New Roman" w:hAnsi="Times New Roman" w:cs="Times New Roman"/>
          <w:sz w:val="22"/>
        </w:rPr>
      </w:pPr>
    </w:p>
    <w:p w14:paraId="22189C18">
      <w:pPr>
        <w:rPr>
          <w:rFonts w:ascii="Times New Roman" w:hAnsi="Times New Roman" w:cs="Times New Roman"/>
          <w:sz w:val="22"/>
        </w:rPr>
      </w:pPr>
    </w:p>
    <w:p w14:paraId="42B1D97B">
      <w:pPr>
        <w:rPr>
          <w:rFonts w:ascii="Times New Roman" w:hAnsi="Times New Roman" w:cs="Times New Roman"/>
          <w:sz w:val="22"/>
        </w:rPr>
      </w:pPr>
    </w:p>
    <w:p w14:paraId="591A6F69">
      <w:pPr>
        <w:rPr>
          <w:rFonts w:ascii="Times New Roman" w:hAnsi="Times New Roman" w:cs="Times New Roman"/>
          <w:sz w:val="22"/>
        </w:rPr>
      </w:pPr>
    </w:p>
    <w:p w14:paraId="3236FFAA">
      <w:pPr>
        <w:rPr>
          <w:rFonts w:ascii="Times New Roman" w:hAnsi="Times New Roman" w:cs="Times New Roman"/>
          <w:sz w:val="22"/>
        </w:rPr>
      </w:pPr>
    </w:p>
    <w:p w14:paraId="5346392E">
      <w:pPr>
        <w:rPr>
          <w:rFonts w:ascii="Times New Roman" w:hAnsi="Times New Roman" w:cs="Times New Roman"/>
          <w:sz w:val="22"/>
        </w:rPr>
      </w:pPr>
    </w:p>
    <w:p w14:paraId="6E0CED64">
      <w:pPr>
        <w:rPr>
          <w:rFonts w:ascii="Times New Roman" w:hAnsi="Times New Roman" w:cs="Times New Roman"/>
          <w:sz w:val="22"/>
        </w:rPr>
      </w:pPr>
    </w:p>
    <w:p w14:paraId="2DC60D8A">
      <w:pPr>
        <w:jc w:val="center"/>
        <w:rPr>
          <w:rFonts w:ascii="Times New Roman" w:hAnsi="Times New Roman" w:cs="Times New Roman"/>
          <w:sz w:val="22"/>
        </w:rPr>
      </w:pPr>
    </w:p>
    <w:p w14:paraId="33F5EE31">
      <w:pPr>
        <w:jc w:val="center"/>
        <w:rPr>
          <w:rFonts w:ascii="Times New Roman" w:hAnsi="Times New Roman" w:cs="Times New Roman"/>
          <w:sz w:val="22"/>
        </w:rPr>
      </w:pPr>
    </w:p>
    <w:p w14:paraId="029D06B0">
      <w:pPr>
        <w:jc w:val="center"/>
        <w:rPr>
          <w:rFonts w:ascii="Times New Roman" w:hAnsi="Times New Roman" w:cs="Times New Roman"/>
          <w:sz w:val="22"/>
        </w:rPr>
      </w:pPr>
      <w:r>
        <w:rPr>
          <w:rFonts w:hint="eastAsia" w:ascii="Times New Roman" w:hAnsi="Times New Roman" w:cs="Times New Roman"/>
          <w:sz w:val="22"/>
        </w:rPr>
        <w:t xml:space="preserve">  </w:t>
      </w:r>
    </w:p>
    <w:p w14:paraId="78C385F4">
      <w:pPr>
        <w:jc w:val="center"/>
        <w:rPr>
          <w:rFonts w:ascii="Times New Roman" w:hAnsi="Times New Roman" w:cs="Times New Roman"/>
          <w:sz w:val="22"/>
        </w:rPr>
      </w:pPr>
    </w:p>
    <w:p w14:paraId="2FE80C86">
      <w:pPr>
        <w:jc w:val="center"/>
        <w:rPr>
          <w:rFonts w:ascii="Times New Roman" w:hAnsi="Times New Roman" w:cs="Times New Roman"/>
          <w:sz w:val="22"/>
        </w:rPr>
      </w:pPr>
    </w:p>
    <w:p w14:paraId="106B19AB">
      <w:pPr>
        <w:jc w:val="center"/>
        <w:rPr>
          <w:rFonts w:ascii="Times New Roman" w:hAnsi="Times New Roman" w:cs="Times New Roman"/>
          <w:sz w:val="22"/>
        </w:rPr>
      </w:pPr>
    </w:p>
    <w:p w14:paraId="33D01AF5">
      <w:pPr>
        <w:jc w:val="center"/>
        <w:rPr>
          <w:rFonts w:ascii="Times New Roman" w:hAnsi="Times New Roman" w:cs="Times New Roman"/>
          <w:sz w:val="22"/>
        </w:rPr>
      </w:pPr>
    </w:p>
    <w:p w14:paraId="58E86E12">
      <w:pPr>
        <w:jc w:val="center"/>
        <w:rPr>
          <w:rFonts w:ascii="Times New Roman" w:hAnsi="Times New Roman" w:cs="Times New Roman"/>
          <w:sz w:val="22"/>
        </w:rPr>
      </w:pPr>
    </w:p>
    <w:p w14:paraId="27FA694F">
      <w:pPr>
        <w:jc w:val="center"/>
        <w:rPr>
          <w:rFonts w:ascii="Times New Roman" w:hAnsi="Times New Roman" w:cs="Times New Roman"/>
          <w:sz w:val="22"/>
        </w:rPr>
      </w:pPr>
    </w:p>
    <w:p w14:paraId="081F2053">
      <w:pPr>
        <w:jc w:val="center"/>
        <w:rPr>
          <w:rFonts w:ascii="Times New Roman" w:hAnsi="Times New Roman" w:cs="Times New Roman"/>
          <w:sz w:val="22"/>
        </w:rPr>
      </w:pPr>
    </w:p>
    <w:p w14:paraId="209A1E35">
      <w:pPr>
        <w:jc w:val="center"/>
        <w:rPr>
          <w:rFonts w:ascii="Times New Roman" w:hAnsi="Times New Roman" w:cs="Times New Roman"/>
          <w:sz w:val="22"/>
        </w:rPr>
      </w:pPr>
    </w:p>
    <w:p w14:paraId="28C5039F">
      <w:pPr>
        <w:jc w:val="center"/>
        <w:rPr>
          <w:rFonts w:ascii="Times New Roman" w:hAnsi="Times New Roman" w:cs="Times New Roman"/>
          <w:sz w:val="22"/>
        </w:rPr>
      </w:pPr>
    </w:p>
    <w:p w14:paraId="0C61C058">
      <w:pPr>
        <w:jc w:val="center"/>
        <w:rPr>
          <w:rFonts w:ascii="Times New Roman" w:hAnsi="Times New Roman" w:cs="Times New Roman"/>
          <w:sz w:val="22"/>
        </w:rPr>
      </w:pPr>
    </w:p>
    <w:p w14:paraId="3EF4310D">
      <w:pPr>
        <w:jc w:val="center"/>
        <w:rPr>
          <w:rFonts w:ascii="Times New Roman" w:hAnsi="Times New Roman" w:cs="Times New Roman"/>
          <w:sz w:val="22"/>
        </w:rPr>
      </w:pPr>
    </w:p>
    <w:p w14:paraId="12E9956B">
      <w:pPr>
        <w:jc w:val="center"/>
        <w:rPr>
          <w:rFonts w:ascii="Times New Roman" w:hAnsi="Times New Roman" w:cs="Times New Roman"/>
          <w:sz w:val="22"/>
        </w:rPr>
      </w:pPr>
    </w:p>
    <w:p w14:paraId="7EC4C90C">
      <w:pPr>
        <w:jc w:val="center"/>
        <w:rPr>
          <w:rFonts w:ascii="Times New Roman" w:hAnsi="Times New Roman" w:cs="Times New Roman"/>
          <w:sz w:val="22"/>
        </w:rPr>
      </w:pPr>
    </w:p>
    <w:p w14:paraId="169CCAAF">
      <w:pPr>
        <w:jc w:val="center"/>
        <w:rPr>
          <w:rFonts w:ascii="Times New Roman" w:hAnsi="Times New Roman" w:cs="Times New Roman"/>
          <w:sz w:val="22"/>
        </w:rPr>
      </w:pPr>
    </w:p>
    <w:p w14:paraId="3416B884">
      <w:pPr>
        <w:rPr>
          <w:rFonts w:ascii="Times New Roman" w:hAnsi="Times New Roman" w:cs="Times New Roman"/>
          <w:sz w:val="22"/>
        </w:rPr>
      </w:pPr>
    </w:p>
    <w:p w14:paraId="3E6C72B4">
      <w:pPr>
        <w:rPr>
          <w:rFonts w:ascii="Times New Roman" w:hAnsi="Times New Roman" w:cs="Times New Roman"/>
          <w:sz w:val="22"/>
        </w:rPr>
      </w:pPr>
    </w:p>
    <w:p w14:paraId="4710B676">
      <w:pPr>
        <w:rPr>
          <w:rFonts w:ascii="Times New Roman" w:hAnsi="Times New Roman" w:cs="Times New Roman"/>
          <w:sz w:val="22"/>
        </w:rPr>
      </w:pPr>
    </w:p>
    <w:p w14:paraId="7CE90047">
      <w:pPr>
        <w:rPr>
          <w:rFonts w:ascii="Times New Roman" w:hAnsi="Times New Roman" w:cs="Times New Roman"/>
          <w:sz w:val="22"/>
        </w:rPr>
      </w:pPr>
    </w:p>
    <w:p w14:paraId="6C07A4C5">
      <w:pPr>
        <w:rPr>
          <w:rFonts w:ascii="Times New Roman" w:hAnsi="Times New Roman" w:cs="Times New Roman"/>
          <w:sz w:val="22"/>
        </w:rPr>
      </w:pPr>
    </w:p>
    <w:p w14:paraId="33E0E411">
      <w:pPr>
        <w:rPr>
          <w:rFonts w:ascii="Times New Roman" w:hAnsi="Times New Roman" w:cs="Times New Roman"/>
          <w:sz w:val="22"/>
        </w:rPr>
      </w:pPr>
    </w:p>
    <w:p w14:paraId="54137C68">
      <w:pPr>
        <w:rPr>
          <w:rFonts w:ascii="Times New Roman" w:hAnsi="Times New Roman" w:cs="Times New Roman"/>
          <w:sz w:val="22"/>
        </w:rPr>
      </w:pPr>
    </w:p>
    <w:p w14:paraId="5BD39182">
      <w:pPr>
        <w:rPr>
          <w:rFonts w:ascii="Times New Roman" w:hAnsi="Times New Roman" w:eastAsia="仿宋" w:cs="Times New Roman"/>
          <w:sz w:val="22"/>
        </w:rPr>
      </w:pPr>
    </w:p>
    <w:p w14:paraId="11A27A84">
      <w:pPr>
        <w:rPr>
          <w:rFonts w:ascii="Times New Roman" w:hAnsi="Times New Roman" w:eastAsia="仿宋" w:cs="Times New Roman"/>
          <w:b/>
          <w:bCs/>
          <w:sz w:val="22"/>
        </w:rPr>
      </w:pPr>
      <w:r>
        <w:rPr>
          <w:rFonts w:hint="eastAsia" w:ascii="Times New Roman" w:hAnsi="Times New Roman" w:eastAsia="仿宋" w:cs="Times New Roman"/>
          <w:b/>
          <w:bCs/>
          <w:sz w:val="22"/>
        </w:rPr>
        <w:t>Reference：</w:t>
      </w:r>
    </w:p>
    <w:p w14:paraId="55CB06FA">
      <w:pPr>
        <w:pStyle w:val="55"/>
        <w:rPr>
          <w:rFonts w:ascii="Times New Roman" w:hAnsi="Times New Roman" w:cs="Times New Roman"/>
          <w:sz w:val="22"/>
        </w:rPr>
      </w:pPr>
      <w:r>
        <w:rPr>
          <w:rFonts w:eastAsia="仿宋"/>
          <w:sz w:val="22"/>
        </w:rPr>
        <w:fldChar w:fldCharType="begin"/>
      </w:r>
      <w:r>
        <w:rPr>
          <w:rFonts w:hint="eastAsia" w:eastAsia="仿宋"/>
          <w:sz w:val="22"/>
        </w:rPr>
        <w:instrText xml:space="preserve"> ADDIN ZOTERO_BIBL {"uncited":[],"omitted":[],"custom":[]} CSL_BIBLIOGRAPHY </w:instrText>
      </w:r>
      <w:r>
        <w:rPr>
          <w:rFonts w:eastAsia="仿宋"/>
          <w:sz w:val="22"/>
        </w:rPr>
        <w:fldChar w:fldCharType="separate"/>
      </w:r>
      <w:r>
        <w:rPr>
          <w:rFonts w:ascii="Times New Roman" w:hAnsi="Times New Roman" w:cs="Times New Roman"/>
          <w:sz w:val="22"/>
        </w:rPr>
        <w:t>1.</w:t>
      </w:r>
      <w:r>
        <w:rPr>
          <w:rFonts w:ascii="Times New Roman" w:hAnsi="Times New Roman" w:cs="Times New Roman"/>
          <w:sz w:val="22"/>
        </w:rPr>
        <w:tab/>
      </w:r>
      <w:r>
        <w:rPr>
          <w:rFonts w:ascii="Times New Roman" w:hAnsi="Times New Roman" w:cs="Times New Roman"/>
          <w:sz w:val="22"/>
        </w:rPr>
        <w:t xml:space="preserve">Zhao, W. </w:t>
      </w:r>
      <w:r>
        <w:rPr>
          <w:rFonts w:ascii="Times New Roman" w:hAnsi="Times New Roman" w:cs="Times New Roman"/>
          <w:i/>
          <w:iCs/>
          <w:sz w:val="22"/>
        </w:rPr>
        <w:t>et al.</w:t>
      </w:r>
      <w:r>
        <w:rPr>
          <w:rFonts w:ascii="Times New Roman" w:hAnsi="Times New Roman" w:cs="Times New Roman"/>
          <w:sz w:val="22"/>
        </w:rPr>
        <w:t xml:space="preserve"> Improved electrochemical performance of graphene oxide via copper ion cross-linking and plasma functionalization. https://doi.org/10.1039/D4TC04915B doi:10.1039/D4TC04915B.</w:t>
      </w:r>
    </w:p>
    <w:p w14:paraId="639E01AB">
      <w:pPr>
        <w:pStyle w:val="55"/>
        <w:rPr>
          <w:rFonts w:ascii="Times New Roman" w:hAnsi="Times New Roman" w:cs="Times New Roman"/>
          <w:sz w:val="22"/>
        </w:rPr>
      </w:pPr>
      <w:r>
        <w:rPr>
          <w:rFonts w:ascii="Times New Roman" w:hAnsi="Times New Roman" w:cs="Times New Roman"/>
          <w:sz w:val="22"/>
        </w:rPr>
        <w:t>2.</w:t>
      </w:r>
      <w:r>
        <w:rPr>
          <w:rFonts w:ascii="Times New Roman" w:hAnsi="Times New Roman" w:cs="Times New Roman"/>
          <w:sz w:val="22"/>
        </w:rPr>
        <w:tab/>
      </w:r>
      <w:r>
        <w:rPr>
          <w:rFonts w:ascii="Times New Roman" w:hAnsi="Times New Roman" w:cs="Times New Roman"/>
          <w:sz w:val="22"/>
        </w:rPr>
        <w:t xml:space="preserve">Zhang, Z., Zheng, L., Huang, W. &amp; Cheng, Q. Improving strength and toughness of graphene film through metal ion bridging. </w:t>
      </w:r>
      <w:r>
        <w:rPr>
          <w:rFonts w:ascii="Times New Roman" w:hAnsi="Times New Roman" w:cs="Times New Roman"/>
          <w:i/>
          <w:iCs/>
          <w:sz w:val="22"/>
        </w:rPr>
        <w:t>Proc. Natl. Acad. Sci.</w:t>
      </w:r>
      <w:r>
        <w:rPr>
          <w:rFonts w:ascii="Times New Roman" w:hAnsi="Times New Roman" w:cs="Times New Roman"/>
          <w:sz w:val="22"/>
        </w:rPr>
        <w:t xml:space="preserve"> </w:t>
      </w:r>
      <w:r>
        <w:rPr>
          <w:rFonts w:ascii="Times New Roman" w:hAnsi="Times New Roman" w:cs="Times New Roman"/>
          <w:b/>
          <w:bCs/>
          <w:sz w:val="22"/>
        </w:rPr>
        <w:t>121</w:t>
      </w:r>
      <w:r>
        <w:rPr>
          <w:rFonts w:ascii="Times New Roman" w:hAnsi="Times New Roman" w:cs="Times New Roman"/>
          <w:sz w:val="22"/>
        </w:rPr>
        <w:t>, e2322663121 (2024).</w:t>
      </w:r>
    </w:p>
    <w:p w14:paraId="461D28A6">
      <w:pPr>
        <w:pStyle w:val="55"/>
        <w:rPr>
          <w:rFonts w:ascii="Times New Roman" w:hAnsi="Times New Roman" w:cs="Times New Roman"/>
          <w:sz w:val="22"/>
        </w:rPr>
      </w:pPr>
      <w:r>
        <w:rPr>
          <w:rFonts w:ascii="Times New Roman" w:hAnsi="Times New Roman" w:cs="Times New Roman"/>
          <w:sz w:val="22"/>
        </w:rPr>
        <w:t>3.</w:t>
      </w:r>
      <w:r>
        <w:rPr>
          <w:rFonts w:ascii="Times New Roman" w:hAnsi="Times New Roman" w:cs="Times New Roman"/>
          <w:sz w:val="22"/>
        </w:rPr>
        <w:tab/>
      </w:r>
      <w:r>
        <w:rPr>
          <w:rFonts w:ascii="Times New Roman" w:hAnsi="Times New Roman" w:cs="Times New Roman"/>
          <w:sz w:val="22"/>
        </w:rPr>
        <w:t xml:space="preserve">Wang, X. </w:t>
      </w:r>
      <w:r>
        <w:rPr>
          <w:rFonts w:ascii="Times New Roman" w:hAnsi="Times New Roman" w:cs="Times New Roman"/>
          <w:i/>
          <w:iCs/>
          <w:sz w:val="22"/>
        </w:rPr>
        <w:t>et al.</w:t>
      </w:r>
      <w:r>
        <w:rPr>
          <w:rFonts w:ascii="Times New Roman" w:hAnsi="Times New Roman" w:cs="Times New Roman"/>
          <w:sz w:val="22"/>
        </w:rPr>
        <w:t xml:space="preserve"> Ultratough bioinspired graphene fiber </w:t>
      </w:r>
      <w:r>
        <w:rPr>
          <w:rFonts w:ascii="Times New Roman" w:hAnsi="Times New Roman" w:cs="Times New Roman"/>
          <w:i/>
          <w:iCs/>
          <w:sz w:val="22"/>
        </w:rPr>
        <w:t>via</w:t>
      </w:r>
      <w:r>
        <w:rPr>
          <w:rFonts w:ascii="Times New Roman" w:hAnsi="Times New Roman" w:cs="Times New Roman"/>
          <w:sz w:val="22"/>
        </w:rPr>
        <w:t xml:space="preserve"> sequential toughening of hydrogen and ionic bonding. </w:t>
      </w:r>
      <w:r>
        <w:rPr>
          <w:rFonts w:ascii="Times New Roman" w:hAnsi="Times New Roman" w:cs="Times New Roman"/>
          <w:i/>
          <w:iCs/>
          <w:sz w:val="22"/>
        </w:rPr>
        <w:t>ACS Nano</w:t>
      </w:r>
      <w:r>
        <w:rPr>
          <w:rFonts w:ascii="Times New Roman" w:hAnsi="Times New Roman" w:cs="Times New Roman"/>
          <w:sz w:val="22"/>
        </w:rPr>
        <w:t xml:space="preserve"> </w:t>
      </w:r>
      <w:r>
        <w:rPr>
          <w:rFonts w:ascii="Times New Roman" w:hAnsi="Times New Roman" w:cs="Times New Roman"/>
          <w:b/>
          <w:bCs/>
          <w:sz w:val="22"/>
        </w:rPr>
        <w:t>12</w:t>
      </w:r>
      <w:r>
        <w:rPr>
          <w:rFonts w:ascii="Times New Roman" w:hAnsi="Times New Roman" w:cs="Times New Roman"/>
          <w:sz w:val="22"/>
        </w:rPr>
        <w:t>, 12638–12645 (2018).</w:t>
      </w:r>
    </w:p>
    <w:p w14:paraId="653D1565">
      <w:pPr>
        <w:pStyle w:val="55"/>
        <w:rPr>
          <w:rFonts w:ascii="Times New Roman" w:hAnsi="Times New Roman" w:cs="Times New Roman"/>
          <w:sz w:val="22"/>
        </w:rPr>
      </w:pPr>
      <w:r>
        <w:rPr>
          <w:rFonts w:ascii="Times New Roman" w:hAnsi="Times New Roman" w:cs="Times New Roman"/>
          <w:sz w:val="22"/>
        </w:rPr>
        <w:t>4.</w:t>
      </w:r>
      <w:r>
        <w:rPr>
          <w:rFonts w:ascii="Times New Roman" w:hAnsi="Times New Roman" w:cs="Times New Roman"/>
          <w:sz w:val="22"/>
        </w:rPr>
        <w:tab/>
      </w:r>
      <w:r>
        <w:rPr>
          <w:rFonts w:ascii="Times New Roman" w:hAnsi="Times New Roman" w:cs="Times New Roman"/>
          <w:sz w:val="22"/>
        </w:rPr>
        <w:t xml:space="preserve">Abraham, J. </w:t>
      </w:r>
      <w:r>
        <w:rPr>
          <w:rFonts w:ascii="Times New Roman" w:hAnsi="Times New Roman" w:cs="Times New Roman"/>
          <w:i/>
          <w:iCs/>
          <w:sz w:val="22"/>
        </w:rPr>
        <w:t>et al.</w:t>
      </w:r>
      <w:r>
        <w:rPr>
          <w:rFonts w:ascii="Times New Roman" w:hAnsi="Times New Roman" w:cs="Times New Roman"/>
          <w:sz w:val="22"/>
        </w:rPr>
        <w:t xml:space="preserve"> Tunable sieving of ions using graphene oxide membranes. </w:t>
      </w:r>
      <w:r>
        <w:rPr>
          <w:rFonts w:ascii="Times New Roman" w:hAnsi="Times New Roman" w:cs="Times New Roman"/>
          <w:i/>
          <w:iCs/>
          <w:sz w:val="22"/>
        </w:rPr>
        <w:t>Nat. Nanotechnol.</w:t>
      </w:r>
      <w:r>
        <w:rPr>
          <w:rFonts w:ascii="Times New Roman" w:hAnsi="Times New Roman" w:cs="Times New Roman"/>
          <w:sz w:val="22"/>
        </w:rPr>
        <w:t xml:space="preserve"> </w:t>
      </w:r>
      <w:r>
        <w:rPr>
          <w:rFonts w:ascii="Times New Roman" w:hAnsi="Times New Roman" w:cs="Times New Roman"/>
          <w:b/>
          <w:bCs/>
          <w:sz w:val="22"/>
        </w:rPr>
        <w:t>12</w:t>
      </w:r>
      <w:r>
        <w:rPr>
          <w:rFonts w:ascii="Times New Roman" w:hAnsi="Times New Roman" w:cs="Times New Roman"/>
          <w:sz w:val="22"/>
        </w:rPr>
        <w:t>, 546–550 (2017).</w:t>
      </w:r>
    </w:p>
    <w:p w14:paraId="2E73BB61">
      <w:pPr>
        <w:pStyle w:val="55"/>
        <w:rPr>
          <w:rFonts w:ascii="Times New Roman" w:hAnsi="Times New Roman" w:cs="Times New Roman"/>
          <w:sz w:val="22"/>
        </w:rPr>
      </w:pPr>
      <w:r>
        <w:rPr>
          <w:rFonts w:ascii="Times New Roman" w:hAnsi="Times New Roman" w:cs="Times New Roman"/>
          <w:sz w:val="22"/>
        </w:rPr>
        <w:t>5.</w:t>
      </w:r>
      <w:r>
        <w:rPr>
          <w:rFonts w:ascii="Times New Roman" w:hAnsi="Times New Roman" w:cs="Times New Roman"/>
          <w:sz w:val="22"/>
        </w:rPr>
        <w:tab/>
      </w:r>
      <w:r>
        <w:rPr>
          <w:rFonts w:ascii="Times New Roman" w:hAnsi="Times New Roman" w:cs="Times New Roman"/>
          <w:sz w:val="22"/>
        </w:rPr>
        <w:t xml:space="preserve">Stefanović, A. </w:t>
      </w:r>
      <w:r>
        <w:rPr>
          <w:rFonts w:ascii="Times New Roman" w:hAnsi="Times New Roman" w:cs="Times New Roman"/>
          <w:i/>
          <w:iCs/>
          <w:sz w:val="22"/>
        </w:rPr>
        <w:t>et al.</w:t>
      </w:r>
      <w:r>
        <w:rPr>
          <w:rFonts w:ascii="Times New Roman" w:hAnsi="Times New Roman" w:cs="Times New Roman"/>
          <w:sz w:val="22"/>
        </w:rPr>
        <w:t xml:space="preserve"> Determination of photothermal and EMI shielding efficiency of graphene–silver nanoparticle composites prepared under low-dose gamma irradiation. </w:t>
      </w:r>
      <w:r>
        <w:rPr>
          <w:rFonts w:ascii="Times New Roman" w:hAnsi="Times New Roman" w:cs="Times New Roman"/>
          <w:i/>
          <w:iCs/>
          <w:sz w:val="22"/>
        </w:rPr>
        <w:t>Nanomaterials</w:t>
      </w:r>
      <w:r>
        <w:rPr>
          <w:rFonts w:ascii="Times New Roman" w:hAnsi="Times New Roman" w:cs="Times New Roman"/>
          <w:sz w:val="22"/>
        </w:rPr>
        <w:t xml:space="preserve"> </w:t>
      </w:r>
      <w:r>
        <w:rPr>
          <w:rFonts w:ascii="Times New Roman" w:hAnsi="Times New Roman" w:cs="Times New Roman"/>
          <w:b/>
          <w:bCs/>
          <w:sz w:val="22"/>
        </w:rPr>
        <w:t>14</w:t>
      </w:r>
      <w:r>
        <w:rPr>
          <w:rFonts w:ascii="Times New Roman" w:hAnsi="Times New Roman" w:cs="Times New Roman"/>
          <w:sz w:val="22"/>
        </w:rPr>
        <w:t>, 912 (2024).</w:t>
      </w:r>
    </w:p>
    <w:p w14:paraId="1A85BB8C">
      <w:pPr>
        <w:pStyle w:val="55"/>
        <w:rPr>
          <w:rFonts w:ascii="Times New Roman" w:hAnsi="Times New Roman" w:cs="Times New Roman"/>
          <w:sz w:val="22"/>
        </w:rPr>
      </w:pPr>
      <w:r>
        <w:rPr>
          <w:rFonts w:ascii="Times New Roman" w:hAnsi="Times New Roman" w:cs="Times New Roman"/>
          <w:sz w:val="22"/>
        </w:rPr>
        <w:t>6.</w:t>
      </w:r>
      <w:r>
        <w:rPr>
          <w:rFonts w:ascii="Times New Roman" w:hAnsi="Times New Roman" w:cs="Times New Roman"/>
          <w:sz w:val="22"/>
        </w:rPr>
        <w:tab/>
      </w:r>
      <w:r>
        <w:rPr>
          <w:rFonts w:ascii="Times New Roman" w:hAnsi="Times New Roman" w:cs="Times New Roman"/>
          <w:sz w:val="22"/>
        </w:rPr>
        <w:t xml:space="preserve">Kepić, D. </w:t>
      </w:r>
      <w:r>
        <w:rPr>
          <w:rFonts w:ascii="Times New Roman" w:hAnsi="Times New Roman" w:cs="Times New Roman"/>
          <w:i/>
          <w:iCs/>
          <w:sz w:val="22"/>
        </w:rPr>
        <w:t>et al.</w:t>
      </w:r>
      <w:r>
        <w:rPr>
          <w:rFonts w:ascii="Times New Roman" w:hAnsi="Times New Roman" w:cs="Times New Roman"/>
          <w:sz w:val="22"/>
        </w:rPr>
        <w:t xml:space="preserve"> Investigation of the interactions and electromagnetic shielding properties of graphene oxide/platinum nanoparticle composites prepared under low-dose gamma irradiation. </w:t>
      </w:r>
      <w:r>
        <w:rPr>
          <w:rFonts w:ascii="Times New Roman" w:hAnsi="Times New Roman" w:cs="Times New Roman"/>
          <w:i/>
          <w:iCs/>
          <w:sz w:val="22"/>
        </w:rPr>
        <w:t>Sci. Rep.</w:t>
      </w:r>
      <w:r>
        <w:rPr>
          <w:rFonts w:ascii="Times New Roman" w:hAnsi="Times New Roman" w:cs="Times New Roman"/>
          <w:sz w:val="22"/>
        </w:rPr>
        <w:t xml:space="preserve"> </w:t>
      </w:r>
      <w:r>
        <w:rPr>
          <w:rFonts w:ascii="Times New Roman" w:hAnsi="Times New Roman" w:cs="Times New Roman"/>
          <w:b/>
          <w:bCs/>
          <w:sz w:val="22"/>
        </w:rPr>
        <w:t>15</w:t>
      </w:r>
      <w:r>
        <w:rPr>
          <w:rFonts w:ascii="Times New Roman" w:hAnsi="Times New Roman" w:cs="Times New Roman"/>
          <w:sz w:val="22"/>
        </w:rPr>
        <w:t>, 26924 (2025).</w:t>
      </w:r>
    </w:p>
    <w:p w14:paraId="6B975EEA">
      <w:pPr>
        <w:pStyle w:val="55"/>
        <w:rPr>
          <w:rFonts w:ascii="Times New Roman" w:hAnsi="Times New Roman" w:cs="Times New Roman"/>
          <w:sz w:val="22"/>
        </w:rPr>
      </w:pPr>
      <w:r>
        <w:rPr>
          <w:rFonts w:ascii="Times New Roman" w:hAnsi="Times New Roman" w:cs="Times New Roman"/>
          <w:sz w:val="22"/>
        </w:rPr>
        <w:t>7.</w:t>
      </w:r>
      <w:r>
        <w:rPr>
          <w:rFonts w:ascii="Times New Roman" w:hAnsi="Times New Roman" w:cs="Times New Roman"/>
          <w:sz w:val="22"/>
        </w:rPr>
        <w:tab/>
      </w:r>
      <w:r>
        <w:rPr>
          <w:rFonts w:ascii="Times New Roman" w:hAnsi="Times New Roman" w:cs="Times New Roman"/>
          <w:sz w:val="22"/>
        </w:rPr>
        <w:t xml:space="preserve">Sun, M. </w:t>
      </w:r>
      <w:r>
        <w:rPr>
          <w:rFonts w:ascii="Times New Roman" w:hAnsi="Times New Roman" w:cs="Times New Roman"/>
          <w:i/>
          <w:iCs/>
          <w:sz w:val="22"/>
        </w:rPr>
        <w:t>et al.</w:t>
      </w:r>
      <w:r>
        <w:rPr>
          <w:rFonts w:ascii="Times New Roman" w:hAnsi="Times New Roman" w:cs="Times New Roman"/>
          <w:sz w:val="22"/>
        </w:rPr>
        <w:t xml:space="preserve"> Enhanced organic wastewater treatment performance in electrochemical filtration process of coal-based carbon membrane via the simple Fe2+ addition. </w:t>
      </w:r>
      <w:r>
        <w:rPr>
          <w:rFonts w:ascii="Times New Roman" w:hAnsi="Times New Roman" w:cs="Times New Roman"/>
          <w:i/>
          <w:iCs/>
          <w:sz w:val="22"/>
        </w:rPr>
        <w:t>Sep. Purif. Technol.</w:t>
      </w:r>
      <w:r>
        <w:rPr>
          <w:rFonts w:ascii="Times New Roman" w:hAnsi="Times New Roman" w:cs="Times New Roman"/>
          <w:sz w:val="22"/>
        </w:rPr>
        <w:t xml:space="preserve"> </w:t>
      </w:r>
      <w:r>
        <w:rPr>
          <w:rFonts w:ascii="Times New Roman" w:hAnsi="Times New Roman" w:cs="Times New Roman"/>
          <w:b/>
          <w:bCs/>
          <w:sz w:val="22"/>
        </w:rPr>
        <w:t>276</w:t>
      </w:r>
      <w:r>
        <w:rPr>
          <w:rFonts w:ascii="Times New Roman" w:hAnsi="Times New Roman" w:cs="Times New Roman"/>
          <w:sz w:val="22"/>
        </w:rPr>
        <w:t>, 119418 (2021).</w:t>
      </w:r>
    </w:p>
    <w:p w14:paraId="118B135E">
      <w:pPr>
        <w:pStyle w:val="55"/>
        <w:rPr>
          <w:rFonts w:ascii="Times New Roman" w:hAnsi="Times New Roman" w:cs="Times New Roman"/>
          <w:sz w:val="22"/>
        </w:rPr>
      </w:pPr>
      <w:r>
        <w:rPr>
          <w:rFonts w:ascii="Times New Roman" w:hAnsi="Times New Roman" w:cs="Times New Roman"/>
          <w:sz w:val="22"/>
        </w:rPr>
        <w:t>8.</w:t>
      </w:r>
      <w:r>
        <w:rPr>
          <w:rFonts w:ascii="Times New Roman" w:hAnsi="Times New Roman" w:cs="Times New Roman"/>
          <w:sz w:val="22"/>
        </w:rPr>
        <w:tab/>
      </w:r>
      <w:r>
        <w:rPr>
          <w:rFonts w:ascii="Times New Roman" w:hAnsi="Times New Roman" w:cs="Times New Roman"/>
          <w:sz w:val="22"/>
        </w:rPr>
        <w:t xml:space="preserve">Sutherland, A. J., Ruiz-Caldas, M.-X. &amp; De Lannoy, C.-F. Electro-catalytic microfiltration membranes electrochemically degrade azo dyes in solution. </w:t>
      </w:r>
      <w:r>
        <w:rPr>
          <w:rFonts w:ascii="Times New Roman" w:hAnsi="Times New Roman" w:cs="Times New Roman"/>
          <w:i/>
          <w:iCs/>
          <w:sz w:val="22"/>
        </w:rPr>
        <w:t>J. Membr. Sci.</w:t>
      </w:r>
      <w:r>
        <w:rPr>
          <w:rFonts w:ascii="Times New Roman" w:hAnsi="Times New Roman" w:cs="Times New Roman"/>
          <w:sz w:val="22"/>
        </w:rPr>
        <w:t xml:space="preserve"> </w:t>
      </w:r>
      <w:r>
        <w:rPr>
          <w:rFonts w:ascii="Times New Roman" w:hAnsi="Times New Roman" w:cs="Times New Roman"/>
          <w:b/>
          <w:bCs/>
          <w:sz w:val="22"/>
        </w:rPr>
        <w:t>611</w:t>
      </w:r>
      <w:r>
        <w:rPr>
          <w:rFonts w:ascii="Times New Roman" w:hAnsi="Times New Roman" w:cs="Times New Roman"/>
          <w:sz w:val="22"/>
        </w:rPr>
        <w:t>, 118335 (2020).</w:t>
      </w:r>
    </w:p>
    <w:p w14:paraId="02D06331">
      <w:pPr>
        <w:pStyle w:val="55"/>
        <w:rPr>
          <w:rFonts w:ascii="Times New Roman" w:hAnsi="Times New Roman" w:cs="Times New Roman"/>
          <w:sz w:val="22"/>
        </w:rPr>
      </w:pPr>
      <w:r>
        <w:rPr>
          <w:rFonts w:ascii="Times New Roman" w:hAnsi="Times New Roman" w:cs="Times New Roman"/>
          <w:sz w:val="22"/>
        </w:rPr>
        <w:t>9.</w:t>
      </w:r>
      <w:r>
        <w:rPr>
          <w:rFonts w:ascii="Times New Roman" w:hAnsi="Times New Roman" w:cs="Times New Roman"/>
          <w:sz w:val="22"/>
        </w:rPr>
        <w:tab/>
      </w:r>
      <w:r>
        <w:rPr>
          <w:rFonts w:ascii="Times New Roman" w:hAnsi="Times New Roman" w:cs="Times New Roman"/>
          <w:sz w:val="22"/>
        </w:rPr>
        <w:t xml:space="preserve">Foroughi, J. </w:t>
      </w:r>
      <w:r>
        <w:rPr>
          <w:rFonts w:ascii="Times New Roman" w:hAnsi="Times New Roman" w:cs="Times New Roman"/>
          <w:i/>
          <w:iCs/>
          <w:sz w:val="22"/>
        </w:rPr>
        <w:t>et al.</w:t>
      </w:r>
      <w:r>
        <w:rPr>
          <w:rFonts w:ascii="Times New Roman" w:hAnsi="Times New Roman" w:cs="Times New Roman"/>
          <w:sz w:val="22"/>
        </w:rPr>
        <w:t xml:space="preserve"> Highly conductive carbon nanotube-graphene hybrid yarn. </w:t>
      </w:r>
      <w:r>
        <w:rPr>
          <w:rFonts w:ascii="Times New Roman" w:hAnsi="Times New Roman" w:cs="Times New Roman"/>
          <w:i/>
          <w:iCs/>
          <w:sz w:val="22"/>
        </w:rPr>
        <w:t>Adv. Funct. Mater.</w:t>
      </w:r>
      <w:r>
        <w:rPr>
          <w:rFonts w:ascii="Times New Roman" w:hAnsi="Times New Roman" w:cs="Times New Roman"/>
          <w:sz w:val="22"/>
        </w:rPr>
        <w:t xml:space="preserve"> </w:t>
      </w:r>
      <w:r>
        <w:rPr>
          <w:rFonts w:ascii="Times New Roman" w:hAnsi="Times New Roman" w:cs="Times New Roman"/>
          <w:b/>
          <w:bCs/>
          <w:sz w:val="22"/>
        </w:rPr>
        <w:t>24</w:t>
      </w:r>
      <w:r>
        <w:rPr>
          <w:rFonts w:ascii="Times New Roman" w:hAnsi="Times New Roman" w:cs="Times New Roman"/>
          <w:sz w:val="22"/>
        </w:rPr>
        <w:t>, 5859–5865 (2014).</w:t>
      </w:r>
    </w:p>
    <w:p w14:paraId="58652723">
      <w:pPr>
        <w:pStyle w:val="55"/>
        <w:rPr>
          <w:rFonts w:ascii="Times New Roman" w:hAnsi="Times New Roman" w:cs="Times New Roman"/>
          <w:sz w:val="22"/>
        </w:rPr>
      </w:pPr>
      <w:r>
        <w:rPr>
          <w:rFonts w:ascii="Times New Roman" w:hAnsi="Times New Roman" w:cs="Times New Roman"/>
          <w:sz w:val="22"/>
        </w:rPr>
        <w:t>10.</w:t>
      </w:r>
      <w:r>
        <w:rPr>
          <w:rFonts w:ascii="Times New Roman" w:hAnsi="Times New Roman" w:cs="Times New Roman"/>
          <w:sz w:val="22"/>
        </w:rPr>
        <w:tab/>
      </w:r>
      <w:r>
        <w:rPr>
          <w:rFonts w:ascii="Times New Roman" w:hAnsi="Times New Roman" w:cs="Times New Roman"/>
          <w:sz w:val="22"/>
        </w:rPr>
        <w:t xml:space="preserve">Wang, X. </w:t>
      </w:r>
      <w:r>
        <w:rPr>
          <w:rFonts w:ascii="Times New Roman" w:hAnsi="Times New Roman" w:cs="Times New Roman"/>
          <w:i/>
          <w:iCs/>
          <w:sz w:val="22"/>
        </w:rPr>
        <w:t>et al.</w:t>
      </w:r>
      <w:r>
        <w:rPr>
          <w:rFonts w:ascii="Times New Roman" w:hAnsi="Times New Roman" w:cs="Times New Roman"/>
          <w:sz w:val="22"/>
        </w:rPr>
        <w:t xml:space="preserve"> Achieving high electrochemical performance of PEMFCs with ultrathin and highly conductive graphite-resin composite bipolar plates. </w:t>
      </w:r>
      <w:r>
        <w:rPr>
          <w:rFonts w:ascii="Times New Roman" w:hAnsi="Times New Roman" w:cs="Times New Roman"/>
          <w:i/>
          <w:iCs/>
          <w:sz w:val="22"/>
        </w:rPr>
        <w:t>Int. J. Hydrog. Energy</w:t>
      </w:r>
      <w:r>
        <w:rPr>
          <w:rFonts w:ascii="Times New Roman" w:hAnsi="Times New Roman" w:cs="Times New Roman"/>
          <w:sz w:val="22"/>
        </w:rPr>
        <w:t xml:space="preserve"> </w:t>
      </w:r>
      <w:r>
        <w:rPr>
          <w:rFonts w:ascii="Times New Roman" w:hAnsi="Times New Roman" w:cs="Times New Roman"/>
          <w:b/>
          <w:bCs/>
          <w:sz w:val="22"/>
        </w:rPr>
        <w:t>55</w:t>
      </w:r>
      <w:r>
        <w:rPr>
          <w:rFonts w:ascii="Times New Roman" w:hAnsi="Times New Roman" w:cs="Times New Roman"/>
          <w:sz w:val="22"/>
        </w:rPr>
        <w:t>, 654–664 (2024).</w:t>
      </w:r>
    </w:p>
    <w:p w14:paraId="2A143010">
      <w:pPr>
        <w:pStyle w:val="55"/>
        <w:rPr>
          <w:rFonts w:ascii="Times New Roman" w:hAnsi="Times New Roman" w:cs="Times New Roman"/>
          <w:sz w:val="22"/>
        </w:rPr>
      </w:pPr>
      <w:r>
        <w:rPr>
          <w:rFonts w:ascii="Times New Roman" w:hAnsi="Times New Roman" w:cs="Times New Roman"/>
          <w:sz w:val="22"/>
        </w:rPr>
        <w:t>11.</w:t>
      </w:r>
      <w:r>
        <w:rPr>
          <w:rFonts w:ascii="Times New Roman" w:hAnsi="Times New Roman" w:cs="Times New Roman"/>
          <w:sz w:val="22"/>
        </w:rPr>
        <w:tab/>
      </w:r>
      <w:r>
        <w:rPr>
          <w:rFonts w:ascii="Times New Roman" w:hAnsi="Times New Roman" w:cs="Times New Roman"/>
          <w:sz w:val="22"/>
        </w:rPr>
        <w:t xml:space="preserve">Liang, J., Cui, R., Zhang, X., Koumoto, K. &amp; Wan, C. Polymer/carbon composites with versatile interfacial interactions for high performance carbon-based thermoelectrics: principles and applications. </w:t>
      </w:r>
      <w:r>
        <w:rPr>
          <w:rFonts w:ascii="Times New Roman" w:hAnsi="Times New Roman" w:cs="Times New Roman"/>
          <w:i/>
          <w:iCs/>
          <w:sz w:val="22"/>
        </w:rPr>
        <w:t>Adv. Funct. Mater.</w:t>
      </w:r>
      <w:r>
        <w:rPr>
          <w:rFonts w:ascii="Times New Roman" w:hAnsi="Times New Roman" w:cs="Times New Roman"/>
          <w:sz w:val="22"/>
        </w:rPr>
        <w:t xml:space="preserve"> </w:t>
      </w:r>
      <w:r>
        <w:rPr>
          <w:rFonts w:ascii="Times New Roman" w:hAnsi="Times New Roman" w:cs="Times New Roman"/>
          <w:b/>
          <w:bCs/>
          <w:sz w:val="22"/>
        </w:rPr>
        <w:t>33</w:t>
      </w:r>
      <w:r>
        <w:rPr>
          <w:rFonts w:ascii="Times New Roman" w:hAnsi="Times New Roman" w:cs="Times New Roman"/>
          <w:sz w:val="22"/>
        </w:rPr>
        <w:t>, 2208813 (2023).</w:t>
      </w:r>
    </w:p>
    <w:p w14:paraId="7D2240C0">
      <w:pPr>
        <w:pStyle w:val="55"/>
        <w:rPr>
          <w:rFonts w:ascii="Times New Roman" w:hAnsi="Times New Roman" w:cs="Times New Roman"/>
          <w:sz w:val="22"/>
        </w:rPr>
      </w:pPr>
      <w:r>
        <w:rPr>
          <w:rFonts w:ascii="Times New Roman" w:hAnsi="Times New Roman" w:cs="Times New Roman"/>
          <w:sz w:val="22"/>
        </w:rPr>
        <w:t>12.</w:t>
      </w:r>
      <w:r>
        <w:rPr>
          <w:rFonts w:ascii="Times New Roman" w:hAnsi="Times New Roman" w:cs="Times New Roman"/>
          <w:sz w:val="22"/>
        </w:rPr>
        <w:tab/>
      </w:r>
      <w:r>
        <w:rPr>
          <w:rFonts w:ascii="Times New Roman" w:hAnsi="Times New Roman" w:cs="Times New Roman"/>
          <w:sz w:val="22"/>
        </w:rPr>
        <w:t xml:space="preserve">Liao, W., Jiang, F., Zhang, Y., Zhou, X. &amp; He, Z. Highly-conductive composite bipolar plate based on ternary carbon materials and its performance in redox flow batteries. </w:t>
      </w:r>
      <w:r>
        <w:rPr>
          <w:rFonts w:ascii="Times New Roman" w:hAnsi="Times New Roman" w:cs="Times New Roman"/>
          <w:i/>
          <w:iCs/>
          <w:sz w:val="22"/>
        </w:rPr>
        <w:t>Renew. Energy</w:t>
      </w:r>
      <w:r>
        <w:rPr>
          <w:rFonts w:ascii="Times New Roman" w:hAnsi="Times New Roman" w:cs="Times New Roman"/>
          <w:sz w:val="22"/>
        </w:rPr>
        <w:t xml:space="preserve"> </w:t>
      </w:r>
      <w:r>
        <w:rPr>
          <w:rFonts w:ascii="Times New Roman" w:hAnsi="Times New Roman" w:cs="Times New Roman"/>
          <w:b/>
          <w:bCs/>
          <w:sz w:val="22"/>
        </w:rPr>
        <w:t>152</w:t>
      </w:r>
      <w:r>
        <w:rPr>
          <w:rFonts w:ascii="Times New Roman" w:hAnsi="Times New Roman" w:cs="Times New Roman"/>
          <w:sz w:val="22"/>
        </w:rPr>
        <w:t>, 1310–1316 (2020).</w:t>
      </w:r>
    </w:p>
    <w:p w14:paraId="66F42602">
      <w:pPr>
        <w:pStyle w:val="55"/>
        <w:rPr>
          <w:rFonts w:ascii="Times New Roman" w:hAnsi="Times New Roman" w:cs="Times New Roman"/>
          <w:sz w:val="22"/>
        </w:rPr>
      </w:pPr>
      <w:r>
        <w:rPr>
          <w:rFonts w:ascii="Times New Roman" w:hAnsi="Times New Roman" w:cs="Times New Roman"/>
          <w:sz w:val="22"/>
        </w:rPr>
        <w:t>13.</w:t>
      </w:r>
      <w:r>
        <w:rPr>
          <w:rFonts w:ascii="Times New Roman" w:hAnsi="Times New Roman" w:cs="Times New Roman"/>
          <w:sz w:val="22"/>
        </w:rPr>
        <w:tab/>
      </w:r>
      <w:r>
        <w:rPr>
          <w:rFonts w:ascii="Times New Roman" w:hAnsi="Times New Roman" w:cs="Times New Roman"/>
          <w:sz w:val="22"/>
        </w:rPr>
        <w:t xml:space="preserve">Zhu, C. </w:t>
      </w:r>
      <w:r>
        <w:rPr>
          <w:rFonts w:ascii="Times New Roman" w:hAnsi="Times New Roman" w:cs="Times New Roman"/>
          <w:i/>
          <w:iCs/>
          <w:sz w:val="22"/>
        </w:rPr>
        <w:t>et al.</w:t>
      </w:r>
      <w:r>
        <w:rPr>
          <w:rFonts w:ascii="Times New Roman" w:hAnsi="Times New Roman" w:cs="Times New Roman"/>
          <w:sz w:val="22"/>
        </w:rPr>
        <w:t xml:space="preserve"> The ultra-thin flexible graphite/epoxy bipolar plates adjusted by different surface tension modifiers and application in the fuel cell stack. </w:t>
      </w:r>
      <w:r>
        <w:rPr>
          <w:rFonts w:ascii="Times New Roman" w:hAnsi="Times New Roman" w:cs="Times New Roman"/>
          <w:i/>
          <w:iCs/>
          <w:sz w:val="22"/>
        </w:rPr>
        <w:t>Int. J. Hydrog. Energy</w:t>
      </w:r>
      <w:r>
        <w:rPr>
          <w:rFonts w:ascii="Times New Roman" w:hAnsi="Times New Roman" w:cs="Times New Roman"/>
          <w:sz w:val="22"/>
        </w:rPr>
        <w:t xml:space="preserve"> </w:t>
      </w:r>
      <w:r>
        <w:rPr>
          <w:rFonts w:ascii="Times New Roman" w:hAnsi="Times New Roman" w:cs="Times New Roman"/>
          <w:b/>
          <w:bCs/>
          <w:sz w:val="22"/>
        </w:rPr>
        <w:t>79</w:t>
      </w:r>
      <w:r>
        <w:rPr>
          <w:rFonts w:ascii="Times New Roman" w:hAnsi="Times New Roman" w:cs="Times New Roman"/>
          <w:sz w:val="22"/>
        </w:rPr>
        <w:t>, 1347–1356 (2024).</w:t>
      </w:r>
    </w:p>
    <w:p w14:paraId="65FA519A">
      <w:pPr>
        <w:pStyle w:val="55"/>
        <w:rPr>
          <w:rFonts w:ascii="Times New Roman" w:hAnsi="Times New Roman" w:cs="Times New Roman"/>
          <w:sz w:val="22"/>
        </w:rPr>
      </w:pPr>
      <w:r>
        <w:rPr>
          <w:rFonts w:ascii="Times New Roman" w:hAnsi="Times New Roman" w:cs="Times New Roman"/>
          <w:sz w:val="22"/>
        </w:rPr>
        <w:t>14.</w:t>
      </w:r>
      <w:r>
        <w:rPr>
          <w:rFonts w:ascii="Times New Roman" w:hAnsi="Times New Roman" w:cs="Times New Roman"/>
          <w:sz w:val="22"/>
        </w:rPr>
        <w:tab/>
      </w:r>
      <w:r>
        <w:rPr>
          <w:rFonts w:ascii="Times New Roman" w:hAnsi="Times New Roman" w:cs="Times New Roman"/>
          <w:sz w:val="22"/>
        </w:rPr>
        <w:t xml:space="preserve">Pan, Z. </w:t>
      </w:r>
      <w:r>
        <w:rPr>
          <w:rFonts w:ascii="Times New Roman" w:hAnsi="Times New Roman" w:cs="Times New Roman"/>
          <w:i/>
          <w:iCs/>
          <w:sz w:val="22"/>
        </w:rPr>
        <w:t>et al.</w:t>
      </w:r>
      <w:r>
        <w:rPr>
          <w:rFonts w:ascii="Times New Roman" w:hAnsi="Times New Roman" w:cs="Times New Roman"/>
          <w:sz w:val="22"/>
        </w:rPr>
        <w:t xml:space="preserve"> Low-cost electrochemical filtration carbon membrane prepared from coal via self-bonding. </w:t>
      </w:r>
      <w:r>
        <w:rPr>
          <w:rFonts w:ascii="Times New Roman" w:hAnsi="Times New Roman" w:cs="Times New Roman"/>
          <w:i/>
          <w:iCs/>
          <w:sz w:val="22"/>
        </w:rPr>
        <w:t>Chem. Eng. J.</w:t>
      </w:r>
      <w:r>
        <w:rPr>
          <w:rFonts w:ascii="Times New Roman" w:hAnsi="Times New Roman" w:cs="Times New Roman"/>
          <w:sz w:val="22"/>
        </w:rPr>
        <w:t xml:space="preserve"> </w:t>
      </w:r>
      <w:r>
        <w:rPr>
          <w:rFonts w:ascii="Times New Roman" w:hAnsi="Times New Roman" w:cs="Times New Roman"/>
          <w:b/>
          <w:bCs/>
          <w:sz w:val="22"/>
        </w:rPr>
        <w:t>385</w:t>
      </w:r>
      <w:r>
        <w:rPr>
          <w:rFonts w:ascii="Times New Roman" w:hAnsi="Times New Roman" w:cs="Times New Roman"/>
          <w:sz w:val="22"/>
        </w:rPr>
        <w:t>, 123928 (2020).</w:t>
      </w:r>
    </w:p>
    <w:p w14:paraId="01A87B82">
      <w:pPr>
        <w:pStyle w:val="55"/>
        <w:rPr>
          <w:rFonts w:ascii="Times New Roman" w:hAnsi="Times New Roman" w:cs="Times New Roman"/>
          <w:sz w:val="22"/>
        </w:rPr>
      </w:pPr>
      <w:r>
        <w:rPr>
          <w:rFonts w:ascii="Times New Roman" w:hAnsi="Times New Roman" w:cs="Times New Roman"/>
          <w:sz w:val="22"/>
        </w:rPr>
        <w:t>15.</w:t>
      </w:r>
      <w:r>
        <w:rPr>
          <w:rFonts w:ascii="Times New Roman" w:hAnsi="Times New Roman" w:cs="Times New Roman"/>
          <w:sz w:val="22"/>
        </w:rPr>
        <w:tab/>
      </w:r>
      <w:r>
        <w:rPr>
          <w:rFonts w:ascii="Times New Roman" w:hAnsi="Times New Roman" w:cs="Times New Roman"/>
          <w:sz w:val="22"/>
        </w:rPr>
        <w:t xml:space="preserve">Fan, R. </w:t>
      </w:r>
      <w:r>
        <w:rPr>
          <w:rFonts w:ascii="Times New Roman" w:hAnsi="Times New Roman" w:cs="Times New Roman"/>
          <w:i/>
          <w:iCs/>
          <w:sz w:val="22"/>
        </w:rPr>
        <w:t>et al.</w:t>
      </w:r>
      <w:r>
        <w:rPr>
          <w:rFonts w:ascii="Times New Roman" w:hAnsi="Times New Roman" w:cs="Times New Roman"/>
          <w:sz w:val="22"/>
        </w:rPr>
        <w:t xml:space="preserve"> The conductive network optimization of composite graphite plates and its morphological analysis. </w:t>
      </w:r>
      <w:r>
        <w:rPr>
          <w:rFonts w:ascii="Times New Roman" w:hAnsi="Times New Roman" w:cs="Times New Roman"/>
          <w:i/>
          <w:iCs/>
          <w:sz w:val="22"/>
        </w:rPr>
        <w:t>Chem. Eng. J.</w:t>
      </w:r>
      <w:r>
        <w:rPr>
          <w:rFonts w:ascii="Times New Roman" w:hAnsi="Times New Roman" w:cs="Times New Roman"/>
          <w:sz w:val="22"/>
        </w:rPr>
        <w:t xml:space="preserve"> </w:t>
      </w:r>
      <w:r>
        <w:rPr>
          <w:rFonts w:ascii="Times New Roman" w:hAnsi="Times New Roman" w:cs="Times New Roman"/>
          <w:b/>
          <w:bCs/>
          <w:sz w:val="22"/>
        </w:rPr>
        <w:t>446</w:t>
      </w:r>
      <w:r>
        <w:rPr>
          <w:rFonts w:ascii="Times New Roman" w:hAnsi="Times New Roman" w:cs="Times New Roman"/>
          <w:sz w:val="22"/>
        </w:rPr>
        <w:t>, 136652 (2022).</w:t>
      </w:r>
    </w:p>
    <w:p w14:paraId="308469E4">
      <w:pPr>
        <w:pStyle w:val="55"/>
        <w:rPr>
          <w:rFonts w:ascii="Times New Roman" w:hAnsi="Times New Roman" w:cs="Times New Roman"/>
          <w:sz w:val="22"/>
        </w:rPr>
      </w:pPr>
      <w:r>
        <w:rPr>
          <w:rFonts w:ascii="Times New Roman" w:hAnsi="Times New Roman" w:cs="Times New Roman"/>
          <w:sz w:val="22"/>
        </w:rPr>
        <w:t>16.</w:t>
      </w:r>
      <w:r>
        <w:rPr>
          <w:rFonts w:ascii="Times New Roman" w:hAnsi="Times New Roman" w:cs="Times New Roman"/>
          <w:sz w:val="22"/>
        </w:rPr>
        <w:tab/>
      </w:r>
      <w:r>
        <w:rPr>
          <w:rFonts w:ascii="Times New Roman" w:hAnsi="Times New Roman" w:cs="Times New Roman"/>
          <w:sz w:val="22"/>
        </w:rPr>
        <w:t xml:space="preserve">Mao, X., Li, Y., Hu, X., Tian, R. &amp; Yu, W. Expanded graphite (EG)/ni@melamine foam (MF)/EG sandwich-structured flexible bipolar plate with excellent electrical conductivity, mechanical properties, and gas permeability. </w:t>
      </w:r>
      <w:r>
        <w:rPr>
          <w:rFonts w:ascii="Times New Roman" w:hAnsi="Times New Roman" w:cs="Times New Roman"/>
          <w:i/>
          <w:iCs/>
          <w:sz w:val="22"/>
        </w:rPr>
        <w:t>Appl. Energy</w:t>
      </w:r>
      <w:r>
        <w:rPr>
          <w:rFonts w:ascii="Times New Roman" w:hAnsi="Times New Roman" w:cs="Times New Roman"/>
          <w:sz w:val="22"/>
        </w:rPr>
        <w:t xml:space="preserve"> </w:t>
      </w:r>
      <w:r>
        <w:rPr>
          <w:rFonts w:ascii="Times New Roman" w:hAnsi="Times New Roman" w:cs="Times New Roman"/>
          <w:b/>
          <w:bCs/>
          <w:sz w:val="22"/>
        </w:rPr>
        <w:t>338</w:t>
      </w:r>
      <w:r>
        <w:rPr>
          <w:rFonts w:ascii="Times New Roman" w:hAnsi="Times New Roman" w:cs="Times New Roman"/>
          <w:sz w:val="22"/>
        </w:rPr>
        <w:t>, 120929 (2023).</w:t>
      </w:r>
    </w:p>
    <w:p w14:paraId="144EA54A">
      <w:pPr>
        <w:pStyle w:val="55"/>
        <w:rPr>
          <w:rFonts w:ascii="Times New Roman" w:hAnsi="Times New Roman" w:cs="Times New Roman"/>
          <w:sz w:val="22"/>
        </w:rPr>
      </w:pPr>
      <w:r>
        <w:rPr>
          <w:rFonts w:ascii="Times New Roman" w:hAnsi="Times New Roman" w:cs="Times New Roman"/>
          <w:sz w:val="22"/>
        </w:rPr>
        <w:t>17.</w:t>
      </w:r>
      <w:r>
        <w:rPr>
          <w:rFonts w:ascii="Times New Roman" w:hAnsi="Times New Roman" w:cs="Times New Roman"/>
          <w:sz w:val="22"/>
        </w:rPr>
        <w:tab/>
      </w:r>
      <w:r>
        <w:rPr>
          <w:rFonts w:ascii="Times New Roman" w:hAnsi="Times New Roman" w:cs="Times New Roman"/>
          <w:sz w:val="22"/>
        </w:rPr>
        <w:t xml:space="preserve">Huang, Q. </w:t>
      </w:r>
      <w:r>
        <w:rPr>
          <w:rFonts w:ascii="Times New Roman" w:hAnsi="Times New Roman" w:cs="Times New Roman"/>
          <w:i/>
          <w:iCs/>
          <w:sz w:val="22"/>
        </w:rPr>
        <w:t>et al.</w:t>
      </w:r>
      <w:r>
        <w:rPr>
          <w:rFonts w:ascii="Times New Roman" w:hAnsi="Times New Roman" w:cs="Times New Roman"/>
          <w:sz w:val="22"/>
        </w:rPr>
        <w:t xml:space="preserve"> High-performance polybenzoxazine based composites PEMFC bipolar plates with a multi-layer structure for surface enrichment of conductive phase. </w:t>
      </w:r>
      <w:r>
        <w:rPr>
          <w:rFonts w:ascii="Times New Roman" w:hAnsi="Times New Roman" w:cs="Times New Roman"/>
          <w:i/>
          <w:iCs/>
          <w:sz w:val="22"/>
        </w:rPr>
        <w:t>Int. J. Hydrog. Energy</w:t>
      </w:r>
      <w:r>
        <w:rPr>
          <w:rFonts w:ascii="Times New Roman" w:hAnsi="Times New Roman" w:cs="Times New Roman"/>
          <w:sz w:val="22"/>
        </w:rPr>
        <w:t xml:space="preserve"> </w:t>
      </w:r>
      <w:r>
        <w:rPr>
          <w:rFonts w:ascii="Times New Roman" w:hAnsi="Times New Roman" w:cs="Times New Roman"/>
          <w:b/>
          <w:bCs/>
          <w:sz w:val="22"/>
        </w:rPr>
        <w:t>48</w:t>
      </w:r>
      <w:r>
        <w:rPr>
          <w:rFonts w:ascii="Times New Roman" w:hAnsi="Times New Roman" w:cs="Times New Roman"/>
          <w:sz w:val="22"/>
        </w:rPr>
        <w:t>, 32540–32552 (2023).</w:t>
      </w:r>
    </w:p>
    <w:p w14:paraId="3928835D">
      <w:pPr>
        <w:pStyle w:val="55"/>
        <w:rPr>
          <w:rFonts w:ascii="Times New Roman" w:hAnsi="Times New Roman" w:cs="Times New Roman"/>
          <w:sz w:val="22"/>
        </w:rPr>
      </w:pPr>
      <w:r>
        <w:rPr>
          <w:rFonts w:ascii="Times New Roman" w:hAnsi="Times New Roman" w:cs="Times New Roman"/>
          <w:sz w:val="22"/>
        </w:rPr>
        <w:t>18.</w:t>
      </w:r>
      <w:r>
        <w:rPr>
          <w:rFonts w:ascii="Times New Roman" w:hAnsi="Times New Roman" w:cs="Times New Roman"/>
          <w:sz w:val="22"/>
        </w:rPr>
        <w:tab/>
      </w:r>
      <w:r>
        <w:rPr>
          <w:rFonts w:ascii="Times New Roman" w:hAnsi="Times New Roman" w:cs="Times New Roman"/>
          <w:sz w:val="22"/>
        </w:rPr>
        <w:t xml:space="preserve">Karoonsit, B. </w:t>
      </w:r>
      <w:r>
        <w:rPr>
          <w:rFonts w:ascii="Times New Roman" w:hAnsi="Times New Roman" w:cs="Times New Roman"/>
          <w:i/>
          <w:iCs/>
          <w:sz w:val="22"/>
        </w:rPr>
        <w:t>et al.</w:t>
      </w:r>
      <w:r>
        <w:rPr>
          <w:rFonts w:ascii="Times New Roman" w:hAnsi="Times New Roman" w:cs="Times New Roman"/>
          <w:sz w:val="22"/>
        </w:rPr>
        <w:t xml:space="preserve"> Performance evaluation for ultra-lightweight epoxy-based bipolar plate production with cycle time reduction of reactive molding process. </w:t>
      </w:r>
      <w:r>
        <w:rPr>
          <w:rFonts w:ascii="Times New Roman" w:hAnsi="Times New Roman" w:cs="Times New Roman"/>
          <w:i/>
          <w:iCs/>
          <w:sz w:val="22"/>
        </w:rPr>
        <w:t>Polymers</w:t>
      </w:r>
      <w:r>
        <w:rPr>
          <w:rFonts w:ascii="Times New Roman" w:hAnsi="Times New Roman" w:cs="Times New Roman"/>
          <w:sz w:val="22"/>
        </w:rPr>
        <w:t xml:space="preserve"> </w:t>
      </w:r>
      <w:r>
        <w:rPr>
          <w:rFonts w:ascii="Times New Roman" w:hAnsi="Times New Roman" w:cs="Times New Roman"/>
          <w:b/>
          <w:bCs/>
          <w:sz w:val="22"/>
        </w:rPr>
        <w:t>14</w:t>
      </w:r>
      <w:r>
        <w:rPr>
          <w:rFonts w:ascii="Times New Roman" w:hAnsi="Times New Roman" w:cs="Times New Roman"/>
          <w:sz w:val="22"/>
        </w:rPr>
        <w:t>, 5226 (2022).</w:t>
      </w:r>
    </w:p>
    <w:p w14:paraId="51093DCD">
      <w:pPr>
        <w:pStyle w:val="55"/>
        <w:rPr>
          <w:rFonts w:ascii="Times New Roman" w:hAnsi="Times New Roman" w:cs="Times New Roman"/>
          <w:sz w:val="22"/>
        </w:rPr>
      </w:pPr>
      <w:r>
        <w:rPr>
          <w:rFonts w:ascii="Times New Roman" w:hAnsi="Times New Roman" w:cs="Times New Roman"/>
          <w:sz w:val="22"/>
        </w:rPr>
        <w:t>19.</w:t>
      </w:r>
      <w:r>
        <w:rPr>
          <w:rFonts w:ascii="Times New Roman" w:hAnsi="Times New Roman" w:cs="Times New Roman"/>
          <w:sz w:val="22"/>
        </w:rPr>
        <w:tab/>
      </w:r>
      <w:r>
        <w:rPr>
          <w:rFonts w:ascii="Times New Roman" w:hAnsi="Times New Roman" w:cs="Times New Roman"/>
          <w:sz w:val="22"/>
        </w:rPr>
        <w:t xml:space="preserve">Lee, J. H. </w:t>
      </w:r>
      <w:r>
        <w:rPr>
          <w:rFonts w:ascii="Times New Roman" w:hAnsi="Times New Roman" w:cs="Times New Roman"/>
          <w:i/>
          <w:iCs/>
          <w:sz w:val="22"/>
        </w:rPr>
        <w:t>et al.</w:t>
      </w:r>
      <w:r>
        <w:rPr>
          <w:rFonts w:ascii="Times New Roman" w:hAnsi="Times New Roman" w:cs="Times New Roman"/>
          <w:sz w:val="22"/>
        </w:rPr>
        <w:t xml:space="preserve"> Effect of carbon fillers on properties of polymer composite bipolar plates of fuel cells. </w:t>
      </w:r>
      <w:r>
        <w:rPr>
          <w:rFonts w:ascii="Times New Roman" w:hAnsi="Times New Roman" w:cs="Times New Roman"/>
          <w:i/>
          <w:iCs/>
          <w:sz w:val="22"/>
        </w:rPr>
        <w:t>J. Power Sources</w:t>
      </w:r>
      <w:r>
        <w:rPr>
          <w:rFonts w:ascii="Times New Roman" w:hAnsi="Times New Roman" w:cs="Times New Roman"/>
          <w:sz w:val="22"/>
        </w:rPr>
        <w:t xml:space="preserve"> </w:t>
      </w:r>
      <w:r>
        <w:rPr>
          <w:rFonts w:ascii="Times New Roman" w:hAnsi="Times New Roman" w:cs="Times New Roman"/>
          <w:b/>
          <w:bCs/>
          <w:sz w:val="22"/>
        </w:rPr>
        <w:t>193</w:t>
      </w:r>
      <w:r>
        <w:rPr>
          <w:rFonts w:ascii="Times New Roman" w:hAnsi="Times New Roman" w:cs="Times New Roman"/>
          <w:sz w:val="22"/>
        </w:rPr>
        <w:t>, 523–529 (2009).</w:t>
      </w:r>
    </w:p>
    <w:p w14:paraId="3CCD8B4A">
      <w:pPr>
        <w:pStyle w:val="55"/>
        <w:rPr>
          <w:rFonts w:ascii="Times New Roman" w:hAnsi="Times New Roman" w:cs="Times New Roman"/>
          <w:sz w:val="22"/>
        </w:rPr>
      </w:pPr>
      <w:r>
        <w:rPr>
          <w:rFonts w:ascii="Times New Roman" w:hAnsi="Times New Roman" w:cs="Times New Roman"/>
          <w:sz w:val="22"/>
        </w:rPr>
        <w:t>20.</w:t>
      </w:r>
      <w:r>
        <w:rPr>
          <w:rFonts w:ascii="Times New Roman" w:hAnsi="Times New Roman" w:cs="Times New Roman"/>
          <w:sz w:val="22"/>
        </w:rPr>
        <w:tab/>
      </w:r>
      <w:r>
        <w:rPr>
          <w:rFonts w:ascii="Times New Roman" w:hAnsi="Times New Roman" w:cs="Times New Roman"/>
          <w:sz w:val="22"/>
        </w:rPr>
        <w:t xml:space="preserve">Mathew, C., Mohamed, S. N. &amp; Singaravelu, D. L. Novel copper fiber-filled polymer composites for enhancing the properties of bipolar plates for polymer electrolyte membrane fuel cells. </w:t>
      </w:r>
      <w:r>
        <w:rPr>
          <w:rFonts w:ascii="Times New Roman" w:hAnsi="Times New Roman" w:cs="Times New Roman"/>
          <w:i/>
          <w:iCs/>
          <w:sz w:val="22"/>
        </w:rPr>
        <w:t>Int. J. Hydrog. Energy</w:t>
      </w:r>
      <w:r>
        <w:rPr>
          <w:rFonts w:ascii="Times New Roman" w:hAnsi="Times New Roman" w:cs="Times New Roman"/>
          <w:sz w:val="22"/>
        </w:rPr>
        <w:t xml:space="preserve"> </w:t>
      </w:r>
      <w:r>
        <w:rPr>
          <w:rFonts w:ascii="Times New Roman" w:hAnsi="Times New Roman" w:cs="Times New Roman"/>
          <w:b/>
          <w:bCs/>
          <w:sz w:val="22"/>
        </w:rPr>
        <w:t>52</w:t>
      </w:r>
      <w:r>
        <w:rPr>
          <w:rFonts w:ascii="Times New Roman" w:hAnsi="Times New Roman" w:cs="Times New Roman"/>
          <w:sz w:val="22"/>
        </w:rPr>
        <w:t>, 941–953 (2024).</w:t>
      </w:r>
    </w:p>
    <w:p w14:paraId="337BEAE9">
      <w:pPr>
        <w:pStyle w:val="55"/>
        <w:rPr>
          <w:rFonts w:ascii="Times New Roman" w:hAnsi="Times New Roman" w:cs="Times New Roman"/>
          <w:sz w:val="22"/>
        </w:rPr>
      </w:pPr>
      <w:r>
        <w:rPr>
          <w:rFonts w:ascii="Times New Roman" w:hAnsi="Times New Roman" w:cs="Times New Roman"/>
          <w:sz w:val="22"/>
        </w:rPr>
        <w:t>21.</w:t>
      </w:r>
      <w:r>
        <w:rPr>
          <w:rFonts w:ascii="Times New Roman" w:hAnsi="Times New Roman" w:cs="Times New Roman"/>
          <w:sz w:val="22"/>
        </w:rPr>
        <w:tab/>
      </w:r>
      <w:r>
        <w:rPr>
          <w:rFonts w:ascii="Times New Roman" w:hAnsi="Times New Roman" w:cs="Times New Roman"/>
          <w:sz w:val="22"/>
        </w:rPr>
        <w:t xml:space="preserve">Chen, J. </w:t>
      </w:r>
      <w:r>
        <w:rPr>
          <w:rFonts w:ascii="Times New Roman" w:hAnsi="Times New Roman" w:cs="Times New Roman"/>
          <w:i/>
          <w:iCs/>
          <w:sz w:val="22"/>
        </w:rPr>
        <w:t>et al.</w:t>
      </w:r>
      <w:r>
        <w:rPr>
          <w:rFonts w:ascii="Times New Roman" w:hAnsi="Times New Roman" w:cs="Times New Roman"/>
          <w:sz w:val="22"/>
        </w:rPr>
        <w:t xml:space="preserve"> Tailoring flexible-segment-rich resin network structure by multi-step copolymerization for improved composite bipolar plate of proton exchange membrane fuel cell. </w:t>
      </w:r>
      <w:r>
        <w:rPr>
          <w:rFonts w:ascii="Times New Roman" w:hAnsi="Times New Roman" w:cs="Times New Roman"/>
          <w:i/>
          <w:iCs/>
          <w:sz w:val="22"/>
        </w:rPr>
        <w:t>Compos. Sci. Technol.</w:t>
      </w:r>
      <w:r>
        <w:rPr>
          <w:rFonts w:ascii="Times New Roman" w:hAnsi="Times New Roman" w:cs="Times New Roman"/>
          <w:sz w:val="22"/>
        </w:rPr>
        <w:t xml:space="preserve"> </w:t>
      </w:r>
      <w:r>
        <w:rPr>
          <w:rFonts w:ascii="Times New Roman" w:hAnsi="Times New Roman" w:cs="Times New Roman"/>
          <w:b/>
          <w:bCs/>
          <w:sz w:val="22"/>
        </w:rPr>
        <w:t>247</w:t>
      </w:r>
      <w:r>
        <w:rPr>
          <w:rFonts w:ascii="Times New Roman" w:hAnsi="Times New Roman" w:cs="Times New Roman"/>
          <w:sz w:val="22"/>
        </w:rPr>
        <w:t>, 110422 (2024).</w:t>
      </w:r>
    </w:p>
    <w:p w14:paraId="4D753A2D">
      <w:pPr>
        <w:pStyle w:val="55"/>
        <w:rPr>
          <w:rFonts w:ascii="Times New Roman" w:hAnsi="Times New Roman" w:cs="Times New Roman"/>
          <w:sz w:val="22"/>
        </w:rPr>
      </w:pPr>
      <w:r>
        <w:rPr>
          <w:rFonts w:ascii="Times New Roman" w:hAnsi="Times New Roman" w:cs="Times New Roman"/>
          <w:sz w:val="22"/>
        </w:rPr>
        <w:t>22.</w:t>
      </w:r>
      <w:r>
        <w:rPr>
          <w:rFonts w:ascii="Times New Roman" w:hAnsi="Times New Roman" w:cs="Times New Roman"/>
          <w:sz w:val="22"/>
        </w:rPr>
        <w:tab/>
      </w:r>
      <w:r>
        <w:rPr>
          <w:rFonts w:ascii="Times New Roman" w:hAnsi="Times New Roman" w:cs="Times New Roman"/>
          <w:sz w:val="22"/>
        </w:rPr>
        <w:t xml:space="preserve">Hu, B. </w:t>
      </w:r>
      <w:r>
        <w:rPr>
          <w:rFonts w:ascii="Times New Roman" w:hAnsi="Times New Roman" w:cs="Times New Roman"/>
          <w:i/>
          <w:iCs/>
          <w:sz w:val="22"/>
        </w:rPr>
        <w:t>et al.</w:t>
      </w:r>
      <w:r>
        <w:rPr>
          <w:rFonts w:ascii="Times New Roman" w:hAnsi="Times New Roman" w:cs="Times New Roman"/>
          <w:sz w:val="22"/>
        </w:rPr>
        <w:t xml:space="preserve"> Low filler and highly conductive composite bipolar plates with synergistic segregated structure for enhanced proton exchange membrane fuel cell performance. </w:t>
      </w:r>
      <w:r>
        <w:rPr>
          <w:rFonts w:ascii="Times New Roman" w:hAnsi="Times New Roman" w:cs="Times New Roman"/>
          <w:i/>
          <w:iCs/>
          <w:sz w:val="22"/>
        </w:rPr>
        <w:t>Energy</w:t>
      </w:r>
      <w:r>
        <w:rPr>
          <w:rFonts w:ascii="Times New Roman" w:hAnsi="Times New Roman" w:cs="Times New Roman"/>
          <w:sz w:val="22"/>
        </w:rPr>
        <w:t xml:space="preserve"> </w:t>
      </w:r>
      <w:r>
        <w:rPr>
          <w:rFonts w:ascii="Times New Roman" w:hAnsi="Times New Roman" w:cs="Times New Roman"/>
          <w:b/>
          <w:bCs/>
          <w:sz w:val="22"/>
        </w:rPr>
        <w:t>251</w:t>
      </w:r>
      <w:r>
        <w:rPr>
          <w:rFonts w:ascii="Times New Roman" w:hAnsi="Times New Roman" w:cs="Times New Roman"/>
          <w:sz w:val="22"/>
        </w:rPr>
        <w:t>, 123982 (2022).</w:t>
      </w:r>
    </w:p>
    <w:p w14:paraId="1E1A88C4">
      <w:pPr>
        <w:pStyle w:val="55"/>
        <w:rPr>
          <w:rFonts w:ascii="Times New Roman" w:hAnsi="Times New Roman" w:cs="Times New Roman"/>
          <w:sz w:val="22"/>
        </w:rPr>
      </w:pPr>
      <w:r>
        <w:rPr>
          <w:rFonts w:ascii="Times New Roman" w:hAnsi="Times New Roman" w:cs="Times New Roman"/>
          <w:sz w:val="22"/>
        </w:rPr>
        <w:t>23.</w:t>
      </w:r>
      <w:r>
        <w:rPr>
          <w:rFonts w:ascii="Times New Roman" w:hAnsi="Times New Roman" w:cs="Times New Roman"/>
          <w:sz w:val="22"/>
        </w:rPr>
        <w:tab/>
      </w:r>
      <w:r>
        <w:rPr>
          <w:rFonts w:ascii="Times New Roman" w:hAnsi="Times New Roman" w:cs="Times New Roman"/>
          <w:sz w:val="22"/>
        </w:rPr>
        <w:t xml:space="preserve">Pan, Z. </w:t>
      </w:r>
      <w:r>
        <w:rPr>
          <w:rFonts w:ascii="Times New Roman" w:hAnsi="Times New Roman" w:cs="Times New Roman"/>
          <w:i/>
          <w:iCs/>
          <w:sz w:val="22"/>
        </w:rPr>
        <w:t>et al.</w:t>
      </w:r>
      <w:r>
        <w:rPr>
          <w:rFonts w:ascii="Times New Roman" w:hAnsi="Times New Roman" w:cs="Times New Roman"/>
          <w:sz w:val="22"/>
        </w:rPr>
        <w:t xml:space="preserve"> Preparation and performance of polyaniline modified coal-based carbon membrane for electrochemical filtration treatment of organic wastewater. </w:t>
      </w:r>
      <w:r>
        <w:rPr>
          <w:rFonts w:ascii="Times New Roman" w:hAnsi="Times New Roman" w:cs="Times New Roman"/>
          <w:i/>
          <w:iCs/>
          <w:sz w:val="22"/>
        </w:rPr>
        <w:t>Sep. Purif. Technol.</w:t>
      </w:r>
      <w:r>
        <w:rPr>
          <w:rFonts w:ascii="Times New Roman" w:hAnsi="Times New Roman" w:cs="Times New Roman"/>
          <w:sz w:val="22"/>
        </w:rPr>
        <w:t xml:space="preserve"> </w:t>
      </w:r>
      <w:r>
        <w:rPr>
          <w:rFonts w:ascii="Times New Roman" w:hAnsi="Times New Roman" w:cs="Times New Roman"/>
          <w:b/>
          <w:bCs/>
          <w:sz w:val="22"/>
        </w:rPr>
        <w:t>287</w:t>
      </w:r>
      <w:r>
        <w:rPr>
          <w:rFonts w:ascii="Times New Roman" w:hAnsi="Times New Roman" w:cs="Times New Roman"/>
          <w:sz w:val="22"/>
        </w:rPr>
        <w:t>, 120600 (2022).</w:t>
      </w:r>
    </w:p>
    <w:p w14:paraId="06577405">
      <w:pPr>
        <w:pStyle w:val="55"/>
        <w:rPr>
          <w:rFonts w:ascii="Times New Roman" w:hAnsi="Times New Roman" w:cs="Times New Roman"/>
          <w:sz w:val="22"/>
        </w:rPr>
      </w:pPr>
      <w:r>
        <w:rPr>
          <w:rFonts w:ascii="Times New Roman" w:hAnsi="Times New Roman" w:cs="Times New Roman"/>
          <w:sz w:val="22"/>
        </w:rPr>
        <w:t>24.</w:t>
      </w:r>
      <w:r>
        <w:rPr>
          <w:rFonts w:ascii="Times New Roman" w:hAnsi="Times New Roman" w:cs="Times New Roman"/>
          <w:sz w:val="22"/>
        </w:rPr>
        <w:tab/>
      </w:r>
      <w:r>
        <w:rPr>
          <w:rFonts w:ascii="Times New Roman" w:hAnsi="Times New Roman" w:cs="Times New Roman"/>
          <w:sz w:val="22"/>
        </w:rPr>
        <w:t xml:space="preserve">Li, C. </w:t>
      </w:r>
      <w:r>
        <w:rPr>
          <w:rFonts w:ascii="Times New Roman" w:hAnsi="Times New Roman" w:cs="Times New Roman"/>
          <w:i/>
          <w:iCs/>
          <w:sz w:val="22"/>
        </w:rPr>
        <w:t>et al.</w:t>
      </w:r>
      <w:r>
        <w:rPr>
          <w:rFonts w:ascii="Times New Roman" w:hAnsi="Times New Roman" w:cs="Times New Roman"/>
          <w:sz w:val="22"/>
        </w:rPr>
        <w:t xml:space="preserve"> Preparation and application of high-performance and acid-tolerant TiO2/carbon electrocatalytic membrane for organic wastewater treatment. </w:t>
      </w:r>
      <w:r>
        <w:rPr>
          <w:rFonts w:ascii="Times New Roman" w:hAnsi="Times New Roman" w:cs="Times New Roman"/>
          <w:i/>
          <w:iCs/>
          <w:sz w:val="22"/>
        </w:rPr>
        <w:t>Chemosphere</w:t>
      </w:r>
      <w:r>
        <w:rPr>
          <w:rFonts w:ascii="Times New Roman" w:hAnsi="Times New Roman" w:cs="Times New Roman"/>
          <w:sz w:val="22"/>
        </w:rPr>
        <w:t xml:space="preserve"> </w:t>
      </w:r>
      <w:r>
        <w:rPr>
          <w:rFonts w:ascii="Times New Roman" w:hAnsi="Times New Roman" w:cs="Times New Roman"/>
          <w:b/>
          <w:bCs/>
          <w:sz w:val="22"/>
        </w:rPr>
        <w:t>296</w:t>
      </w:r>
      <w:r>
        <w:rPr>
          <w:rFonts w:ascii="Times New Roman" w:hAnsi="Times New Roman" w:cs="Times New Roman"/>
          <w:sz w:val="22"/>
        </w:rPr>
        <w:t>, 134017 (2022).</w:t>
      </w:r>
    </w:p>
    <w:p w14:paraId="43A48277">
      <w:pPr>
        <w:pStyle w:val="55"/>
        <w:rPr>
          <w:rFonts w:ascii="Times New Roman" w:hAnsi="Times New Roman" w:cs="Times New Roman"/>
          <w:sz w:val="22"/>
        </w:rPr>
      </w:pPr>
      <w:r>
        <w:rPr>
          <w:rFonts w:ascii="Times New Roman" w:hAnsi="Times New Roman" w:cs="Times New Roman"/>
          <w:sz w:val="22"/>
        </w:rPr>
        <w:t>25.</w:t>
      </w:r>
      <w:r>
        <w:rPr>
          <w:rFonts w:ascii="Times New Roman" w:hAnsi="Times New Roman" w:cs="Times New Roman"/>
          <w:sz w:val="22"/>
        </w:rPr>
        <w:tab/>
      </w:r>
      <w:r>
        <w:rPr>
          <w:rFonts w:ascii="Times New Roman" w:hAnsi="Times New Roman" w:cs="Times New Roman"/>
          <w:sz w:val="22"/>
        </w:rPr>
        <w:t xml:space="preserve">Zhang, W., Wang, J., Bao, L., Gao, Z. &amp; Yu, J. Nanopores created by carbon onion conductive agent providing enhanced capacitance in supercapacitors. </w:t>
      </w:r>
      <w:r>
        <w:rPr>
          <w:rFonts w:ascii="Times New Roman" w:hAnsi="Times New Roman" w:cs="Times New Roman"/>
          <w:i/>
          <w:iCs/>
          <w:sz w:val="22"/>
        </w:rPr>
        <w:t>Diam. Relat. Mater.</w:t>
      </w:r>
      <w:r>
        <w:rPr>
          <w:rFonts w:ascii="Times New Roman" w:hAnsi="Times New Roman" w:cs="Times New Roman"/>
          <w:sz w:val="22"/>
        </w:rPr>
        <w:t xml:space="preserve"> </w:t>
      </w:r>
      <w:r>
        <w:rPr>
          <w:rFonts w:ascii="Times New Roman" w:hAnsi="Times New Roman" w:cs="Times New Roman"/>
          <w:b/>
          <w:bCs/>
          <w:sz w:val="22"/>
        </w:rPr>
        <w:t>96</w:t>
      </w:r>
      <w:r>
        <w:rPr>
          <w:rFonts w:ascii="Times New Roman" w:hAnsi="Times New Roman" w:cs="Times New Roman"/>
          <w:sz w:val="22"/>
        </w:rPr>
        <w:t>, 231–236 (2019).</w:t>
      </w:r>
    </w:p>
    <w:p w14:paraId="677DF5F4">
      <w:pPr>
        <w:pStyle w:val="55"/>
        <w:rPr>
          <w:rFonts w:ascii="Times New Roman" w:hAnsi="Times New Roman" w:cs="Times New Roman"/>
          <w:sz w:val="22"/>
        </w:rPr>
      </w:pPr>
      <w:r>
        <w:rPr>
          <w:rFonts w:ascii="Times New Roman" w:hAnsi="Times New Roman" w:cs="Times New Roman"/>
          <w:sz w:val="22"/>
        </w:rPr>
        <w:t>26.</w:t>
      </w:r>
      <w:r>
        <w:rPr>
          <w:rFonts w:ascii="Times New Roman" w:hAnsi="Times New Roman" w:cs="Times New Roman"/>
          <w:sz w:val="22"/>
        </w:rPr>
        <w:tab/>
      </w:r>
      <w:r>
        <w:rPr>
          <w:rFonts w:ascii="Times New Roman" w:hAnsi="Times New Roman" w:cs="Times New Roman"/>
          <w:sz w:val="22"/>
        </w:rPr>
        <w:t xml:space="preserve">Cai, Y. </w:t>
      </w:r>
      <w:r>
        <w:rPr>
          <w:rFonts w:ascii="Times New Roman" w:hAnsi="Times New Roman" w:cs="Times New Roman"/>
          <w:i/>
          <w:iCs/>
          <w:sz w:val="22"/>
        </w:rPr>
        <w:t>et al.</w:t>
      </w:r>
      <w:r>
        <w:rPr>
          <w:rFonts w:ascii="Times New Roman" w:hAnsi="Times New Roman" w:cs="Times New Roman"/>
          <w:sz w:val="22"/>
        </w:rPr>
        <w:t xml:space="preserve"> Mechanical and electrical properties of carbon nanotube buckypaper reinforced silicon carbide nanocomposites. </w:t>
      </w:r>
      <w:r>
        <w:rPr>
          <w:rFonts w:ascii="Times New Roman" w:hAnsi="Times New Roman" w:cs="Times New Roman"/>
          <w:i/>
          <w:iCs/>
          <w:sz w:val="22"/>
        </w:rPr>
        <w:t>Ceram. Int.</w:t>
      </w:r>
      <w:r>
        <w:rPr>
          <w:rFonts w:ascii="Times New Roman" w:hAnsi="Times New Roman" w:cs="Times New Roman"/>
          <w:sz w:val="22"/>
        </w:rPr>
        <w:t xml:space="preserve"> </w:t>
      </w:r>
      <w:r>
        <w:rPr>
          <w:rFonts w:ascii="Times New Roman" w:hAnsi="Times New Roman" w:cs="Times New Roman"/>
          <w:b/>
          <w:bCs/>
          <w:sz w:val="22"/>
        </w:rPr>
        <w:t>42</w:t>
      </w:r>
      <w:r>
        <w:rPr>
          <w:rFonts w:ascii="Times New Roman" w:hAnsi="Times New Roman" w:cs="Times New Roman"/>
          <w:sz w:val="22"/>
        </w:rPr>
        <w:t>, 4984–4992 (2016).</w:t>
      </w:r>
    </w:p>
    <w:p w14:paraId="1D70F043">
      <w:pPr>
        <w:pStyle w:val="55"/>
        <w:rPr>
          <w:rFonts w:ascii="Times New Roman" w:hAnsi="Times New Roman" w:cs="Times New Roman"/>
          <w:sz w:val="22"/>
        </w:rPr>
      </w:pPr>
      <w:r>
        <w:rPr>
          <w:rFonts w:ascii="Times New Roman" w:hAnsi="Times New Roman" w:cs="Times New Roman"/>
          <w:sz w:val="22"/>
        </w:rPr>
        <w:t>27.</w:t>
      </w:r>
      <w:r>
        <w:rPr>
          <w:rFonts w:ascii="Times New Roman" w:hAnsi="Times New Roman" w:cs="Times New Roman"/>
          <w:sz w:val="22"/>
        </w:rPr>
        <w:tab/>
      </w:r>
      <w:r>
        <w:rPr>
          <w:rFonts w:ascii="Times New Roman" w:hAnsi="Times New Roman" w:cs="Times New Roman"/>
          <w:sz w:val="22"/>
        </w:rPr>
        <w:t xml:space="preserve">Heo, Y.-J. </w:t>
      </w:r>
      <w:r>
        <w:rPr>
          <w:rFonts w:ascii="Times New Roman" w:hAnsi="Times New Roman" w:cs="Times New Roman"/>
          <w:i/>
          <w:iCs/>
          <w:sz w:val="22"/>
        </w:rPr>
        <w:t>et al.</w:t>
      </w:r>
      <w:r>
        <w:rPr>
          <w:rFonts w:ascii="Times New Roman" w:hAnsi="Times New Roman" w:cs="Times New Roman"/>
          <w:sz w:val="22"/>
        </w:rPr>
        <w:t xml:space="preserve"> Large-scale conductive yarns based on twistable korean traditional paper (hanji) for supercapacitor applications: toward high-performance paper supercapacitors. </w:t>
      </w:r>
      <w:r>
        <w:rPr>
          <w:rFonts w:ascii="Times New Roman" w:hAnsi="Times New Roman" w:cs="Times New Roman"/>
          <w:i/>
          <w:iCs/>
          <w:sz w:val="22"/>
        </w:rPr>
        <w:t>Adv. Energy Mater.</w:t>
      </w:r>
      <w:r>
        <w:rPr>
          <w:rFonts w:ascii="Times New Roman" w:hAnsi="Times New Roman" w:cs="Times New Roman"/>
          <w:sz w:val="22"/>
        </w:rPr>
        <w:t xml:space="preserve"> </w:t>
      </w:r>
      <w:r>
        <w:rPr>
          <w:rFonts w:ascii="Times New Roman" w:hAnsi="Times New Roman" w:cs="Times New Roman"/>
          <w:b/>
          <w:bCs/>
          <w:sz w:val="22"/>
        </w:rPr>
        <w:t>8</w:t>
      </w:r>
      <w:r>
        <w:rPr>
          <w:rFonts w:ascii="Times New Roman" w:hAnsi="Times New Roman" w:cs="Times New Roman"/>
          <w:sz w:val="22"/>
        </w:rPr>
        <w:t>, 1801854 (2018).</w:t>
      </w:r>
    </w:p>
    <w:p w14:paraId="0EB40A88">
      <w:pPr>
        <w:pStyle w:val="55"/>
        <w:rPr>
          <w:rFonts w:ascii="Times New Roman" w:hAnsi="Times New Roman" w:cs="Times New Roman"/>
          <w:sz w:val="22"/>
        </w:rPr>
      </w:pPr>
      <w:r>
        <w:rPr>
          <w:rFonts w:ascii="Times New Roman" w:hAnsi="Times New Roman" w:cs="Times New Roman"/>
          <w:sz w:val="22"/>
        </w:rPr>
        <w:t>28.</w:t>
      </w:r>
      <w:r>
        <w:rPr>
          <w:rFonts w:ascii="Times New Roman" w:hAnsi="Times New Roman" w:cs="Times New Roman"/>
          <w:sz w:val="22"/>
        </w:rPr>
        <w:tab/>
      </w:r>
      <w:r>
        <w:rPr>
          <w:rFonts w:ascii="Times New Roman" w:hAnsi="Times New Roman" w:cs="Times New Roman"/>
          <w:sz w:val="22"/>
        </w:rPr>
        <w:t xml:space="preserve">Li, D., Müller, M. B., Gilje, S., Kaner, R. B. &amp; Wallace, G. G. Processable aqueous dispersions of graphene nanosheets. </w:t>
      </w:r>
      <w:r>
        <w:rPr>
          <w:rFonts w:ascii="Times New Roman" w:hAnsi="Times New Roman" w:cs="Times New Roman"/>
          <w:i/>
          <w:iCs/>
          <w:sz w:val="22"/>
        </w:rPr>
        <w:t>Nat. Nanotechnol.</w:t>
      </w:r>
      <w:r>
        <w:rPr>
          <w:rFonts w:ascii="Times New Roman" w:hAnsi="Times New Roman" w:cs="Times New Roman"/>
          <w:sz w:val="22"/>
        </w:rPr>
        <w:t xml:space="preserve"> </w:t>
      </w:r>
      <w:r>
        <w:rPr>
          <w:rFonts w:ascii="Times New Roman" w:hAnsi="Times New Roman" w:cs="Times New Roman"/>
          <w:b/>
          <w:bCs/>
          <w:sz w:val="22"/>
        </w:rPr>
        <w:t>3</w:t>
      </w:r>
      <w:r>
        <w:rPr>
          <w:rFonts w:ascii="Times New Roman" w:hAnsi="Times New Roman" w:cs="Times New Roman"/>
          <w:sz w:val="22"/>
        </w:rPr>
        <w:t>, 101–105 (2008).</w:t>
      </w:r>
    </w:p>
    <w:p w14:paraId="57AF1DE8">
      <w:pPr>
        <w:pStyle w:val="55"/>
        <w:rPr>
          <w:rFonts w:ascii="Times New Roman" w:hAnsi="Times New Roman" w:cs="Times New Roman"/>
          <w:sz w:val="22"/>
        </w:rPr>
      </w:pPr>
      <w:r>
        <w:rPr>
          <w:rFonts w:ascii="Times New Roman" w:hAnsi="Times New Roman" w:cs="Times New Roman"/>
          <w:sz w:val="22"/>
        </w:rPr>
        <w:t>29.</w:t>
      </w:r>
      <w:r>
        <w:rPr>
          <w:rFonts w:ascii="Times New Roman" w:hAnsi="Times New Roman" w:cs="Times New Roman"/>
          <w:sz w:val="22"/>
        </w:rPr>
        <w:tab/>
      </w:r>
      <w:r>
        <w:rPr>
          <w:rFonts w:ascii="Times New Roman" w:hAnsi="Times New Roman" w:cs="Times New Roman"/>
          <w:sz w:val="22"/>
        </w:rPr>
        <w:t xml:space="preserve">Ericson, L. M. </w:t>
      </w:r>
      <w:r>
        <w:rPr>
          <w:rFonts w:ascii="Times New Roman" w:hAnsi="Times New Roman" w:cs="Times New Roman"/>
          <w:i/>
          <w:iCs/>
          <w:sz w:val="22"/>
        </w:rPr>
        <w:t>et al.</w:t>
      </w:r>
      <w:r>
        <w:rPr>
          <w:rFonts w:ascii="Times New Roman" w:hAnsi="Times New Roman" w:cs="Times New Roman"/>
          <w:sz w:val="22"/>
        </w:rPr>
        <w:t xml:space="preserve"> Macroscopic, neat, single-walled carbon nanotube fibers. </w:t>
      </w:r>
      <w:r>
        <w:rPr>
          <w:rFonts w:ascii="Times New Roman" w:hAnsi="Times New Roman" w:cs="Times New Roman"/>
          <w:i/>
          <w:iCs/>
          <w:sz w:val="22"/>
        </w:rPr>
        <w:t>Science</w:t>
      </w:r>
      <w:r>
        <w:rPr>
          <w:rFonts w:ascii="Times New Roman" w:hAnsi="Times New Roman" w:cs="Times New Roman"/>
          <w:sz w:val="22"/>
        </w:rPr>
        <w:t xml:space="preserve"> </w:t>
      </w:r>
      <w:r>
        <w:rPr>
          <w:rFonts w:ascii="Times New Roman" w:hAnsi="Times New Roman" w:cs="Times New Roman"/>
          <w:b/>
          <w:bCs/>
          <w:sz w:val="22"/>
        </w:rPr>
        <w:t>305</w:t>
      </w:r>
      <w:r>
        <w:rPr>
          <w:rFonts w:ascii="Times New Roman" w:hAnsi="Times New Roman" w:cs="Times New Roman"/>
          <w:sz w:val="22"/>
        </w:rPr>
        <w:t>, 1447–1450 (2004).</w:t>
      </w:r>
    </w:p>
    <w:p w14:paraId="50280F9B">
      <w:pPr>
        <w:pStyle w:val="55"/>
        <w:rPr>
          <w:rFonts w:ascii="Times New Roman" w:hAnsi="Times New Roman" w:cs="Times New Roman"/>
          <w:sz w:val="22"/>
        </w:rPr>
      </w:pPr>
      <w:r>
        <w:rPr>
          <w:rFonts w:ascii="Times New Roman" w:hAnsi="Times New Roman" w:cs="Times New Roman"/>
          <w:sz w:val="22"/>
        </w:rPr>
        <w:t>30.</w:t>
      </w:r>
      <w:r>
        <w:rPr>
          <w:rFonts w:ascii="Times New Roman" w:hAnsi="Times New Roman" w:cs="Times New Roman"/>
          <w:sz w:val="22"/>
        </w:rPr>
        <w:tab/>
      </w:r>
      <w:r>
        <w:rPr>
          <w:rFonts w:ascii="Times New Roman" w:hAnsi="Times New Roman" w:cs="Times New Roman"/>
          <w:sz w:val="22"/>
        </w:rPr>
        <w:t xml:space="preserve">Omi, F. R., Choudhury, M. R., Anwar, N., Bakr, A. R. &amp; Rahaman, Md. S. Highly conductive ultrafiltration membrane via vacuum filtration assisted layer-by-layer deposition of functionalized carbon nanotubes. </w:t>
      </w:r>
      <w:r>
        <w:rPr>
          <w:rFonts w:ascii="Times New Roman" w:hAnsi="Times New Roman" w:cs="Times New Roman"/>
          <w:i/>
          <w:iCs/>
          <w:sz w:val="22"/>
        </w:rPr>
        <w:t>Ind. Eng. Chem. Res.</w:t>
      </w:r>
      <w:r>
        <w:rPr>
          <w:rFonts w:ascii="Times New Roman" w:hAnsi="Times New Roman" w:cs="Times New Roman"/>
          <w:sz w:val="22"/>
        </w:rPr>
        <w:t xml:space="preserve"> </w:t>
      </w:r>
      <w:r>
        <w:rPr>
          <w:rFonts w:ascii="Times New Roman" w:hAnsi="Times New Roman" w:cs="Times New Roman"/>
          <w:b/>
          <w:bCs/>
          <w:sz w:val="22"/>
        </w:rPr>
        <w:t>56</w:t>
      </w:r>
      <w:r>
        <w:rPr>
          <w:rFonts w:ascii="Times New Roman" w:hAnsi="Times New Roman" w:cs="Times New Roman"/>
          <w:sz w:val="22"/>
        </w:rPr>
        <w:t>, 8474–8484 (2017).</w:t>
      </w:r>
    </w:p>
    <w:p w14:paraId="47396611">
      <w:pPr>
        <w:pStyle w:val="55"/>
        <w:rPr>
          <w:rFonts w:ascii="Times New Roman" w:hAnsi="Times New Roman" w:cs="Times New Roman"/>
          <w:sz w:val="22"/>
        </w:rPr>
      </w:pPr>
      <w:r>
        <w:rPr>
          <w:rFonts w:ascii="Times New Roman" w:hAnsi="Times New Roman" w:cs="Times New Roman"/>
          <w:sz w:val="22"/>
        </w:rPr>
        <w:t>31.</w:t>
      </w:r>
      <w:r>
        <w:rPr>
          <w:rFonts w:ascii="Times New Roman" w:hAnsi="Times New Roman" w:cs="Times New Roman"/>
          <w:sz w:val="22"/>
        </w:rPr>
        <w:tab/>
      </w:r>
      <w:r>
        <w:rPr>
          <w:rFonts w:ascii="Times New Roman" w:hAnsi="Times New Roman" w:cs="Times New Roman"/>
          <w:sz w:val="22"/>
        </w:rPr>
        <w:t xml:space="preserve">Sheng, J. </w:t>
      </w:r>
      <w:r>
        <w:rPr>
          <w:rFonts w:ascii="Times New Roman" w:hAnsi="Times New Roman" w:cs="Times New Roman"/>
          <w:i/>
          <w:iCs/>
          <w:sz w:val="22"/>
        </w:rPr>
        <w:t>et al.</w:t>
      </w:r>
      <w:r>
        <w:rPr>
          <w:rFonts w:ascii="Times New Roman" w:hAnsi="Times New Roman" w:cs="Times New Roman"/>
          <w:sz w:val="22"/>
        </w:rPr>
        <w:t xml:space="preserve"> Covalently bonded graphene sheets on carbon nanotubes: Direct growth and outstanding properties. </w:t>
      </w:r>
      <w:r>
        <w:rPr>
          <w:rFonts w:ascii="Times New Roman" w:hAnsi="Times New Roman" w:cs="Times New Roman"/>
          <w:i/>
          <w:iCs/>
          <w:sz w:val="22"/>
        </w:rPr>
        <w:t>Adv. Funct. Mater.</w:t>
      </w:r>
      <w:r>
        <w:rPr>
          <w:rFonts w:ascii="Times New Roman" w:hAnsi="Times New Roman" w:cs="Times New Roman"/>
          <w:sz w:val="22"/>
        </w:rPr>
        <w:t xml:space="preserve"> </w:t>
      </w:r>
      <w:r>
        <w:rPr>
          <w:rFonts w:ascii="Times New Roman" w:hAnsi="Times New Roman" w:cs="Times New Roman"/>
          <w:b/>
          <w:bCs/>
          <w:sz w:val="22"/>
        </w:rPr>
        <w:t>33</w:t>
      </w:r>
      <w:r>
        <w:rPr>
          <w:rFonts w:ascii="Times New Roman" w:hAnsi="Times New Roman" w:cs="Times New Roman"/>
          <w:sz w:val="22"/>
        </w:rPr>
        <w:t>, 2306785 (2023).</w:t>
      </w:r>
    </w:p>
    <w:p w14:paraId="1299D410">
      <w:pPr>
        <w:pStyle w:val="55"/>
        <w:rPr>
          <w:rFonts w:ascii="Times New Roman" w:hAnsi="Times New Roman" w:cs="Times New Roman"/>
          <w:sz w:val="22"/>
        </w:rPr>
      </w:pPr>
      <w:r>
        <w:rPr>
          <w:rFonts w:ascii="Times New Roman" w:hAnsi="Times New Roman" w:cs="Times New Roman"/>
          <w:sz w:val="22"/>
        </w:rPr>
        <w:t>32.</w:t>
      </w:r>
      <w:r>
        <w:rPr>
          <w:rFonts w:ascii="Times New Roman" w:hAnsi="Times New Roman" w:cs="Times New Roman"/>
          <w:sz w:val="22"/>
        </w:rPr>
        <w:tab/>
      </w:r>
      <w:r>
        <w:rPr>
          <w:rFonts w:ascii="Times New Roman" w:hAnsi="Times New Roman" w:cs="Times New Roman"/>
          <w:sz w:val="22"/>
        </w:rPr>
        <w:t xml:space="preserve">Pan, Z. </w:t>
      </w:r>
      <w:r>
        <w:rPr>
          <w:rFonts w:ascii="Times New Roman" w:hAnsi="Times New Roman" w:cs="Times New Roman"/>
          <w:i/>
          <w:iCs/>
          <w:sz w:val="22"/>
        </w:rPr>
        <w:t>et al.</w:t>
      </w:r>
      <w:r>
        <w:rPr>
          <w:rFonts w:ascii="Times New Roman" w:hAnsi="Times New Roman" w:cs="Times New Roman"/>
          <w:sz w:val="22"/>
        </w:rPr>
        <w:t xml:space="preserve"> Electrochemical filtration carbon membrane derived from coal for wastewater treatment: insights into the evolution of electrical conductivity and electrochemical performance during carbonization. </w:t>
      </w:r>
      <w:r>
        <w:rPr>
          <w:rFonts w:ascii="Times New Roman" w:hAnsi="Times New Roman" w:cs="Times New Roman"/>
          <w:i/>
          <w:iCs/>
          <w:sz w:val="22"/>
        </w:rPr>
        <w:t>Sep. Purif. Technol.</w:t>
      </w:r>
      <w:r>
        <w:rPr>
          <w:rFonts w:ascii="Times New Roman" w:hAnsi="Times New Roman" w:cs="Times New Roman"/>
          <w:sz w:val="22"/>
        </w:rPr>
        <w:t xml:space="preserve"> </w:t>
      </w:r>
      <w:r>
        <w:rPr>
          <w:rFonts w:ascii="Times New Roman" w:hAnsi="Times New Roman" w:cs="Times New Roman"/>
          <w:b/>
          <w:bCs/>
          <w:sz w:val="22"/>
        </w:rPr>
        <w:t>247</w:t>
      </w:r>
      <w:r>
        <w:rPr>
          <w:rFonts w:ascii="Times New Roman" w:hAnsi="Times New Roman" w:cs="Times New Roman"/>
          <w:sz w:val="22"/>
        </w:rPr>
        <w:t>, 116948 (2020).</w:t>
      </w:r>
    </w:p>
    <w:p w14:paraId="48A34E7B">
      <w:pPr>
        <w:pStyle w:val="55"/>
        <w:rPr>
          <w:rFonts w:ascii="Times New Roman" w:hAnsi="Times New Roman" w:cs="Times New Roman"/>
          <w:sz w:val="22"/>
        </w:rPr>
      </w:pPr>
      <w:r>
        <w:rPr>
          <w:rFonts w:ascii="Times New Roman" w:hAnsi="Times New Roman" w:cs="Times New Roman"/>
          <w:sz w:val="22"/>
        </w:rPr>
        <w:t>33.</w:t>
      </w:r>
      <w:r>
        <w:rPr>
          <w:rFonts w:ascii="Times New Roman" w:hAnsi="Times New Roman" w:cs="Times New Roman"/>
          <w:sz w:val="22"/>
        </w:rPr>
        <w:tab/>
      </w:r>
      <w:r>
        <w:rPr>
          <w:rFonts w:ascii="Times New Roman" w:hAnsi="Times New Roman" w:cs="Times New Roman"/>
          <w:sz w:val="22"/>
        </w:rPr>
        <w:t xml:space="preserve">Alosime, E. M., Alshahrani, A. A., Nghiem, L. D. &amp; In Het Panhuis, M. The preparation and characterization of buckypaper made from carbon nanotubes impregnated with chitosan. </w:t>
      </w:r>
      <w:r>
        <w:rPr>
          <w:rFonts w:ascii="Times New Roman" w:hAnsi="Times New Roman" w:cs="Times New Roman"/>
          <w:i/>
          <w:iCs/>
          <w:sz w:val="22"/>
        </w:rPr>
        <w:t>Polym. Compos.</w:t>
      </w:r>
      <w:r>
        <w:rPr>
          <w:rFonts w:ascii="Times New Roman" w:hAnsi="Times New Roman" w:cs="Times New Roman"/>
          <w:sz w:val="22"/>
        </w:rPr>
        <w:t xml:space="preserve"> </w:t>
      </w:r>
      <w:r>
        <w:rPr>
          <w:rFonts w:ascii="Times New Roman" w:hAnsi="Times New Roman" w:cs="Times New Roman"/>
          <w:b/>
          <w:bCs/>
          <w:sz w:val="22"/>
        </w:rPr>
        <w:t>41</w:t>
      </w:r>
      <w:r>
        <w:rPr>
          <w:rFonts w:ascii="Times New Roman" w:hAnsi="Times New Roman" w:cs="Times New Roman"/>
          <w:sz w:val="22"/>
        </w:rPr>
        <w:t>, 1393–1404 (2020).</w:t>
      </w:r>
    </w:p>
    <w:p w14:paraId="6B277C2D">
      <w:pPr>
        <w:pStyle w:val="55"/>
        <w:rPr>
          <w:rFonts w:ascii="Times New Roman" w:hAnsi="Times New Roman" w:cs="Times New Roman"/>
          <w:sz w:val="22"/>
        </w:rPr>
      </w:pPr>
      <w:r>
        <w:rPr>
          <w:rFonts w:ascii="Times New Roman" w:hAnsi="Times New Roman" w:cs="Times New Roman"/>
          <w:sz w:val="22"/>
        </w:rPr>
        <w:t>34.</w:t>
      </w:r>
      <w:r>
        <w:rPr>
          <w:rFonts w:ascii="Times New Roman" w:hAnsi="Times New Roman" w:cs="Times New Roman"/>
          <w:sz w:val="22"/>
        </w:rPr>
        <w:tab/>
      </w:r>
      <w:r>
        <w:rPr>
          <w:rFonts w:ascii="Times New Roman" w:hAnsi="Times New Roman" w:cs="Times New Roman"/>
          <w:sz w:val="22"/>
        </w:rPr>
        <w:t xml:space="preserve">Liao, X. </w:t>
      </w:r>
      <w:r>
        <w:rPr>
          <w:rFonts w:ascii="Times New Roman" w:hAnsi="Times New Roman" w:cs="Times New Roman"/>
          <w:i/>
          <w:iCs/>
          <w:sz w:val="22"/>
        </w:rPr>
        <w:t>et al.</w:t>
      </w:r>
      <w:r>
        <w:rPr>
          <w:rFonts w:ascii="Times New Roman" w:hAnsi="Times New Roman" w:cs="Times New Roman"/>
          <w:sz w:val="22"/>
        </w:rPr>
        <w:t xml:space="preserve"> Extremely low thermal conductivity and high electrical conductivity of sustainable carbon­ceramic electrospun nonwoven materials. </w:t>
      </w:r>
      <w:r>
        <w:rPr>
          <w:rFonts w:ascii="Times New Roman" w:hAnsi="Times New Roman" w:cs="Times New Roman"/>
          <w:i/>
          <w:iCs/>
          <w:sz w:val="22"/>
        </w:rPr>
        <w:t>Sci. Adv.</w:t>
      </w:r>
      <w:r>
        <w:rPr>
          <w:rFonts w:ascii="Times New Roman" w:hAnsi="Times New Roman" w:cs="Times New Roman"/>
          <w:sz w:val="22"/>
        </w:rPr>
        <w:t xml:space="preserve"> </w:t>
      </w:r>
      <w:r>
        <w:rPr>
          <w:rFonts w:ascii="Times New Roman" w:hAnsi="Times New Roman" w:cs="Times New Roman"/>
          <w:b/>
          <w:bCs/>
          <w:sz w:val="22"/>
        </w:rPr>
        <w:t>9</w:t>
      </w:r>
      <w:r>
        <w:rPr>
          <w:rFonts w:ascii="Times New Roman" w:hAnsi="Times New Roman" w:cs="Times New Roman"/>
          <w:sz w:val="22"/>
        </w:rPr>
        <w:t>, eade6066 (2023).</w:t>
      </w:r>
    </w:p>
    <w:p w14:paraId="53BC692D">
      <w:pPr>
        <w:rPr>
          <w:rFonts w:ascii="Times New Roman" w:hAnsi="Times New Roman" w:eastAsia="仿宋" w:cs="Times New Roman"/>
          <w:sz w:val="22"/>
        </w:rPr>
      </w:pPr>
      <w:r>
        <w:rPr>
          <w:rFonts w:ascii="Times New Roman" w:hAnsi="Times New Roman" w:eastAsia="仿宋" w:cs="Times New Roman"/>
          <w:sz w:val="22"/>
        </w:rPr>
        <w:fldChar w:fldCharType="end"/>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CIDFont+F3">
    <w:altName w:val="Cambria"/>
    <w:panose1 w:val="00000000000000000000"/>
    <w:charset w:val="00"/>
    <w:family w:val="roman"/>
    <w:pitch w:val="default"/>
    <w:sig w:usb0="00000000" w:usb1="00000000" w:usb2="00000000" w:usb3="00000000" w:csb0="00000000" w:csb1="00000000"/>
  </w:font>
  <w:font w:name="Cambria">
    <w:panose1 w:val="02040503050406030204"/>
    <w:charset w:val="00"/>
    <w:family w:val="auto"/>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2642AB6"/>
    <w:multiLevelType w:val="multilevel"/>
    <w:tmpl w:val="42642AB6"/>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6CF0"/>
    <w:rsid w:val="000102D3"/>
    <w:rsid w:val="00013379"/>
    <w:rsid w:val="00013E05"/>
    <w:rsid w:val="00027BEB"/>
    <w:rsid w:val="000328B5"/>
    <w:rsid w:val="00035794"/>
    <w:rsid w:val="00041651"/>
    <w:rsid w:val="000440C5"/>
    <w:rsid w:val="000453C9"/>
    <w:rsid w:val="00052657"/>
    <w:rsid w:val="00057A02"/>
    <w:rsid w:val="0006169F"/>
    <w:rsid w:val="000621F7"/>
    <w:rsid w:val="00062955"/>
    <w:rsid w:val="00064D0D"/>
    <w:rsid w:val="00067355"/>
    <w:rsid w:val="00070111"/>
    <w:rsid w:val="0007435E"/>
    <w:rsid w:val="00081A53"/>
    <w:rsid w:val="00081FEC"/>
    <w:rsid w:val="000922EB"/>
    <w:rsid w:val="000A21B6"/>
    <w:rsid w:val="000B78B5"/>
    <w:rsid w:val="000C3A8B"/>
    <w:rsid w:val="000D2E96"/>
    <w:rsid w:val="000D3560"/>
    <w:rsid w:val="000E3202"/>
    <w:rsid w:val="000E6F68"/>
    <w:rsid w:val="000E7089"/>
    <w:rsid w:val="000F55DD"/>
    <w:rsid w:val="001056F6"/>
    <w:rsid w:val="001144E2"/>
    <w:rsid w:val="00114664"/>
    <w:rsid w:val="00116E89"/>
    <w:rsid w:val="001213DA"/>
    <w:rsid w:val="001236DA"/>
    <w:rsid w:val="00123FCB"/>
    <w:rsid w:val="00126A29"/>
    <w:rsid w:val="00131839"/>
    <w:rsid w:val="001319D5"/>
    <w:rsid w:val="00141947"/>
    <w:rsid w:val="001425CB"/>
    <w:rsid w:val="001504E5"/>
    <w:rsid w:val="0015079F"/>
    <w:rsid w:val="00152ECB"/>
    <w:rsid w:val="0015531A"/>
    <w:rsid w:val="0018508A"/>
    <w:rsid w:val="001867B7"/>
    <w:rsid w:val="001931F8"/>
    <w:rsid w:val="001A5724"/>
    <w:rsid w:val="001A695E"/>
    <w:rsid w:val="001A6D6F"/>
    <w:rsid w:val="001A75EE"/>
    <w:rsid w:val="001B2803"/>
    <w:rsid w:val="001B2B72"/>
    <w:rsid w:val="001B352B"/>
    <w:rsid w:val="001B42D8"/>
    <w:rsid w:val="001B53C6"/>
    <w:rsid w:val="001C167B"/>
    <w:rsid w:val="001C5257"/>
    <w:rsid w:val="001D06F4"/>
    <w:rsid w:val="001D2C82"/>
    <w:rsid w:val="001E282E"/>
    <w:rsid w:val="001E5D27"/>
    <w:rsid w:val="001F685F"/>
    <w:rsid w:val="0020483A"/>
    <w:rsid w:val="00210EF9"/>
    <w:rsid w:val="002112E7"/>
    <w:rsid w:val="00212B53"/>
    <w:rsid w:val="0021456C"/>
    <w:rsid w:val="00216FA1"/>
    <w:rsid w:val="00217261"/>
    <w:rsid w:val="0021781A"/>
    <w:rsid w:val="00217A98"/>
    <w:rsid w:val="00217AE4"/>
    <w:rsid w:val="00220F04"/>
    <w:rsid w:val="00231017"/>
    <w:rsid w:val="0023774D"/>
    <w:rsid w:val="00262D03"/>
    <w:rsid w:val="002645D4"/>
    <w:rsid w:val="002651F1"/>
    <w:rsid w:val="00286024"/>
    <w:rsid w:val="00293415"/>
    <w:rsid w:val="002A0167"/>
    <w:rsid w:val="002A3828"/>
    <w:rsid w:val="002A5D2B"/>
    <w:rsid w:val="002A7E76"/>
    <w:rsid w:val="002B521C"/>
    <w:rsid w:val="002B5EB7"/>
    <w:rsid w:val="002B6C15"/>
    <w:rsid w:val="002C3A6A"/>
    <w:rsid w:val="002D0F94"/>
    <w:rsid w:val="002D2A14"/>
    <w:rsid w:val="002D49A1"/>
    <w:rsid w:val="002D586A"/>
    <w:rsid w:val="002D65A5"/>
    <w:rsid w:val="002E148E"/>
    <w:rsid w:val="002E5478"/>
    <w:rsid w:val="002E7744"/>
    <w:rsid w:val="002F33AD"/>
    <w:rsid w:val="003071ED"/>
    <w:rsid w:val="00314B12"/>
    <w:rsid w:val="00314EC5"/>
    <w:rsid w:val="00315405"/>
    <w:rsid w:val="00325B90"/>
    <w:rsid w:val="003343E8"/>
    <w:rsid w:val="00335357"/>
    <w:rsid w:val="00340A96"/>
    <w:rsid w:val="003517E8"/>
    <w:rsid w:val="003554BF"/>
    <w:rsid w:val="00377248"/>
    <w:rsid w:val="00381714"/>
    <w:rsid w:val="00385025"/>
    <w:rsid w:val="00393179"/>
    <w:rsid w:val="00395214"/>
    <w:rsid w:val="0039705C"/>
    <w:rsid w:val="003A0DE1"/>
    <w:rsid w:val="003A3BFC"/>
    <w:rsid w:val="003A7B2B"/>
    <w:rsid w:val="003B0979"/>
    <w:rsid w:val="003B4B02"/>
    <w:rsid w:val="003C0802"/>
    <w:rsid w:val="003D0D66"/>
    <w:rsid w:val="003D1912"/>
    <w:rsid w:val="003E28A1"/>
    <w:rsid w:val="003F3545"/>
    <w:rsid w:val="004055F4"/>
    <w:rsid w:val="004123E7"/>
    <w:rsid w:val="004179DC"/>
    <w:rsid w:val="00422506"/>
    <w:rsid w:val="004314AA"/>
    <w:rsid w:val="004327BE"/>
    <w:rsid w:val="004347C3"/>
    <w:rsid w:val="00435886"/>
    <w:rsid w:val="00450FDC"/>
    <w:rsid w:val="004569BF"/>
    <w:rsid w:val="0046495F"/>
    <w:rsid w:val="00466004"/>
    <w:rsid w:val="00472B47"/>
    <w:rsid w:val="00474A24"/>
    <w:rsid w:val="00475148"/>
    <w:rsid w:val="004759E0"/>
    <w:rsid w:val="00483A0F"/>
    <w:rsid w:val="00485512"/>
    <w:rsid w:val="00486394"/>
    <w:rsid w:val="00491F26"/>
    <w:rsid w:val="004A58CC"/>
    <w:rsid w:val="004B6FAA"/>
    <w:rsid w:val="004B7F1A"/>
    <w:rsid w:val="004D1DA7"/>
    <w:rsid w:val="004D3448"/>
    <w:rsid w:val="004D3CB7"/>
    <w:rsid w:val="004E5FC7"/>
    <w:rsid w:val="004E6817"/>
    <w:rsid w:val="004F5E6C"/>
    <w:rsid w:val="00500246"/>
    <w:rsid w:val="0050059D"/>
    <w:rsid w:val="00502E1A"/>
    <w:rsid w:val="005102CD"/>
    <w:rsid w:val="00514BC6"/>
    <w:rsid w:val="00530B72"/>
    <w:rsid w:val="00534DA0"/>
    <w:rsid w:val="00537184"/>
    <w:rsid w:val="005421A2"/>
    <w:rsid w:val="00551549"/>
    <w:rsid w:val="00552DF8"/>
    <w:rsid w:val="00554CD5"/>
    <w:rsid w:val="005561CF"/>
    <w:rsid w:val="005575FE"/>
    <w:rsid w:val="00561BDE"/>
    <w:rsid w:val="00575633"/>
    <w:rsid w:val="00576638"/>
    <w:rsid w:val="00583EAE"/>
    <w:rsid w:val="005924FE"/>
    <w:rsid w:val="00595F26"/>
    <w:rsid w:val="005A1A01"/>
    <w:rsid w:val="005A428E"/>
    <w:rsid w:val="005A6400"/>
    <w:rsid w:val="005B3C71"/>
    <w:rsid w:val="005B736B"/>
    <w:rsid w:val="005C0788"/>
    <w:rsid w:val="005C653F"/>
    <w:rsid w:val="005C6C05"/>
    <w:rsid w:val="005D220E"/>
    <w:rsid w:val="005D5B27"/>
    <w:rsid w:val="005E5A02"/>
    <w:rsid w:val="005E7749"/>
    <w:rsid w:val="005F0FAE"/>
    <w:rsid w:val="005F659A"/>
    <w:rsid w:val="00605021"/>
    <w:rsid w:val="006061C6"/>
    <w:rsid w:val="006120C5"/>
    <w:rsid w:val="00615332"/>
    <w:rsid w:val="00621C10"/>
    <w:rsid w:val="00632FDB"/>
    <w:rsid w:val="006415F0"/>
    <w:rsid w:val="0064695E"/>
    <w:rsid w:val="00654536"/>
    <w:rsid w:val="0065564D"/>
    <w:rsid w:val="00662FDE"/>
    <w:rsid w:val="00663EEB"/>
    <w:rsid w:val="006644A5"/>
    <w:rsid w:val="00675050"/>
    <w:rsid w:val="006842C2"/>
    <w:rsid w:val="0069027D"/>
    <w:rsid w:val="0069370B"/>
    <w:rsid w:val="00693B87"/>
    <w:rsid w:val="00695F4C"/>
    <w:rsid w:val="006A2A6C"/>
    <w:rsid w:val="006A2F2D"/>
    <w:rsid w:val="006B2A95"/>
    <w:rsid w:val="006B5DC3"/>
    <w:rsid w:val="006C01E5"/>
    <w:rsid w:val="006C3030"/>
    <w:rsid w:val="006C5B62"/>
    <w:rsid w:val="006D2D24"/>
    <w:rsid w:val="006D48A1"/>
    <w:rsid w:val="006E6A31"/>
    <w:rsid w:val="006E749C"/>
    <w:rsid w:val="006F26F7"/>
    <w:rsid w:val="006F3F5B"/>
    <w:rsid w:val="006F54EF"/>
    <w:rsid w:val="00700338"/>
    <w:rsid w:val="007125DA"/>
    <w:rsid w:val="00721CC2"/>
    <w:rsid w:val="00723988"/>
    <w:rsid w:val="007275E5"/>
    <w:rsid w:val="00735F4C"/>
    <w:rsid w:val="00736CF0"/>
    <w:rsid w:val="00737503"/>
    <w:rsid w:val="00740CEF"/>
    <w:rsid w:val="00741B32"/>
    <w:rsid w:val="00745DC0"/>
    <w:rsid w:val="00746D89"/>
    <w:rsid w:val="007500FF"/>
    <w:rsid w:val="0075575D"/>
    <w:rsid w:val="00762AB4"/>
    <w:rsid w:val="00762CDF"/>
    <w:rsid w:val="007649FF"/>
    <w:rsid w:val="00771704"/>
    <w:rsid w:val="00772821"/>
    <w:rsid w:val="0077566D"/>
    <w:rsid w:val="00776901"/>
    <w:rsid w:val="00777BCE"/>
    <w:rsid w:val="007812ED"/>
    <w:rsid w:val="00790088"/>
    <w:rsid w:val="007911D1"/>
    <w:rsid w:val="007A5D6F"/>
    <w:rsid w:val="007B3480"/>
    <w:rsid w:val="007C4160"/>
    <w:rsid w:val="007C620F"/>
    <w:rsid w:val="007C7549"/>
    <w:rsid w:val="007E243C"/>
    <w:rsid w:val="007E2B39"/>
    <w:rsid w:val="007E3B03"/>
    <w:rsid w:val="007E4F73"/>
    <w:rsid w:val="007E650F"/>
    <w:rsid w:val="007F33F8"/>
    <w:rsid w:val="007F3FEA"/>
    <w:rsid w:val="008003E0"/>
    <w:rsid w:val="00806541"/>
    <w:rsid w:val="008141D2"/>
    <w:rsid w:val="0081426C"/>
    <w:rsid w:val="0081464F"/>
    <w:rsid w:val="00831B29"/>
    <w:rsid w:val="0083384E"/>
    <w:rsid w:val="00835565"/>
    <w:rsid w:val="00835720"/>
    <w:rsid w:val="00840027"/>
    <w:rsid w:val="008424D9"/>
    <w:rsid w:val="00842E1D"/>
    <w:rsid w:val="00844B0F"/>
    <w:rsid w:val="0084749B"/>
    <w:rsid w:val="00853F14"/>
    <w:rsid w:val="0086088E"/>
    <w:rsid w:val="0086788A"/>
    <w:rsid w:val="00867C07"/>
    <w:rsid w:val="00873785"/>
    <w:rsid w:val="00876773"/>
    <w:rsid w:val="008A07C7"/>
    <w:rsid w:val="008A4414"/>
    <w:rsid w:val="008B250E"/>
    <w:rsid w:val="008B59E1"/>
    <w:rsid w:val="008C2411"/>
    <w:rsid w:val="008C28AB"/>
    <w:rsid w:val="008C5718"/>
    <w:rsid w:val="008C5B14"/>
    <w:rsid w:val="008C762D"/>
    <w:rsid w:val="008E1E99"/>
    <w:rsid w:val="008E2CBE"/>
    <w:rsid w:val="008E58D0"/>
    <w:rsid w:val="008F28D9"/>
    <w:rsid w:val="008F3F4A"/>
    <w:rsid w:val="008F600A"/>
    <w:rsid w:val="008F7135"/>
    <w:rsid w:val="00900CB1"/>
    <w:rsid w:val="0090195F"/>
    <w:rsid w:val="009056F3"/>
    <w:rsid w:val="0090582C"/>
    <w:rsid w:val="009159BD"/>
    <w:rsid w:val="00922EBF"/>
    <w:rsid w:val="009423A0"/>
    <w:rsid w:val="00942532"/>
    <w:rsid w:val="00945B39"/>
    <w:rsid w:val="0095342B"/>
    <w:rsid w:val="00954095"/>
    <w:rsid w:val="00960846"/>
    <w:rsid w:val="0096249A"/>
    <w:rsid w:val="00963A85"/>
    <w:rsid w:val="00965A30"/>
    <w:rsid w:val="00982DEB"/>
    <w:rsid w:val="00982E80"/>
    <w:rsid w:val="00983BA3"/>
    <w:rsid w:val="009842D3"/>
    <w:rsid w:val="0098639E"/>
    <w:rsid w:val="00992BA8"/>
    <w:rsid w:val="0099376E"/>
    <w:rsid w:val="00994086"/>
    <w:rsid w:val="009A095C"/>
    <w:rsid w:val="009A5D41"/>
    <w:rsid w:val="009B4194"/>
    <w:rsid w:val="009B5418"/>
    <w:rsid w:val="009B76E6"/>
    <w:rsid w:val="009C7013"/>
    <w:rsid w:val="009D0B46"/>
    <w:rsid w:val="009D68DF"/>
    <w:rsid w:val="009E3277"/>
    <w:rsid w:val="009F2300"/>
    <w:rsid w:val="009F3F65"/>
    <w:rsid w:val="009F5ECC"/>
    <w:rsid w:val="00A010C7"/>
    <w:rsid w:val="00A0253D"/>
    <w:rsid w:val="00A02A0D"/>
    <w:rsid w:val="00A02E0E"/>
    <w:rsid w:val="00A047D4"/>
    <w:rsid w:val="00A06E83"/>
    <w:rsid w:val="00A12A70"/>
    <w:rsid w:val="00A16642"/>
    <w:rsid w:val="00A17796"/>
    <w:rsid w:val="00A246BC"/>
    <w:rsid w:val="00A24E9F"/>
    <w:rsid w:val="00A329A1"/>
    <w:rsid w:val="00A32D77"/>
    <w:rsid w:val="00A3672C"/>
    <w:rsid w:val="00A36AD5"/>
    <w:rsid w:val="00A524CD"/>
    <w:rsid w:val="00A544DB"/>
    <w:rsid w:val="00A54B00"/>
    <w:rsid w:val="00A551C3"/>
    <w:rsid w:val="00A644C0"/>
    <w:rsid w:val="00A67CC3"/>
    <w:rsid w:val="00A7489D"/>
    <w:rsid w:val="00A773C8"/>
    <w:rsid w:val="00A809C5"/>
    <w:rsid w:val="00A835DB"/>
    <w:rsid w:val="00A8580A"/>
    <w:rsid w:val="00A86596"/>
    <w:rsid w:val="00AA3FC3"/>
    <w:rsid w:val="00AA4259"/>
    <w:rsid w:val="00AB439E"/>
    <w:rsid w:val="00AB5EB1"/>
    <w:rsid w:val="00AB7FEA"/>
    <w:rsid w:val="00AC2797"/>
    <w:rsid w:val="00AD4157"/>
    <w:rsid w:val="00AD672C"/>
    <w:rsid w:val="00AE452D"/>
    <w:rsid w:val="00AE56CC"/>
    <w:rsid w:val="00AF20E6"/>
    <w:rsid w:val="00AF6ACA"/>
    <w:rsid w:val="00AF790F"/>
    <w:rsid w:val="00AF7F35"/>
    <w:rsid w:val="00B05892"/>
    <w:rsid w:val="00B1301F"/>
    <w:rsid w:val="00B14B52"/>
    <w:rsid w:val="00B151C4"/>
    <w:rsid w:val="00B200E0"/>
    <w:rsid w:val="00B2185F"/>
    <w:rsid w:val="00B22D92"/>
    <w:rsid w:val="00B25896"/>
    <w:rsid w:val="00B36594"/>
    <w:rsid w:val="00B45F66"/>
    <w:rsid w:val="00B60B47"/>
    <w:rsid w:val="00B6640A"/>
    <w:rsid w:val="00B70A7A"/>
    <w:rsid w:val="00B74552"/>
    <w:rsid w:val="00B80927"/>
    <w:rsid w:val="00B81D06"/>
    <w:rsid w:val="00B86F62"/>
    <w:rsid w:val="00B87E68"/>
    <w:rsid w:val="00B953F2"/>
    <w:rsid w:val="00B9625D"/>
    <w:rsid w:val="00BA2A21"/>
    <w:rsid w:val="00BB1338"/>
    <w:rsid w:val="00BC1654"/>
    <w:rsid w:val="00BC541C"/>
    <w:rsid w:val="00BD57C1"/>
    <w:rsid w:val="00BE23B1"/>
    <w:rsid w:val="00BE5295"/>
    <w:rsid w:val="00BE5FC0"/>
    <w:rsid w:val="00BF37C0"/>
    <w:rsid w:val="00BF4C8D"/>
    <w:rsid w:val="00C03F4E"/>
    <w:rsid w:val="00C248EF"/>
    <w:rsid w:val="00C26D7F"/>
    <w:rsid w:val="00C279DF"/>
    <w:rsid w:val="00C4008A"/>
    <w:rsid w:val="00C5055F"/>
    <w:rsid w:val="00C52BAA"/>
    <w:rsid w:val="00C6146D"/>
    <w:rsid w:val="00C678F8"/>
    <w:rsid w:val="00C83192"/>
    <w:rsid w:val="00C83218"/>
    <w:rsid w:val="00C83B5B"/>
    <w:rsid w:val="00C8602F"/>
    <w:rsid w:val="00C929C5"/>
    <w:rsid w:val="00C95641"/>
    <w:rsid w:val="00C95FD3"/>
    <w:rsid w:val="00CA01D2"/>
    <w:rsid w:val="00CA1CB0"/>
    <w:rsid w:val="00CA6266"/>
    <w:rsid w:val="00CC161A"/>
    <w:rsid w:val="00CC4869"/>
    <w:rsid w:val="00CC51FB"/>
    <w:rsid w:val="00CE00BE"/>
    <w:rsid w:val="00CE1D77"/>
    <w:rsid w:val="00CE4408"/>
    <w:rsid w:val="00CF15EB"/>
    <w:rsid w:val="00CF2E91"/>
    <w:rsid w:val="00CF2FD8"/>
    <w:rsid w:val="00CF3832"/>
    <w:rsid w:val="00D06752"/>
    <w:rsid w:val="00D134B8"/>
    <w:rsid w:val="00D24FC2"/>
    <w:rsid w:val="00D364AE"/>
    <w:rsid w:val="00D52056"/>
    <w:rsid w:val="00D52B80"/>
    <w:rsid w:val="00D82209"/>
    <w:rsid w:val="00D866AF"/>
    <w:rsid w:val="00D93686"/>
    <w:rsid w:val="00DA2AA4"/>
    <w:rsid w:val="00DA6969"/>
    <w:rsid w:val="00DB16A5"/>
    <w:rsid w:val="00DB1B1B"/>
    <w:rsid w:val="00DB31A9"/>
    <w:rsid w:val="00DB3430"/>
    <w:rsid w:val="00DB391A"/>
    <w:rsid w:val="00DB433A"/>
    <w:rsid w:val="00DC62F6"/>
    <w:rsid w:val="00DD2BEA"/>
    <w:rsid w:val="00DE0F7D"/>
    <w:rsid w:val="00DE1BC1"/>
    <w:rsid w:val="00DE31BE"/>
    <w:rsid w:val="00DE469A"/>
    <w:rsid w:val="00DF2B63"/>
    <w:rsid w:val="00DF38A2"/>
    <w:rsid w:val="00DF74FD"/>
    <w:rsid w:val="00E018D7"/>
    <w:rsid w:val="00E02246"/>
    <w:rsid w:val="00E05E6E"/>
    <w:rsid w:val="00E06F4C"/>
    <w:rsid w:val="00E07246"/>
    <w:rsid w:val="00E1631B"/>
    <w:rsid w:val="00E228DF"/>
    <w:rsid w:val="00E232C7"/>
    <w:rsid w:val="00E23991"/>
    <w:rsid w:val="00E24155"/>
    <w:rsid w:val="00E25ABA"/>
    <w:rsid w:val="00E478D3"/>
    <w:rsid w:val="00E53931"/>
    <w:rsid w:val="00E6281D"/>
    <w:rsid w:val="00E64B3F"/>
    <w:rsid w:val="00E748F1"/>
    <w:rsid w:val="00E75C4B"/>
    <w:rsid w:val="00E776D1"/>
    <w:rsid w:val="00E842CD"/>
    <w:rsid w:val="00E843F0"/>
    <w:rsid w:val="00E87CD0"/>
    <w:rsid w:val="00E91BB7"/>
    <w:rsid w:val="00E96970"/>
    <w:rsid w:val="00E97CD7"/>
    <w:rsid w:val="00EA3491"/>
    <w:rsid w:val="00EA3A16"/>
    <w:rsid w:val="00EA4438"/>
    <w:rsid w:val="00EA4D7E"/>
    <w:rsid w:val="00EA64EA"/>
    <w:rsid w:val="00EB3958"/>
    <w:rsid w:val="00EC096C"/>
    <w:rsid w:val="00EE12FF"/>
    <w:rsid w:val="00EE3EE4"/>
    <w:rsid w:val="00EF4FA1"/>
    <w:rsid w:val="00EF5FD3"/>
    <w:rsid w:val="00F02C17"/>
    <w:rsid w:val="00F13F6B"/>
    <w:rsid w:val="00F15C97"/>
    <w:rsid w:val="00F17A0A"/>
    <w:rsid w:val="00F17D7E"/>
    <w:rsid w:val="00F239F7"/>
    <w:rsid w:val="00F2558F"/>
    <w:rsid w:val="00F27C57"/>
    <w:rsid w:val="00F41918"/>
    <w:rsid w:val="00F42603"/>
    <w:rsid w:val="00F47966"/>
    <w:rsid w:val="00F54EEA"/>
    <w:rsid w:val="00F57165"/>
    <w:rsid w:val="00F61E3D"/>
    <w:rsid w:val="00F709A7"/>
    <w:rsid w:val="00F74873"/>
    <w:rsid w:val="00F85F66"/>
    <w:rsid w:val="00F93E68"/>
    <w:rsid w:val="00F9783C"/>
    <w:rsid w:val="00FA1045"/>
    <w:rsid w:val="00FA3993"/>
    <w:rsid w:val="00FA3B98"/>
    <w:rsid w:val="00FA3E5C"/>
    <w:rsid w:val="00FB010D"/>
    <w:rsid w:val="00FB0CC2"/>
    <w:rsid w:val="00FB459E"/>
    <w:rsid w:val="00FB5D2A"/>
    <w:rsid w:val="00FB67B8"/>
    <w:rsid w:val="00FC02E0"/>
    <w:rsid w:val="00FC2A92"/>
    <w:rsid w:val="00FC2E16"/>
    <w:rsid w:val="00FC6E62"/>
    <w:rsid w:val="00FF521E"/>
    <w:rsid w:val="00FF7A97"/>
    <w:rsid w:val="01F7559B"/>
    <w:rsid w:val="05B26A35"/>
    <w:rsid w:val="08EB02A8"/>
    <w:rsid w:val="08ED5999"/>
    <w:rsid w:val="12AF1389"/>
    <w:rsid w:val="15BC10E9"/>
    <w:rsid w:val="17C93012"/>
    <w:rsid w:val="18206024"/>
    <w:rsid w:val="1EB36627"/>
    <w:rsid w:val="1F0F2D2A"/>
    <w:rsid w:val="24177CF4"/>
    <w:rsid w:val="25EB277E"/>
    <w:rsid w:val="29760EBD"/>
    <w:rsid w:val="29AB15BD"/>
    <w:rsid w:val="2E382087"/>
    <w:rsid w:val="2ECA7BEA"/>
    <w:rsid w:val="34F14A0B"/>
    <w:rsid w:val="35A47211"/>
    <w:rsid w:val="36D25022"/>
    <w:rsid w:val="380B422E"/>
    <w:rsid w:val="3C10106F"/>
    <w:rsid w:val="400904FB"/>
    <w:rsid w:val="426F378E"/>
    <w:rsid w:val="435E6896"/>
    <w:rsid w:val="47FA4BE5"/>
    <w:rsid w:val="49DE29D2"/>
    <w:rsid w:val="4AD807FC"/>
    <w:rsid w:val="4CE51F9B"/>
    <w:rsid w:val="4D105748"/>
    <w:rsid w:val="4DD232A6"/>
    <w:rsid w:val="515741C1"/>
    <w:rsid w:val="51962C79"/>
    <w:rsid w:val="533E519B"/>
    <w:rsid w:val="535844AE"/>
    <w:rsid w:val="53AC47FA"/>
    <w:rsid w:val="58A846D8"/>
    <w:rsid w:val="59D22C08"/>
    <w:rsid w:val="60A26513"/>
    <w:rsid w:val="61683661"/>
    <w:rsid w:val="63164CC1"/>
    <w:rsid w:val="64B16DC0"/>
    <w:rsid w:val="64EC45BF"/>
    <w:rsid w:val="67B676DE"/>
    <w:rsid w:val="6BB23928"/>
    <w:rsid w:val="720E0702"/>
    <w:rsid w:val="7778661E"/>
    <w:rsid w:val="7C08324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3"/>
    <w:qFormat/>
    <w:uiPriority w:val="9"/>
    <w:pPr>
      <w:keepNext/>
      <w:keepLines/>
      <w:spacing w:before="480" w:after="80"/>
      <w:outlineLvl w:val="0"/>
    </w:pPr>
    <w:rPr>
      <w:rFonts w:asciiTheme="majorHAnsi" w:hAnsiTheme="majorHAnsi" w:eastAsiaTheme="majorEastAsia" w:cstheme="majorBidi"/>
      <w:color w:val="104862" w:themeColor="accent1" w:themeShade="BF"/>
      <w:sz w:val="48"/>
      <w:szCs w:val="48"/>
    </w:rPr>
  </w:style>
  <w:style w:type="paragraph" w:styleId="3">
    <w:name w:val="heading 2"/>
    <w:basedOn w:val="1"/>
    <w:next w:val="1"/>
    <w:link w:val="24"/>
    <w:semiHidden/>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40"/>
      <w:szCs w:val="40"/>
    </w:rPr>
  </w:style>
  <w:style w:type="paragraph" w:styleId="4">
    <w:name w:val="heading 3"/>
    <w:basedOn w:val="1"/>
    <w:next w:val="1"/>
    <w:link w:val="25"/>
    <w:semiHidden/>
    <w:unhideWhenUsed/>
    <w:qFormat/>
    <w:uiPriority w:val="9"/>
    <w:pPr>
      <w:keepNext/>
      <w:keepLines/>
      <w:spacing w:before="160" w:after="80"/>
      <w:outlineLvl w:val="2"/>
    </w:pPr>
    <w:rPr>
      <w:rFonts w:asciiTheme="majorHAnsi" w:hAnsiTheme="majorHAnsi" w:eastAsiaTheme="majorEastAsia" w:cstheme="majorBidi"/>
      <w:color w:val="104862" w:themeColor="accent1" w:themeShade="BF"/>
      <w:sz w:val="32"/>
      <w:szCs w:val="32"/>
    </w:rPr>
  </w:style>
  <w:style w:type="paragraph" w:styleId="5">
    <w:name w:val="heading 4"/>
    <w:basedOn w:val="1"/>
    <w:next w:val="1"/>
    <w:link w:val="26"/>
    <w:semiHidden/>
    <w:unhideWhenUsed/>
    <w:qFormat/>
    <w:uiPriority w:val="9"/>
    <w:pPr>
      <w:keepNext/>
      <w:keepLines/>
      <w:spacing w:before="80" w:after="40"/>
      <w:outlineLvl w:val="3"/>
    </w:pPr>
    <w:rPr>
      <w:rFonts w:cstheme="majorBidi"/>
      <w:color w:val="104862" w:themeColor="accent1" w:themeShade="BF"/>
      <w:sz w:val="28"/>
      <w:szCs w:val="28"/>
    </w:rPr>
  </w:style>
  <w:style w:type="paragraph" w:styleId="6">
    <w:name w:val="heading 5"/>
    <w:basedOn w:val="1"/>
    <w:next w:val="1"/>
    <w:link w:val="27"/>
    <w:semiHidden/>
    <w:unhideWhenUsed/>
    <w:qFormat/>
    <w:uiPriority w:val="9"/>
    <w:pPr>
      <w:keepNext/>
      <w:keepLines/>
      <w:spacing w:before="80" w:after="40"/>
      <w:outlineLvl w:val="4"/>
    </w:pPr>
    <w:rPr>
      <w:rFonts w:cstheme="majorBidi"/>
      <w:color w:val="104862" w:themeColor="accent1" w:themeShade="BF"/>
      <w:sz w:val="24"/>
      <w:szCs w:val="24"/>
    </w:rPr>
  </w:style>
  <w:style w:type="paragraph" w:styleId="7">
    <w:name w:val="heading 6"/>
    <w:basedOn w:val="1"/>
    <w:next w:val="1"/>
    <w:link w:val="28"/>
    <w:semiHidden/>
    <w:unhideWhenUsed/>
    <w:qFormat/>
    <w:uiPriority w:val="9"/>
    <w:pPr>
      <w:keepNext/>
      <w:keepLines/>
      <w:spacing w:before="40"/>
      <w:outlineLvl w:val="5"/>
    </w:pPr>
    <w:rPr>
      <w:rFonts w:cstheme="majorBidi"/>
      <w:b/>
      <w:bCs/>
      <w:color w:val="104862" w:themeColor="accent1" w:themeShade="BF"/>
    </w:rPr>
  </w:style>
  <w:style w:type="paragraph" w:styleId="8">
    <w:name w:val="heading 7"/>
    <w:basedOn w:val="1"/>
    <w:next w:val="1"/>
    <w:link w:val="29"/>
    <w:semiHidden/>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30"/>
    <w:semiHidden/>
    <w:unhideWhenUsed/>
    <w:qFormat/>
    <w:uiPriority w:val="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31"/>
    <w:semiHidden/>
    <w:unhideWhenUsed/>
    <w:qFormat/>
    <w:uiPriority w:val="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20">
    <w:name w:val="Default Paragraph Font"/>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link w:val="46"/>
    <w:unhideWhenUsed/>
    <w:qFormat/>
    <w:uiPriority w:val="0"/>
    <w:pPr>
      <w:jc w:val="left"/>
    </w:pPr>
  </w:style>
  <w:style w:type="paragraph" w:styleId="12">
    <w:name w:val="Balloon Text"/>
    <w:basedOn w:val="1"/>
    <w:link w:val="48"/>
    <w:semiHidden/>
    <w:unhideWhenUsed/>
    <w:qFormat/>
    <w:uiPriority w:val="99"/>
    <w:rPr>
      <w:sz w:val="18"/>
      <w:szCs w:val="18"/>
    </w:rPr>
  </w:style>
  <w:style w:type="paragraph" w:styleId="13">
    <w:name w:val="footer"/>
    <w:basedOn w:val="1"/>
    <w:link w:val="45"/>
    <w:unhideWhenUsed/>
    <w:qFormat/>
    <w:uiPriority w:val="99"/>
    <w:pPr>
      <w:tabs>
        <w:tab w:val="center" w:pos="4153"/>
        <w:tab w:val="right" w:pos="8306"/>
      </w:tabs>
      <w:snapToGrid w:val="0"/>
      <w:jc w:val="left"/>
    </w:pPr>
    <w:rPr>
      <w:sz w:val="18"/>
      <w:szCs w:val="18"/>
    </w:rPr>
  </w:style>
  <w:style w:type="paragraph" w:styleId="14">
    <w:name w:val="header"/>
    <w:basedOn w:val="1"/>
    <w:link w:val="44"/>
    <w:unhideWhenUsed/>
    <w:qFormat/>
    <w:uiPriority w:val="99"/>
    <w:pPr>
      <w:tabs>
        <w:tab w:val="center" w:pos="4153"/>
        <w:tab w:val="right" w:pos="8306"/>
      </w:tabs>
      <w:snapToGrid w:val="0"/>
      <w:jc w:val="center"/>
    </w:pPr>
    <w:rPr>
      <w:sz w:val="18"/>
      <w:szCs w:val="18"/>
    </w:rPr>
  </w:style>
  <w:style w:type="paragraph" w:styleId="15">
    <w:name w:val="Subtitle"/>
    <w:basedOn w:val="1"/>
    <w:next w:val="1"/>
    <w:link w:val="33"/>
    <w:qFormat/>
    <w:uiPriority w:val="11"/>
    <w:pPr>
      <w:spacing w:after="160"/>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6">
    <w:name w:val="Title"/>
    <w:basedOn w:val="1"/>
    <w:next w:val="1"/>
    <w:link w:val="32"/>
    <w:qFormat/>
    <w:uiPriority w:val="10"/>
    <w:pPr>
      <w:spacing w:after="80"/>
      <w:contextualSpacing/>
      <w:jc w:val="center"/>
    </w:pPr>
    <w:rPr>
      <w:rFonts w:asciiTheme="majorHAnsi" w:hAnsiTheme="majorHAnsi" w:eastAsiaTheme="majorEastAsia" w:cstheme="majorBidi"/>
      <w:spacing w:val="-10"/>
      <w:kern w:val="28"/>
      <w:sz w:val="56"/>
      <w:szCs w:val="56"/>
    </w:rPr>
  </w:style>
  <w:style w:type="paragraph" w:styleId="17">
    <w:name w:val="annotation subject"/>
    <w:basedOn w:val="11"/>
    <w:next w:val="11"/>
    <w:link w:val="47"/>
    <w:semiHidden/>
    <w:unhideWhenUsed/>
    <w:qFormat/>
    <w:uiPriority w:val="99"/>
    <w:rPr>
      <w:b/>
      <w:bCs/>
    </w:rPr>
  </w:style>
  <w:style w:type="table" w:styleId="19">
    <w:name w:val="Table Grid"/>
    <w:basedOn w:val="1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Hyperlink"/>
    <w:basedOn w:val="20"/>
    <w:unhideWhenUsed/>
    <w:qFormat/>
    <w:uiPriority w:val="99"/>
    <w:rPr>
      <w:color w:val="0000FF"/>
      <w:u w:val="single"/>
    </w:rPr>
  </w:style>
  <w:style w:type="character" w:styleId="22">
    <w:name w:val="annotation reference"/>
    <w:basedOn w:val="20"/>
    <w:unhideWhenUsed/>
    <w:qFormat/>
    <w:uiPriority w:val="0"/>
    <w:rPr>
      <w:sz w:val="21"/>
      <w:szCs w:val="21"/>
    </w:rPr>
  </w:style>
  <w:style w:type="character" w:customStyle="1" w:styleId="23">
    <w:name w:val="标题 1 字符"/>
    <w:basedOn w:val="20"/>
    <w:link w:val="2"/>
    <w:qFormat/>
    <w:uiPriority w:val="9"/>
    <w:rPr>
      <w:rFonts w:asciiTheme="majorHAnsi" w:hAnsiTheme="majorHAnsi" w:eastAsiaTheme="majorEastAsia" w:cstheme="majorBidi"/>
      <w:color w:val="104862" w:themeColor="accent1" w:themeShade="BF"/>
      <w:sz w:val="48"/>
      <w:szCs w:val="48"/>
    </w:rPr>
  </w:style>
  <w:style w:type="character" w:customStyle="1" w:styleId="24">
    <w:name w:val="标题 2 字符"/>
    <w:basedOn w:val="20"/>
    <w:link w:val="3"/>
    <w:semiHidden/>
    <w:qFormat/>
    <w:uiPriority w:val="9"/>
    <w:rPr>
      <w:rFonts w:asciiTheme="majorHAnsi" w:hAnsiTheme="majorHAnsi" w:eastAsiaTheme="majorEastAsia" w:cstheme="majorBidi"/>
      <w:color w:val="104862" w:themeColor="accent1" w:themeShade="BF"/>
      <w:sz w:val="40"/>
      <w:szCs w:val="40"/>
    </w:rPr>
  </w:style>
  <w:style w:type="character" w:customStyle="1" w:styleId="25">
    <w:name w:val="标题 3 字符"/>
    <w:basedOn w:val="20"/>
    <w:link w:val="4"/>
    <w:semiHidden/>
    <w:qFormat/>
    <w:uiPriority w:val="9"/>
    <w:rPr>
      <w:rFonts w:asciiTheme="majorHAnsi" w:hAnsiTheme="majorHAnsi" w:eastAsiaTheme="majorEastAsia" w:cstheme="majorBidi"/>
      <w:color w:val="104862" w:themeColor="accent1" w:themeShade="BF"/>
      <w:sz w:val="32"/>
      <w:szCs w:val="32"/>
    </w:rPr>
  </w:style>
  <w:style w:type="character" w:customStyle="1" w:styleId="26">
    <w:name w:val="标题 4 字符"/>
    <w:basedOn w:val="20"/>
    <w:link w:val="5"/>
    <w:semiHidden/>
    <w:qFormat/>
    <w:uiPriority w:val="9"/>
    <w:rPr>
      <w:rFonts w:cstheme="majorBidi"/>
      <w:color w:val="104862" w:themeColor="accent1" w:themeShade="BF"/>
      <w:sz w:val="28"/>
      <w:szCs w:val="28"/>
    </w:rPr>
  </w:style>
  <w:style w:type="character" w:customStyle="1" w:styleId="27">
    <w:name w:val="标题 5 字符"/>
    <w:basedOn w:val="20"/>
    <w:link w:val="6"/>
    <w:semiHidden/>
    <w:qFormat/>
    <w:uiPriority w:val="9"/>
    <w:rPr>
      <w:rFonts w:cstheme="majorBidi"/>
      <w:color w:val="104862" w:themeColor="accent1" w:themeShade="BF"/>
      <w:sz w:val="24"/>
      <w:szCs w:val="24"/>
    </w:rPr>
  </w:style>
  <w:style w:type="character" w:customStyle="1" w:styleId="28">
    <w:name w:val="标题 6 字符"/>
    <w:basedOn w:val="20"/>
    <w:link w:val="7"/>
    <w:semiHidden/>
    <w:qFormat/>
    <w:uiPriority w:val="9"/>
    <w:rPr>
      <w:rFonts w:cstheme="majorBidi"/>
      <w:b/>
      <w:bCs/>
      <w:color w:val="104862" w:themeColor="accent1" w:themeShade="BF"/>
    </w:rPr>
  </w:style>
  <w:style w:type="character" w:customStyle="1" w:styleId="29">
    <w:name w:val="标题 7 字符"/>
    <w:basedOn w:val="20"/>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30">
    <w:name w:val="标题 8 字符"/>
    <w:basedOn w:val="20"/>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31">
    <w:name w:val="标题 9 字符"/>
    <w:basedOn w:val="20"/>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2">
    <w:name w:val="标题 字符"/>
    <w:basedOn w:val="20"/>
    <w:link w:val="16"/>
    <w:qFormat/>
    <w:uiPriority w:val="10"/>
    <w:rPr>
      <w:rFonts w:asciiTheme="majorHAnsi" w:hAnsiTheme="majorHAnsi" w:eastAsiaTheme="majorEastAsia" w:cstheme="majorBidi"/>
      <w:spacing w:val="-10"/>
      <w:kern w:val="28"/>
      <w:sz w:val="56"/>
      <w:szCs w:val="56"/>
    </w:rPr>
  </w:style>
  <w:style w:type="character" w:customStyle="1" w:styleId="33">
    <w:name w:val="副标题 字符"/>
    <w:basedOn w:val="20"/>
    <w:link w:val="15"/>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4">
    <w:name w:val="Quote"/>
    <w:basedOn w:val="1"/>
    <w:next w:val="1"/>
    <w:link w:val="35"/>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35">
    <w:name w:val="引用 字符"/>
    <w:basedOn w:val="20"/>
    <w:link w:val="34"/>
    <w:qFormat/>
    <w:uiPriority w:val="29"/>
    <w:rPr>
      <w:i/>
      <w:iCs/>
      <w:color w:val="404040" w:themeColor="text1" w:themeTint="BF"/>
      <w14:textFill>
        <w14:solidFill>
          <w14:schemeClr w14:val="tx1">
            <w14:lumMod w14:val="75000"/>
            <w14:lumOff w14:val="25000"/>
          </w14:schemeClr>
        </w14:solidFill>
      </w14:textFill>
    </w:rPr>
  </w:style>
  <w:style w:type="paragraph" w:styleId="36">
    <w:name w:val="List Paragraph"/>
    <w:basedOn w:val="1"/>
    <w:qFormat/>
    <w:uiPriority w:val="99"/>
    <w:pPr>
      <w:ind w:left="720"/>
      <w:contextualSpacing/>
    </w:pPr>
  </w:style>
  <w:style w:type="character" w:customStyle="1" w:styleId="37">
    <w:name w:val="明显强调1"/>
    <w:basedOn w:val="20"/>
    <w:qFormat/>
    <w:uiPriority w:val="21"/>
    <w:rPr>
      <w:i/>
      <w:iCs/>
      <w:color w:val="104862" w:themeColor="accent1" w:themeShade="BF"/>
    </w:rPr>
  </w:style>
  <w:style w:type="paragraph" w:styleId="38">
    <w:name w:val="Intense Quote"/>
    <w:basedOn w:val="1"/>
    <w:next w:val="1"/>
    <w:link w:val="39"/>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39">
    <w:name w:val="明显引用 字符"/>
    <w:basedOn w:val="20"/>
    <w:link w:val="38"/>
    <w:qFormat/>
    <w:uiPriority w:val="30"/>
    <w:rPr>
      <w:i/>
      <w:iCs/>
      <w:color w:val="104862" w:themeColor="accent1" w:themeShade="BF"/>
    </w:rPr>
  </w:style>
  <w:style w:type="character" w:customStyle="1" w:styleId="40">
    <w:name w:val="明显参考1"/>
    <w:basedOn w:val="20"/>
    <w:qFormat/>
    <w:uiPriority w:val="32"/>
    <w:rPr>
      <w:b/>
      <w:bCs/>
      <w:smallCaps/>
      <w:color w:val="104862" w:themeColor="accent1" w:themeShade="BF"/>
      <w:spacing w:val="5"/>
    </w:rPr>
  </w:style>
  <w:style w:type="table" w:customStyle="1" w:styleId="41">
    <w:name w:val="无格式表格 41"/>
    <w:basedOn w:val="18"/>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paragraph" w:customStyle="1" w:styleId="42">
    <w:name w:val="TC_Table_Body"/>
    <w:basedOn w:val="1"/>
    <w:qFormat/>
    <w:uiPriority w:val="0"/>
    <w:pPr>
      <w:widowControl/>
      <w:spacing w:after="200"/>
    </w:pPr>
    <w:rPr>
      <w:rFonts w:ascii="Times" w:hAnsi="Times" w:eastAsia="宋体" w:cs="Times New Roman"/>
      <w:kern w:val="0"/>
      <w:sz w:val="24"/>
      <w:szCs w:val="20"/>
      <w:lang w:eastAsia="en-US"/>
    </w:rPr>
  </w:style>
  <w:style w:type="table" w:customStyle="1" w:styleId="43">
    <w:name w:val="网格型浅色1"/>
    <w:basedOn w:val="1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44">
    <w:name w:val="页眉 字符"/>
    <w:basedOn w:val="20"/>
    <w:link w:val="14"/>
    <w:qFormat/>
    <w:uiPriority w:val="99"/>
    <w:rPr>
      <w:sz w:val="18"/>
      <w:szCs w:val="18"/>
    </w:rPr>
  </w:style>
  <w:style w:type="character" w:customStyle="1" w:styleId="45">
    <w:name w:val="页脚 字符"/>
    <w:basedOn w:val="20"/>
    <w:link w:val="13"/>
    <w:qFormat/>
    <w:uiPriority w:val="99"/>
    <w:rPr>
      <w:sz w:val="18"/>
      <w:szCs w:val="18"/>
    </w:rPr>
  </w:style>
  <w:style w:type="character" w:customStyle="1" w:styleId="46">
    <w:name w:val="批注文字 字符"/>
    <w:basedOn w:val="20"/>
    <w:link w:val="11"/>
    <w:qFormat/>
    <w:uiPriority w:val="0"/>
    <w:rPr>
      <w:rFonts w:asciiTheme="minorHAnsi" w:hAnsiTheme="minorHAnsi" w:eastAsiaTheme="minorEastAsia" w:cstheme="minorBidi"/>
      <w:kern w:val="2"/>
      <w:sz w:val="21"/>
      <w:szCs w:val="22"/>
    </w:rPr>
  </w:style>
  <w:style w:type="character" w:customStyle="1" w:styleId="47">
    <w:name w:val="批注主题 字符"/>
    <w:basedOn w:val="46"/>
    <w:link w:val="17"/>
    <w:semiHidden/>
    <w:qFormat/>
    <w:uiPriority w:val="99"/>
    <w:rPr>
      <w:rFonts w:asciiTheme="minorHAnsi" w:hAnsiTheme="minorHAnsi" w:eastAsiaTheme="minorEastAsia" w:cstheme="minorBidi"/>
      <w:b/>
      <w:bCs/>
      <w:kern w:val="2"/>
      <w:sz w:val="21"/>
      <w:szCs w:val="22"/>
    </w:rPr>
  </w:style>
  <w:style w:type="character" w:customStyle="1" w:styleId="48">
    <w:name w:val="批注框文本 字符"/>
    <w:basedOn w:val="20"/>
    <w:link w:val="12"/>
    <w:semiHidden/>
    <w:qFormat/>
    <w:uiPriority w:val="99"/>
    <w:rPr>
      <w:rFonts w:asciiTheme="minorHAnsi" w:hAnsiTheme="minorHAnsi" w:eastAsiaTheme="minorEastAsia" w:cstheme="minorBidi"/>
      <w:kern w:val="2"/>
      <w:sz w:val="18"/>
      <w:szCs w:val="18"/>
    </w:rPr>
  </w:style>
  <w:style w:type="paragraph" w:customStyle="1" w:styleId="49">
    <w:name w:val="书目1"/>
    <w:basedOn w:val="1"/>
    <w:next w:val="1"/>
    <w:unhideWhenUsed/>
    <w:qFormat/>
    <w:uiPriority w:val="37"/>
    <w:pPr>
      <w:tabs>
        <w:tab w:val="left" w:pos="264"/>
      </w:tabs>
      <w:spacing w:line="480" w:lineRule="auto"/>
      <w:ind w:left="264" w:hanging="264"/>
    </w:pPr>
  </w:style>
  <w:style w:type="character" w:customStyle="1" w:styleId="50">
    <w:name w:val="fontstyle01"/>
    <w:basedOn w:val="20"/>
    <w:qFormat/>
    <w:uiPriority w:val="0"/>
    <w:rPr>
      <w:rFonts w:hint="default" w:ascii="CIDFont+F3" w:hAnsi="CIDFont+F3"/>
      <w:color w:val="000000"/>
      <w:sz w:val="22"/>
      <w:szCs w:val="22"/>
    </w:rPr>
  </w:style>
  <w:style w:type="paragraph" w:customStyle="1" w:styleId="51">
    <w:name w:val="书目2"/>
    <w:basedOn w:val="1"/>
    <w:next w:val="1"/>
    <w:unhideWhenUsed/>
    <w:qFormat/>
    <w:uiPriority w:val="37"/>
  </w:style>
  <w:style w:type="character" w:customStyle="1" w:styleId="52">
    <w:name w:val="未处理的提及1"/>
    <w:basedOn w:val="20"/>
    <w:semiHidden/>
    <w:unhideWhenUsed/>
    <w:qFormat/>
    <w:uiPriority w:val="99"/>
    <w:rPr>
      <w:color w:val="605E5C"/>
      <w:shd w:val="clear" w:color="auto" w:fill="E1DFDD"/>
    </w:rPr>
  </w:style>
  <w:style w:type="table" w:customStyle="1" w:styleId="53">
    <w:name w:val="无格式表格 42"/>
    <w:basedOn w:val="18"/>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paragraph" w:customStyle="1" w:styleId="54">
    <w:name w:val="Revision"/>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55">
    <w:name w:val="Bibliography"/>
    <w:basedOn w:val="1"/>
    <w:next w:val="1"/>
    <w:unhideWhenUsed/>
    <w:qFormat/>
    <w:uiPriority w:val="37"/>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numbering" Target="numbering.xml"/><Relationship Id="rId20" Type="http://schemas.openxmlformats.org/officeDocument/2006/relationships/image" Target="media/image17.tiff"/><Relationship Id="rId2" Type="http://schemas.openxmlformats.org/officeDocument/2006/relationships/settings" Target="settings.xml"/><Relationship Id="rId19" Type="http://schemas.openxmlformats.org/officeDocument/2006/relationships/image" Target="media/image16.tiff"/><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tiff"/><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tif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26A878-6DD7-4FCD-AB6A-2F28D58A9EAF}">
  <ds:schemaRefs/>
</ds:datastoreItem>
</file>

<file path=docProps/app.xml><?xml version="1.0" encoding="utf-8"?>
<Properties xmlns="http://schemas.openxmlformats.org/officeDocument/2006/extended-properties" xmlns:vt="http://schemas.openxmlformats.org/officeDocument/2006/docPropsVTypes">
  <Template>Normal</Template>
  <Pages>30</Pages>
  <Words>3756</Words>
  <Characters>21458</Characters>
  <Lines>1106</Lines>
  <Paragraphs>273</Paragraphs>
  <TotalTime>1</TotalTime>
  <ScaleCrop>false</ScaleCrop>
  <LinksUpToDate>false</LinksUpToDate>
  <CharactersWithSpaces>24694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2026-02-07T14:14:00Z</dcterms:created>
  <dc:creator>Zerui Chen</dc:creator>
  <cp:lastModifiedBy>丽芬</cp:lastModifiedBy>
  <dcterms:modified xsi:type="dcterms:W3CDTF">2026-04-12T10:41:56Z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8FB6DB35A05D4F1E896E2984336A660B_13</vt:lpwstr>
  </property>
  <property fmtid="{D5CDD505-2E9C-101B-9397-08002B2CF9AE}" pid="4" name="KSOTemplateDocerSaveRecord">
    <vt:lpwstr>eyJoZGlkIjoiMzYzMDkwOThiNWVhZGE5YzIxMjNjZTVjMDU4ODQ3MDMiLCJ1c2VySWQiOiIxMjEwMDc0MjkyIn0=</vt:lpwstr>
  </property>
  <property fmtid="{D5CDD505-2E9C-101B-9397-08002B2CF9AE}" pid="5" name="ZOTERO_PREF_1">
    <vt:lpwstr>&lt;data data-version="3" zotero-version="7.0.32"&gt;&lt;session id="RprFYzrP"/&gt;&lt;style id="http://www.zotero.org/styles/nature" hasBibliography="1" bibliographyStyleHasBeenSet="1"/&gt;&lt;prefs&gt;&lt;pref name="fieldType" value="Field"/&gt;&lt;pref name="automaticJournalAbbreviati</vt:lpwstr>
  </property>
  <property fmtid="{D5CDD505-2E9C-101B-9397-08002B2CF9AE}" pid="6" name="ZOTERO_PREF_2">
    <vt:lpwstr>ons" value="true"/&gt;&lt;pref name="dontAskDelayCitationUpdates" value="true"/&gt;&lt;/prefs&gt;&lt;/data&gt;</vt:lpwstr>
  </property>
</Properties>
</file>