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71F02" w14:textId="77777777" w:rsidR="00C94409" w:rsidRPr="00A12150" w:rsidRDefault="00C94409" w:rsidP="00C94409">
      <w:pPr>
        <w:spacing w:before="100" w:beforeAutospacing="1" w:after="100" w:afterAutospacing="1" w:line="360" w:lineRule="auto"/>
        <w:rPr>
          <w:rFonts w:ascii="Times New Roman" w:eastAsia="SimSun" w:hAnsi="Times New Roman" w:cs="Times New Roman"/>
          <w:kern w:val="0"/>
          <w:sz w:val="24"/>
          <w:szCs w:val="24"/>
          <w14:ligatures w14:val="none"/>
        </w:rPr>
      </w:pPr>
      <w:r w:rsidRPr="00A12150">
        <w:rPr>
          <w:rFonts w:ascii="Times New Roman" w:hAnsi="Times New Roman" w:cs="Times New Roman"/>
          <w:sz w:val="24"/>
          <w:szCs w:val="24"/>
        </w:rPr>
        <w:t xml:space="preserve">Supplementary </w:t>
      </w:r>
      <w:r w:rsidRPr="00A12150">
        <w:rPr>
          <w:rFonts w:ascii="Times New Roman" w:eastAsia="SimSun" w:hAnsi="Times New Roman" w:cs="Times New Roman"/>
          <w:kern w:val="0"/>
          <w:sz w:val="24"/>
          <w:szCs w:val="24"/>
          <w14:ligatures w14:val="none"/>
        </w:rPr>
        <w:t>A</w:t>
      </w:r>
    </w:p>
    <w:p w14:paraId="683D7D45" w14:textId="77777777" w:rsidR="00C94409" w:rsidRDefault="00C94409" w:rsidP="00C94409">
      <w:pPr>
        <w:spacing w:beforeAutospacing="1" w:afterAutospacing="1" w:line="360" w:lineRule="auto"/>
        <w:rPr>
          <w:rFonts w:ascii="Times New Roman" w:eastAsia="SimSun" w:hAnsi="Times New Roman" w:cs="Times New Roman"/>
          <w:sz w:val="24"/>
          <w:szCs w:val="24"/>
        </w:rPr>
      </w:pPr>
      <w:r w:rsidRPr="58A2AB3F">
        <w:rPr>
          <w:rFonts w:ascii="Times New Roman" w:hAnsi="Times New Roman" w:cs="Times New Roman"/>
          <w:b/>
          <w:bCs/>
          <w:sz w:val="18"/>
          <w:szCs w:val="18"/>
        </w:rPr>
        <w:t>Table A1. Statistical distributions of wheat variables in historical data</w:t>
      </w:r>
    </w:p>
    <w:tbl>
      <w:tblPr>
        <w:tblStyle w:val="TableGrid"/>
        <w:tblW w:w="0" w:type="auto"/>
        <w:tblLayout w:type="fixed"/>
        <w:tblLook w:val="04A0" w:firstRow="1" w:lastRow="0" w:firstColumn="1" w:lastColumn="0" w:noHBand="0" w:noVBand="1"/>
      </w:tblPr>
      <w:tblGrid>
        <w:gridCol w:w="1728"/>
        <w:gridCol w:w="1728"/>
        <w:gridCol w:w="1728"/>
        <w:gridCol w:w="1728"/>
        <w:gridCol w:w="1728"/>
      </w:tblGrid>
      <w:tr w:rsidR="00C94409" w:rsidRPr="00A12150" w14:paraId="270B15D8" w14:textId="77777777" w:rsidTr="00A77C00">
        <w:trPr>
          <w:trHeight w:val="300"/>
        </w:trPr>
        <w:tc>
          <w:tcPr>
            <w:tcW w:w="1728" w:type="dxa"/>
            <w:tcBorders>
              <w:top w:val="single" w:sz="8" w:space="0" w:color="4F81BD"/>
              <w:left w:val="single" w:sz="8" w:space="0" w:color="4F81BD"/>
              <w:bottom w:val="single" w:sz="18" w:space="0" w:color="4F81BD"/>
              <w:right w:val="single" w:sz="8" w:space="0" w:color="4F81BD"/>
            </w:tcBorders>
            <w:tcMar>
              <w:left w:w="108" w:type="dxa"/>
              <w:right w:w="108" w:type="dxa"/>
            </w:tcMar>
          </w:tcPr>
          <w:p w14:paraId="19FBAF7D" w14:textId="77777777" w:rsidR="00C94409" w:rsidRPr="00A12150" w:rsidRDefault="00C94409" w:rsidP="00A77C00">
            <w:pPr>
              <w:rPr>
                <w:rFonts w:ascii="Times New Roman" w:eastAsia="Calibri" w:hAnsi="Times New Roman"/>
                <w:b/>
                <w:bCs/>
                <w:sz w:val="22"/>
              </w:rPr>
            </w:pPr>
            <w:r w:rsidRPr="00A12150">
              <w:rPr>
                <w:rFonts w:ascii="Times New Roman" w:eastAsia="Calibri" w:hAnsi="Times New Roman"/>
                <w:b/>
                <w:bCs/>
                <w:sz w:val="22"/>
              </w:rPr>
              <w:t>Variable</w:t>
            </w:r>
          </w:p>
        </w:tc>
        <w:tc>
          <w:tcPr>
            <w:tcW w:w="1728" w:type="dxa"/>
            <w:tcBorders>
              <w:top w:val="single" w:sz="8" w:space="0" w:color="4F81BD"/>
              <w:left w:val="single" w:sz="8" w:space="0" w:color="4F81BD"/>
              <w:bottom w:val="single" w:sz="18" w:space="0" w:color="4F81BD"/>
              <w:right w:val="single" w:sz="8" w:space="0" w:color="4F81BD"/>
            </w:tcBorders>
            <w:tcMar>
              <w:left w:w="108" w:type="dxa"/>
              <w:right w:w="108" w:type="dxa"/>
            </w:tcMar>
          </w:tcPr>
          <w:p w14:paraId="678805B5" w14:textId="77777777" w:rsidR="00C94409" w:rsidRPr="00A12150" w:rsidRDefault="00C94409" w:rsidP="00A77C00">
            <w:pPr>
              <w:rPr>
                <w:rFonts w:ascii="Times New Roman" w:eastAsia="Calibri" w:hAnsi="Times New Roman"/>
                <w:b/>
                <w:bCs/>
                <w:sz w:val="22"/>
              </w:rPr>
            </w:pPr>
            <w:r w:rsidRPr="00A12150">
              <w:rPr>
                <w:rFonts w:ascii="Times New Roman" w:eastAsia="Calibri" w:hAnsi="Times New Roman"/>
                <w:b/>
                <w:bCs/>
                <w:sz w:val="22"/>
              </w:rPr>
              <w:t>Mean</w:t>
            </w:r>
          </w:p>
        </w:tc>
        <w:tc>
          <w:tcPr>
            <w:tcW w:w="1728" w:type="dxa"/>
            <w:tcBorders>
              <w:top w:val="single" w:sz="8" w:space="0" w:color="4F81BD"/>
              <w:left w:val="single" w:sz="8" w:space="0" w:color="4F81BD"/>
              <w:bottom w:val="single" w:sz="18" w:space="0" w:color="4F81BD"/>
              <w:right w:val="single" w:sz="8" w:space="0" w:color="4F81BD"/>
            </w:tcBorders>
            <w:tcMar>
              <w:left w:w="108" w:type="dxa"/>
              <w:right w:w="108" w:type="dxa"/>
            </w:tcMar>
          </w:tcPr>
          <w:p w14:paraId="684FCC8A" w14:textId="77777777" w:rsidR="00C94409" w:rsidRPr="00A12150" w:rsidRDefault="00C94409" w:rsidP="00A77C00">
            <w:pPr>
              <w:rPr>
                <w:rFonts w:ascii="Times New Roman" w:eastAsia="Calibri" w:hAnsi="Times New Roman"/>
                <w:b/>
                <w:bCs/>
                <w:sz w:val="22"/>
              </w:rPr>
            </w:pPr>
            <w:r w:rsidRPr="00A12150">
              <w:rPr>
                <w:rFonts w:ascii="Times New Roman" w:eastAsia="Calibri" w:hAnsi="Times New Roman"/>
                <w:b/>
                <w:bCs/>
                <w:sz w:val="22"/>
              </w:rPr>
              <w:t>Std Dev</w:t>
            </w:r>
          </w:p>
        </w:tc>
        <w:tc>
          <w:tcPr>
            <w:tcW w:w="1728" w:type="dxa"/>
            <w:tcBorders>
              <w:top w:val="single" w:sz="8" w:space="0" w:color="4F81BD"/>
              <w:left w:val="single" w:sz="8" w:space="0" w:color="4F81BD"/>
              <w:bottom w:val="single" w:sz="18" w:space="0" w:color="4F81BD"/>
              <w:right w:val="single" w:sz="8" w:space="0" w:color="4F81BD"/>
            </w:tcBorders>
            <w:tcMar>
              <w:left w:w="108" w:type="dxa"/>
              <w:right w:w="108" w:type="dxa"/>
            </w:tcMar>
          </w:tcPr>
          <w:p w14:paraId="5866B787" w14:textId="77777777" w:rsidR="00C94409" w:rsidRPr="00A12150" w:rsidRDefault="00C94409" w:rsidP="00A77C00">
            <w:pPr>
              <w:rPr>
                <w:rFonts w:ascii="Times New Roman" w:eastAsia="Calibri" w:hAnsi="Times New Roman"/>
                <w:b/>
                <w:bCs/>
                <w:sz w:val="22"/>
              </w:rPr>
            </w:pPr>
            <w:r w:rsidRPr="00A12150">
              <w:rPr>
                <w:rFonts w:ascii="Times New Roman" w:eastAsia="Calibri" w:hAnsi="Times New Roman"/>
                <w:b/>
                <w:bCs/>
                <w:sz w:val="22"/>
              </w:rPr>
              <w:t>Min</w:t>
            </w:r>
          </w:p>
        </w:tc>
        <w:tc>
          <w:tcPr>
            <w:tcW w:w="1728" w:type="dxa"/>
            <w:tcBorders>
              <w:top w:val="single" w:sz="8" w:space="0" w:color="4F81BD"/>
              <w:left w:val="single" w:sz="8" w:space="0" w:color="4F81BD"/>
              <w:bottom w:val="single" w:sz="18" w:space="0" w:color="4F81BD"/>
              <w:right w:val="single" w:sz="8" w:space="0" w:color="4F81BD"/>
            </w:tcBorders>
            <w:tcMar>
              <w:left w:w="108" w:type="dxa"/>
              <w:right w:w="108" w:type="dxa"/>
            </w:tcMar>
          </w:tcPr>
          <w:p w14:paraId="779B975F" w14:textId="77777777" w:rsidR="00C94409" w:rsidRPr="00A12150" w:rsidRDefault="00C94409" w:rsidP="00A77C00">
            <w:pPr>
              <w:rPr>
                <w:rFonts w:ascii="Times New Roman" w:eastAsia="Calibri" w:hAnsi="Times New Roman"/>
                <w:b/>
                <w:bCs/>
                <w:sz w:val="22"/>
              </w:rPr>
            </w:pPr>
            <w:r w:rsidRPr="00A12150">
              <w:rPr>
                <w:rFonts w:ascii="Times New Roman" w:eastAsia="Calibri" w:hAnsi="Times New Roman"/>
                <w:b/>
                <w:bCs/>
                <w:sz w:val="22"/>
              </w:rPr>
              <w:t>Max</w:t>
            </w:r>
          </w:p>
        </w:tc>
      </w:tr>
      <w:tr w:rsidR="00C94409" w:rsidRPr="00A12150" w14:paraId="37A42B37" w14:textId="77777777" w:rsidTr="00A77C00">
        <w:trPr>
          <w:trHeight w:val="300"/>
        </w:trPr>
        <w:tc>
          <w:tcPr>
            <w:tcW w:w="1728" w:type="dxa"/>
            <w:tcBorders>
              <w:top w:val="single" w:sz="18" w:space="0" w:color="4F81BD"/>
              <w:left w:val="single" w:sz="8" w:space="0" w:color="4F81BD"/>
              <w:bottom w:val="single" w:sz="8" w:space="0" w:color="4F81BD"/>
              <w:right w:val="single" w:sz="8" w:space="0" w:color="4F81BD"/>
            </w:tcBorders>
            <w:tcMar>
              <w:left w:w="108" w:type="dxa"/>
              <w:right w:w="108" w:type="dxa"/>
            </w:tcMar>
          </w:tcPr>
          <w:p w14:paraId="6F51BC88" w14:textId="77777777" w:rsidR="00C94409" w:rsidRPr="00A12150" w:rsidRDefault="00C94409" w:rsidP="00A77C00">
            <w:pPr>
              <w:rPr>
                <w:rFonts w:ascii="Times New Roman" w:eastAsia="Calibri" w:hAnsi="Times New Roman"/>
                <w:b/>
                <w:bCs/>
                <w:sz w:val="22"/>
              </w:rPr>
            </w:pPr>
            <w:r w:rsidRPr="00A12150">
              <w:rPr>
                <w:rFonts w:ascii="Times New Roman" w:eastAsia="Calibri" w:hAnsi="Times New Roman"/>
                <w:b/>
                <w:bCs/>
                <w:sz w:val="22"/>
              </w:rPr>
              <w:t>Harvested area</w:t>
            </w:r>
          </w:p>
        </w:tc>
        <w:tc>
          <w:tcPr>
            <w:tcW w:w="1728" w:type="dxa"/>
            <w:tcBorders>
              <w:top w:val="single" w:sz="18" w:space="0" w:color="4F81BD"/>
              <w:left w:val="single" w:sz="8" w:space="0" w:color="4F81BD"/>
              <w:bottom w:val="single" w:sz="8" w:space="0" w:color="4F81BD"/>
              <w:right w:val="single" w:sz="8" w:space="0" w:color="4F81BD"/>
            </w:tcBorders>
            <w:tcMar>
              <w:left w:w="108" w:type="dxa"/>
              <w:right w:w="108" w:type="dxa"/>
            </w:tcMar>
          </w:tcPr>
          <w:p w14:paraId="2DBAAF09"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2130.49</w:t>
            </w:r>
          </w:p>
        </w:tc>
        <w:tc>
          <w:tcPr>
            <w:tcW w:w="1728" w:type="dxa"/>
            <w:tcBorders>
              <w:top w:val="single" w:sz="18" w:space="0" w:color="4F81BD"/>
              <w:left w:val="single" w:sz="8" w:space="0" w:color="4F81BD"/>
              <w:bottom w:val="single" w:sz="8" w:space="0" w:color="4F81BD"/>
              <w:right w:val="single" w:sz="8" w:space="0" w:color="4F81BD"/>
            </w:tcBorders>
            <w:tcMar>
              <w:left w:w="108" w:type="dxa"/>
              <w:right w:w="108" w:type="dxa"/>
            </w:tcMar>
          </w:tcPr>
          <w:p w14:paraId="6DD9A909"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4734.2</w:t>
            </w:r>
          </w:p>
        </w:tc>
        <w:tc>
          <w:tcPr>
            <w:tcW w:w="1728" w:type="dxa"/>
            <w:tcBorders>
              <w:top w:val="single" w:sz="18" w:space="0" w:color="4F81BD"/>
              <w:left w:val="single" w:sz="8" w:space="0" w:color="4F81BD"/>
              <w:bottom w:val="single" w:sz="8" w:space="0" w:color="4F81BD"/>
              <w:right w:val="single" w:sz="8" w:space="0" w:color="4F81BD"/>
            </w:tcBorders>
            <w:tcMar>
              <w:left w:w="108" w:type="dxa"/>
              <w:right w:w="108" w:type="dxa"/>
            </w:tcMar>
          </w:tcPr>
          <w:p w14:paraId="5236A405"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0.0</w:t>
            </w:r>
          </w:p>
        </w:tc>
        <w:tc>
          <w:tcPr>
            <w:tcW w:w="1728" w:type="dxa"/>
            <w:tcBorders>
              <w:top w:val="single" w:sz="18" w:space="0" w:color="4F81BD"/>
              <w:left w:val="single" w:sz="8" w:space="0" w:color="4F81BD"/>
              <w:bottom w:val="single" w:sz="8" w:space="0" w:color="4F81BD"/>
              <w:right w:val="single" w:sz="8" w:space="0" w:color="4F81BD"/>
            </w:tcBorders>
            <w:tcMar>
              <w:left w:w="108" w:type="dxa"/>
              <w:right w:w="108" w:type="dxa"/>
            </w:tcMar>
          </w:tcPr>
          <w:p w14:paraId="153F476F"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32635.01</w:t>
            </w:r>
          </w:p>
        </w:tc>
      </w:tr>
      <w:tr w:rsidR="00C94409" w:rsidRPr="00A12150" w14:paraId="304621BC" w14:textId="77777777" w:rsidTr="00A77C00">
        <w:trPr>
          <w:trHeight w:val="300"/>
        </w:trPr>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301AB82B" w14:textId="77777777" w:rsidR="00C94409" w:rsidRPr="00A12150" w:rsidRDefault="00C94409" w:rsidP="00A77C00">
            <w:pPr>
              <w:rPr>
                <w:rFonts w:ascii="Times New Roman" w:eastAsia="Calibri" w:hAnsi="Times New Roman"/>
                <w:b/>
                <w:bCs/>
                <w:sz w:val="22"/>
              </w:rPr>
            </w:pPr>
            <w:r w:rsidRPr="00A12150">
              <w:rPr>
                <w:rFonts w:ascii="Times New Roman" w:eastAsia="Calibri" w:hAnsi="Times New Roman"/>
                <w:b/>
                <w:bCs/>
                <w:sz w:val="22"/>
              </w:rPr>
              <w:t>Price</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0C1825A3"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14.59</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156893CB"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11.86</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67FA8159"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0.0</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104132CA"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102.32</w:t>
            </w:r>
          </w:p>
        </w:tc>
      </w:tr>
      <w:tr w:rsidR="00C94409" w:rsidRPr="00A12150" w14:paraId="1513ED6B" w14:textId="77777777" w:rsidTr="00A77C00">
        <w:trPr>
          <w:trHeight w:val="300"/>
        </w:trPr>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0D890589" w14:textId="77777777" w:rsidR="00C94409" w:rsidRPr="00A12150" w:rsidRDefault="00C94409" w:rsidP="00A77C00">
            <w:pPr>
              <w:rPr>
                <w:rFonts w:ascii="Times New Roman" w:eastAsia="Calibri" w:hAnsi="Times New Roman"/>
                <w:b/>
                <w:bCs/>
                <w:sz w:val="22"/>
              </w:rPr>
            </w:pPr>
            <w:r w:rsidRPr="00A12150">
              <w:rPr>
                <w:rFonts w:ascii="Times New Roman" w:eastAsia="Calibri" w:hAnsi="Times New Roman"/>
                <w:b/>
                <w:bCs/>
                <w:sz w:val="22"/>
              </w:rPr>
              <w:t>Import</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5CA6233F"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1093.77</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6CA316DA"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1753.24</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47B0A9C6"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0.0</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5F6DDF14"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8681.38</w:t>
            </w:r>
          </w:p>
        </w:tc>
      </w:tr>
      <w:tr w:rsidR="00C94409" w:rsidRPr="00A12150" w14:paraId="4B5F9A4E" w14:textId="77777777" w:rsidTr="00A77C00">
        <w:trPr>
          <w:trHeight w:val="300"/>
        </w:trPr>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3887CB9B" w14:textId="77777777" w:rsidR="00C94409" w:rsidRPr="00A12150" w:rsidRDefault="00C94409" w:rsidP="00A77C00">
            <w:pPr>
              <w:rPr>
                <w:rFonts w:ascii="Times New Roman" w:eastAsia="Calibri" w:hAnsi="Times New Roman"/>
                <w:b/>
                <w:bCs/>
                <w:sz w:val="22"/>
              </w:rPr>
            </w:pPr>
            <w:r w:rsidRPr="00A12150">
              <w:rPr>
                <w:rFonts w:ascii="Times New Roman" w:eastAsia="Calibri" w:hAnsi="Times New Roman"/>
                <w:b/>
                <w:bCs/>
                <w:sz w:val="22"/>
              </w:rPr>
              <w:t>Production</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4C9AD9D1"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7234.96</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6BA2FEF7"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13095.81</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671C33FA"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0.0</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4002ED8A"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75806.3</w:t>
            </w:r>
          </w:p>
        </w:tc>
      </w:tr>
      <w:tr w:rsidR="00C94409" w:rsidRPr="00A12150" w14:paraId="7E1A42D0" w14:textId="77777777" w:rsidTr="00A77C00">
        <w:trPr>
          <w:trHeight w:val="300"/>
        </w:trPr>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2DAF6DA4" w14:textId="77777777" w:rsidR="00C94409" w:rsidRPr="00A12150" w:rsidRDefault="00C94409" w:rsidP="00A77C00">
            <w:pPr>
              <w:rPr>
                <w:rFonts w:ascii="Times New Roman" w:eastAsia="Calibri" w:hAnsi="Times New Roman"/>
                <w:b/>
                <w:bCs/>
                <w:sz w:val="22"/>
              </w:rPr>
            </w:pPr>
            <w:r w:rsidRPr="00A12150">
              <w:rPr>
                <w:rFonts w:ascii="Times New Roman" w:eastAsia="Calibri" w:hAnsi="Times New Roman"/>
                <w:b/>
                <w:bCs/>
                <w:sz w:val="22"/>
              </w:rPr>
              <w:t>Export</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3E0DF51C"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3332.67</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3881066B"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7113.99</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48E00924"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0.0</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55CB94DA"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43908.64</w:t>
            </w:r>
          </w:p>
        </w:tc>
      </w:tr>
      <w:tr w:rsidR="00C94409" w:rsidRPr="00A12150" w14:paraId="144F04AD" w14:textId="77777777" w:rsidTr="00A77C00">
        <w:trPr>
          <w:trHeight w:val="300"/>
        </w:trPr>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50821AAD" w14:textId="77777777" w:rsidR="00C94409" w:rsidRPr="00A12150" w:rsidRDefault="00C94409" w:rsidP="00A77C00">
            <w:pPr>
              <w:rPr>
                <w:rFonts w:ascii="Times New Roman" w:eastAsia="Calibri" w:hAnsi="Times New Roman"/>
                <w:b/>
                <w:bCs/>
                <w:sz w:val="22"/>
              </w:rPr>
            </w:pPr>
            <w:r w:rsidRPr="00A12150">
              <w:rPr>
                <w:rFonts w:ascii="Times New Roman" w:eastAsia="Calibri" w:hAnsi="Times New Roman"/>
                <w:b/>
                <w:bCs/>
                <w:sz w:val="22"/>
              </w:rPr>
              <w:t>GDP</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2A463517"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845333.02</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626F8FD1"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2289792.67</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6CED244F"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4187.51</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6096CD4E"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21668957.19</w:t>
            </w:r>
          </w:p>
        </w:tc>
      </w:tr>
      <w:tr w:rsidR="00C94409" w:rsidRPr="00A12150" w14:paraId="7A21CA99" w14:textId="77777777" w:rsidTr="00A77C00">
        <w:trPr>
          <w:trHeight w:val="300"/>
        </w:trPr>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3673246F" w14:textId="77777777" w:rsidR="00C94409" w:rsidRPr="00A12150" w:rsidRDefault="00C94409" w:rsidP="00A77C00">
            <w:pPr>
              <w:rPr>
                <w:rFonts w:ascii="Times New Roman" w:eastAsia="Calibri" w:hAnsi="Times New Roman"/>
                <w:b/>
                <w:bCs/>
                <w:sz w:val="22"/>
              </w:rPr>
            </w:pPr>
            <w:r w:rsidRPr="00A12150">
              <w:rPr>
                <w:rFonts w:ascii="Times New Roman" w:eastAsia="Calibri" w:hAnsi="Times New Roman"/>
                <w:b/>
                <w:bCs/>
                <w:sz w:val="22"/>
              </w:rPr>
              <w:t>Population</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7A498A04"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32439.01</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7240B788"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55768.12</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37CDD4D1"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1314.45</w:t>
            </w:r>
          </w:p>
        </w:tc>
        <w:tc>
          <w:tcPr>
            <w:tcW w:w="1728" w:type="dxa"/>
            <w:tcBorders>
              <w:top w:val="single" w:sz="8" w:space="0" w:color="4F81BD"/>
              <w:left w:val="single" w:sz="8" w:space="0" w:color="4F81BD"/>
              <w:bottom w:val="single" w:sz="8" w:space="0" w:color="4F81BD"/>
              <w:right w:val="single" w:sz="8" w:space="0" w:color="4F81BD"/>
            </w:tcBorders>
            <w:tcMar>
              <w:left w:w="108" w:type="dxa"/>
              <w:right w:w="108" w:type="dxa"/>
            </w:tcMar>
          </w:tcPr>
          <w:p w14:paraId="6E6A2BDE" w14:textId="77777777" w:rsidR="00C94409" w:rsidRPr="00A12150" w:rsidRDefault="00C94409" w:rsidP="00A77C00">
            <w:pPr>
              <w:rPr>
                <w:rFonts w:ascii="Times New Roman" w:eastAsia="Cambria" w:hAnsi="Times New Roman"/>
                <w:sz w:val="22"/>
              </w:rPr>
            </w:pPr>
            <w:r w:rsidRPr="00A12150">
              <w:rPr>
                <w:rFonts w:ascii="Times New Roman" w:eastAsia="Cambria" w:hAnsi="Times New Roman"/>
                <w:sz w:val="22"/>
              </w:rPr>
              <w:t>337790.07</w:t>
            </w:r>
          </w:p>
        </w:tc>
      </w:tr>
    </w:tbl>
    <w:p w14:paraId="7D663F99" w14:textId="77777777" w:rsidR="00C94409" w:rsidRPr="00DA236F" w:rsidRDefault="00C94409" w:rsidP="00C94409">
      <w:pPr>
        <w:spacing w:beforeAutospacing="1" w:afterAutospacing="1" w:line="360" w:lineRule="auto"/>
        <w:rPr>
          <w:rFonts w:ascii="Times New Roman" w:hAnsi="Times New Roman" w:cs="Times New Roman"/>
          <w:b/>
          <w:sz w:val="18"/>
          <w:szCs w:val="18"/>
        </w:rPr>
      </w:pPr>
      <w:r w:rsidRPr="00DA236F">
        <w:rPr>
          <w:rFonts w:ascii="Times New Roman" w:hAnsi="Times New Roman" w:cs="Times New Roman"/>
          <w:b/>
          <w:noProof/>
          <w:sz w:val="18"/>
          <w:szCs w:val="18"/>
          <w:u w:val="single"/>
        </w:rPr>
        <w:drawing>
          <wp:inline distT="0" distB="0" distL="0" distR="0" wp14:anchorId="4AB346E9" wp14:editId="5AB4272B">
            <wp:extent cx="5760720" cy="1485265"/>
            <wp:effectExtent l="0" t="0" r="0" b="635"/>
            <wp:docPr id="1276401641"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X contr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1485265"/>
                    </a:xfrm>
                    <a:prstGeom prst="rect">
                      <a:avLst/>
                    </a:prstGeom>
                    <a:noFill/>
                    <a:ln>
                      <a:noFill/>
                    </a:ln>
                  </pic:spPr>
                </pic:pic>
              </a:graphicData>
            </a:graphic>
          </wp:inline>
        </w:drawing>
      </w:r>
      <w:r w:rsidRPr="00DA236F">
        <w:rPr>
          <w:rFonts w:ascii="Times New Roman" w:hAnsi="Times New Roman" w:cs="Times New Roman"/>
          <w:b/>
          <w:sz w:val="18"/>
          <w:szCs w:val="18"/>
        </w:rPr>
        <w:t> </w:t>
      </w:r>
    </w:p>
    <w:p w14:paraId="56A2BFB3" w14:textId="77777777" w:rsidR="00C94409" w:rsidRPr="00DA236F" w:rsidRDefault="00C94409" w:rsidP="00C94409">
      <w:pPr>
        <w:spacing w:beforeAutospacing="1" w:afterAutospacing="1" w:line="360" w:lineRule="auto"/>
        <w:rPr>
          <w:rFonts w:ascii="Times New Roman" w:hAnsi="Times New Roman" w:cs="Times New Roman"/>
          <w:b/>
          <w:sz w:val="18"/>
          <w:szCs w:val="18"/>
        </w:rPr>
      </w:pPr>
      <w:r w:rsidRPr="00DA236F">
        <w:rPr>
          <w:rFonts w:ascii="Times New Roman" w:hAnsi="Times New Roman" w:cs="Times New Roman"/>
          <w:b/>
          <w:bCs/>
          <w:sz w:val="18"/>
          <w:szCs w:val="18"/>
          <w:u w:val="single"/>
        </w:rPr>
        <w:t>Figure A1. Overview of the top producing, importing, and exporting countries, averaged over the entire period of 1973-2019. The top importers are several western European countries, highlighting a single centralized area of demand. For production and export, the Unites States of America, France, and Canada lead, underlining a few key actors in this regard.</w:t>
      </w:r>
      <w:r w:rsidRPr="00DA236F">
        <w:rPr>
          <w:rFonts w:ascii="Times New Roman" w:hAnsi="Times New Roman" w:cs="Times New Roman"/>
          <w:b/>
          <w:sz w:val="18"/>
          <w:szCs w:val="18"/>
        </w:rPr>
        <w:t> </w:t>
      </w:r>
    </w:p>
    <w:p w14:paraId="3CA11E41" w14:textId="77777777" w:rsidR="00C94409" w:rsidRPr="00DA236F" w:rsidRDefault="00C94409" w:rsidP="00C94409">
      <w:pPr>
        <w:spacing w:beforeAutospacing="1" w:afterAutospacing="1" w:line="360" w:lineRule="auto"/>
        <w:rPr>
          <w:rFonts w:ascii="Times New Roman" w:hAnsi="Times New Roman" w:cs="Times New Roman"/>
          <w:b/>
          <w:sz w:val="18"/>
          <w:szCs w:val="18"/>
        </w:rPr>
      </w:pPr>
    </w:p>
    <w:p w14:paraId="0C12707E" w14:textId="77777777" w:rsidR="00C94409" w:rsidRDefault="00C94409" w:rsidP="00C94409">
      <w:pPr>
        <w:spacing w:beforeAutospacing="1" w:afterAutospacing="1" w:line="360" w:lineRule="auto"/>
        <w:rPr>
          <w:rFonts w:ascii="Times New Roman" w:hAnsi="Times New Roman" w:cs="Times New Roman"/>
          <w:b/>
          <w:bCs/>
          <w:sz w:val="18"/>
          <w:szCs w:val="18"/>
        </w:rPr>
      </w:pPr>
    </w:p>
    <w:p w14:paraId="3A725330" w14:textId="77777777" w:rsidR="00C94409" w:rsidRDefault="00C94409" w:rsidP="00C94409">
      <w:pPr>
        <w:spacing w:beforeAutospacing="1" w:afterAutospacing="1" w:line="360" w:lineRule="auto"/>
      </w:pPr>
      <w:r>
        <w:rPr>
          <w:noProof/>
        </w:rPr>
        <w:lastRenderedPageBreak/>
        <w:drawing>
          <wp:inline distT="0" distB="0" distL="0" distR="0" wp14:anchorId="4C4F843F" wp14:editId="219146BF">
            <wp:extent cx="5105400" cy="4312164"/>
            <wp:effectExtent l="0" t="0" r="0" b="0"/>
            <wp:docPr id="10131248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24807" name=""/>
                    <pic:cNvPicPr/>
                  </pic:nvPicPr>
                  <pic:blipFill>
                    <a:blip r:embed="rId5">
                      <a:extLst>
                        <a:ext uri="{28A0092B-C50C-407E-A947-70E740481C1C}">
                          <a14:useLocalDpi xmlns:a14="http://schemas.microsoft.com/office/drawing/2010/main"/>
                        </a:ext>
                      </a:extLst>
                    </a:blip>
                    <a:stretch>
                      <a:fillRect/>
                    </a:stretch>
                  </pic:blipFill>
                  <pic:spPr>
                    <a:xfrm>
                      <a:off x="0" y="0"/>
                      <a:ext cx="5105400" cy="4312164"/>
                    </a:xfrm>
                    <a:prstGeom prst="rect">
                      <a:avLst/>
                    </a:prstGeom>
                  </pic:spPr>
                </pic:pic>
              </a:graphicData>
            </a:graphic>
          </wp:inline>
        </w:drawing>
      </w:r>
    </w:p>
    <w:p w14:paraId="4EEE21DE" w14:textId="77777777" w:rsidR="00C94409" w:rsidRDefault="00C94409" w:rsidP="00C94409">
      <w:pPr>
        <w:spacing w:beforeAutospacing="1" w:afterAutospacing="1" w:line="360" w:lineRule="auto"/>
        <w:rPr>
          <w:rFonts w:ascii="Times New Roman" w:hAnsi="Times New Roman" w:cs="Times New Roman"/>
          <w:sz w:val="18"/>
          <w:szCs w:val="18"/>
        </w:rPr>
      </w:pPr>
      <w:r w:rsidRPr="58A2AB3F">
        <w:rPr>
          <w:rFonts w:ascii="Times New Roman" w:hAnsi="Times New Roman" w:cs="Times New Roman"/>
          <w:b/>
          <w:bCs/>
          <w:sz w:val="18"/>
          <w:szCs w:val="18"/>
        </w:rPr>
        <w:t>Figure A</w:t>
      </w:r>
      <w:r>
        <w:rPr>
          <w:rFonts w:ascii="Times New Roman" w:hAnsi="Times New Roman" w:cs="Times New Roman"/>
          <w:b/>
          <w:bCs/>
          <w:sz w:val="18"/>
          <w:szCs w:val="18"/>
        </w:rPr>
        <w:t>2</w:t>
      </w:r>
      <w:r w:rsidRPr="58A2AB3F">
        <w:rPr>
          <w:rFonts w:ascii="Times New Roman" w:hAnsi="Times New Roman" w:cs="Times New Roman"/>
          <w:b/>
          <w:bCs/>
          <w:sz w:val="18"/>
          <w:szCs w:val="18"/>
        </w:rPr>
        <w:t>.</w:t>
      </w:r>
      <w:r w:rsidRPr="58A2AB3F">
        <w:rPr>
          <w:rFonts w:ascii="Times New Roman" w:hAnsi="Times New Roman" w:cs="Times New Roman"/>
          <w:sz w:val="18"/>
          <w:szCs w:val="18"/>
        </w:rPr>
        <w:t xml:space="preserve"> Correlation matrix of all main wheat variables in the historical data. Notably, production shows a strong correlation with all features except for price and export.</w:t>
      </w:r>
    </w:p>
    <w:p w14:paraId="20961BCA" w14:textId="77777777" w:rsidR="00C94409" w:rsidRDefault="00C94409" w:rsidP="00C94409">
      <w:pPr>
        <w:spacing w:beforeAutospacing="1" w:afterAutospacing="1" w:line="360" w:lineRule="auto"/>
        <w:rPr>
          <w:rFonts w:ascii="Times New Roman" w:hAnsi="Times New Roman" w:cs="Times New Roman"/>
          <w:sz w:val="18"/>
          <w:szCs w:val="18"/>
        </w:rPr>
      </w:pPr>
    </w:p>
    <w:p w14:paraId="39B4DB91" w14:textId="77777777" w:rsidR="00C94409" w:rsidRDefault="00C94409" w:rsidP="00C94409">
      <w:pPr>
        <w:spacing w:beforeAutospacing="1" w:afterAutospacing="1" w:line="360" w:lineRule="auto"/>
        <w:rPr>
          <w:rFonts w:ascii="Times New Roman" w:hAnsi="Times New Roman" w:cs="Times New Roman"/>
          <w:sz w:val="18"/>
          <w:szCs w:val="18"/>
        </w:rPr>
      </w:pPr>
    </w:p>
    <w:p w14:paraId="6A581294" w14:textId="77777777" w:rsidR="00C94409" w:rsidRDefault="00C94409" w:rsidP="00C94409">
      <w:pPr>
        <w:spacing w:before="100" w:beforeAutospacing="1" w:after="100" w:afterAutospacing="1" w:line="360" w:lineRule="auto"/>
        <w:rPr>
          <w:rFonts w:ascii="Times New Roman" w:eastAsia="SimSun" w:hAnsi="Times New Roman" w:cs="Times New Roman"/>
          <w:kern w:val="0"/>
          <w:sz w:val="24"/>
          <w:szCs w:val="24"/>
          <w14:ligatures w14:val="none"/>
        </w:rPr>
      </w:pPr>
      <w:r>
        <w:rPr>
          <w:noProof/>
        </w:rPr>
        <w:lastRenderedPageBreak/>
        <w:drawing>
          <wp:inline distT="0" distB="0" distL="0" distR="0" wp14:anchorId="5D53C967" wp14:editId="72626136">
            <wp:extent cx="5760720" cy="3335655"/>
            <wp:effectExtent l="0" t="0" r="0" b="0"/>
            <wp:docPr id="1395212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12252" name=""/>
                    <pic:cNvPicPr/>
                  </pic:nvPicPr>
                  <pic:blipFill>
                    <a:blip r:embed="rId6"/>
                    <a:stretch>
                      <a:fillRect/>
                    </a:stretch>
                  </pic:blipFill>
                  <pic:spPr>
                    <a:xfrm>
                      <a:off x="0" y="0"/>
                      <a:ext cx="5760720" cy="3335655"/>
                    </a:xfrm>
                    <a:prstGeom prst="rect">
                      <a:avLst/>
                    </a:prstGeom>
                  </pic:spPr>
                </pic:pic>
              </a:graphicData>
            </a:graphic>
          </wp:inline>
        </w:drawing>
      </w:r>
      <w:r w:rsidRPr="58A2AB3F">
        <w:rPr>
          <w:rFonts w:ascii="Times New Roman" w:hAnsi="Times New Roman" w:cs="Times New Roman"/>
          <w:b/>
          <w:bCs/>
          <w:sz w:val="18"/>
          <w:szCs w:val="18"/>
        </w:rPr>
        <w:t>Figure A</w:t>
      </w:r>
      <w:r>
        <w:rPr>
          <w:rFonts w:ascii="Times New Roman" w:hAnsi="Times New Roman" w:cs="Times New Roman"/>
          <w:b/>
          <w:bCs/>
          <w:sz w:val="18"/>
          <w:szCs w:val="18"/>
        </w:rPr>
        <w:t>3</w:t>
      </w:r>
      <w:r w:rsidRPr="58A2AB3F">
        <w:rPr>
          <w:rFonts w:ascii="Times New Roman" w:hAnsi="Times New Roman" w:cs="Times New Roman"/>
          <w:b/>
          <w:bCs/>
          <w:sz w:val="18"/>
          <w:szCs w:val="18"/>
        </w:rPr>
        <w:t>.</w:t>
      </w:r>
      <w:r w:rsidRPr="58A2AB3F">
        <w:rPr>
          <w:rFonts w:ascii="Times New Roman" w:hAnsi="Times New Roman" w:cs="Times New Roman"/>
          <w:sz w:val="18"/>
          <w:szCs w:val="18"/>
        </w:rPr>
        <w:t xml:space="preserve"> Model learning curve for training and validation datasets. The learning curve shows the root mean squared error (RMSE) for the training and validation datasets across boosting rounds of the XGBoost regression model used to predict national wheat production. RMSE decreases rapidly in the initial iterations and stabilises after approximately 40 boosting rounds, indicating convergence and minimal overfitting. The small gap between training and validation RMSE suggests that the model generalises well within the given data, supporting its robustness for estimating wheat production based on the selected predictors.</w:t>
      </w:r>
    </w:p>
    <w:p w14:paraId="4FCDADDA" w14:textId="77777777" w:rsidR="00C94409" w:rsidRDefault="00C94409" w:rsidP="00C94409">
      <w:pPr>
        <w:spacing w:before="100" w:beforeAutospacing="1" w:after="100" w:afterAutospacing="1" w:line="360" w:lineRule="auto"/>
        <w:rPr>
          <w:rFonts w:ascii="Times New Roman" w:eastAsia="SimSun" w:hAnsi="Times New Roman" w:cs="Times New Roman"/>
          <w:kern w:val="0"/>
          <w:sz w:val="24"/>
          <w:szCs w:val="24"/>
          <w14:ligatures w14:val="none"/>
        </w:rPr>
      </w:pPr>
      <w:r w:rsidRPr="00AD2BD8">
        <w:rPr>
          <w:rFonts w:ascii="Times New Roman" w:eastAsia="SimSun" w:hAnsi="Times New Roman" w:cs="Times New Roman"/>
          <w:noProof/>
          <w:kern w:val="0"/>
          <w:sz w:val="24"/>
          <w:szCs w:val="24"/>
          <w14:ligatures w14:val="none"/>
        </w:rPr>
        <w:drawing>
          <wp:inline distT="0" distB="0" distL="0" distR="0" wp14:anchorId="43384AEE" wp14:editId="619F5F1B">
            <wp:extent cx="5760720" cy="2749550"/>
            <wp:effectExtent l="0" t="0" r="0" b="0"/>
            <wp:docPr id="370669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69847" name=""/>
                    <pic:cNvPicPr/>
                  </pic:nvPicPr>
                  <pic:blipFill>
                    <a:blip r:embed="rId7"/>
                    <a:stretch>
                      <a:fillRect/>
                    </a:stretch>
                  </pic:blipFill>
                  <pic:spPr>
                    <a:xfrm>
                      <a:off x="0" y="0"/>
                      <a:ext cx="5760720" cy="2749550"/>
                    </a:xfrm>
                    <a:prstGeom prst="rect">
                      <a:avLst/>
                    </a:prstGeom>
                  </pic:spPr>
                </pic:pic>
              </a:graphicData>
            </a:graphic>
          </wp:inline>
        </w:drawing>
      </w:r>
    </w:p>
    <w:p w14:paraId="2093683A" w14:textId="77777777" w:rsidR="00C94409" w:rsidRDefault="00C94409" w:rsidP="00C94409">
      <w:pPr>
        <w:spacing w:before="100" w:beforeAutospacing="1" w:after="100" w:afterAutospacing="1" w:line="360" w:lineRule="auto"/>
        <w:rPr>
          <w:rFonts w:ascii="Times New Roman" w:hAnsi="Times New Roman" w:cs="Times New Roman"/>
          <w:kern w:val="0"/>
          <w:sz w:val="18"/>
          <w:szCs w:val="18"/>
          <w14:ligatures w14:val="none"/>
        </w:rPr>
      </w:pPr>
      <w:r w:rsidRPr="00A1209A">
        <w:rPr>
          <w:rFonts w:ascii="Times New Roman" w:eastAsia="SimSun" w:hAnsi="Times New Roman" w:cs="Times New Roman"/>
          <w:b/>
          <w:bCs/>
          <w:kern w:val="0"/>
          <w:sz w:val="18"/>
          <w:szCs w:val="18"/>
          <w14:ligatures w14:val="none"/>
        </w:rPr>
        <w:t>Figure A</w:t>
      </w:r>
      <w:r>
        <w:rPr>
          <w:rFonts w:ascii="Times New Roman" w:eastAsia="SimSun" w:hAnsi="Times New Roman" w:cs="Times New Roman"/>
          <w:b/>
          <w:bCs/>
          <w:kern w:val="0"/>
          <w:sz w:val="18"/>
          <w:szCs w:val="18"/>
          <w14:ligatures w14:val="none"/>
        </w:rPr>
        <w:t>4</w:t>
      </w:r>
      <w:r w:rsidRPr="00A1209A">
        <w:rPr>
          <w:rFonts w:ascii="Times New Roman" w:eastAsia="SimSun" w:hAnsi="Times New Roman" w:cs="Times New Roman"/>
          <w:b/>
          <w:bCs/>
          <w:kern w:val="0"/>
          <w:sz w:val="18"/>
          <w:szCs w:val="18"/>
          <w14:ligatures w14:val="none"/>
        </w:rPr>
        <w:t>.</w:t>
      </w:r>
      <w:r w:rsidRPr="008D7AEE">
        <w:rPr>
          <w:rFonts w:ascii="Times New Roman" w:eastAsia="SimSun" w:hAnsi="Times New Roman" w:cs="Times New Roman"/>
          <w:kern w:val="0"/>
          <w:sz w:val="18"/>
          <w:szCs w:val="18"/>
          <w14:ligatures w14:val="none"/>
        </w:rPr>
        <w:t xml:space="preserve">  Comparison of percentage changes in 2019 from MAGNET, AI, and observed data, with </w:t>
      </w:r>
      <w:r w:rsidRPr="008D7AEE">
        <w:rPr>
          <w:rFonts w:ascii="Times New Roman" w:hAnsi="Times New Roman" w:cs="Times New Roman"/>
          <w:kern w:val="0"/>
          <w:sz w:val="18"/>
          <w:szCs w:val="18"/>
          <w14:ligatures w14:val="none"/>
        </w:rPr>
        <w:t>outliers of large predicted changes.</w:t>
      </w:r>
    </w:p>
    <w:p w14:paraId="52123F5A" w14:textId="77777777" w:rsidR="00C94409" w:rsidRPr="008D7AEE" w:rsidRDefault="00C94409" w:rsidP="00C94409">
      <w:pPr>
        <w:spacing w:before="100" w:beforeAutospacing="1" w:after="100" w:afterAutospacing="1" w:line="360" w:lineRule="auto"/>
        <w:rPr>
          <w:rFonts w:ascii="Times New Roman" w:eastAsia="SimSun" w:hAnsi="Times New Roman" w:cs="Times New Roman"/>
          <w:kern w:val="0"/>
          <w:sz w:val="18"/>
          <w:szCs w:val="18"/>
          <w14:ligatures w14:val="none"/>
        </w:rPr>
      </w:pPr>
    </w:p>
    <w:p w14:paraId="21154813" w14:textId="77777777" w:rsidR="00C94409" w:rsidRDefault="00C94409" w:rsidP="00C94409">
      <w:pPr>
        <w:spacing w:after="0" w:line="360" w:lineRule="auto"/>
        <w:rPr>
          <w:rFonts w:ascii="Times New Roman" w:eastAsia="SimSun" w:hAnsi="Times New Roman"/>
          <w:kern w:val="0"/>
          <w:sz w:val="24"/>
          <w:szCs w:val="24"/>
          <w14:ligatures w14:val="none"/>
        </w:rPr>
      </w:pPr>
      <w:r>
        <w:rPr>
          <w:rFonts w:ascii="Times New Roman" w:eastAsia="SimSun" w:hAnsi="Times New Roman"/>
          <w:b/>
          <w:bCs/>
          <w:kern w:val="0"/>
          <w:sz w:val="24"/>
          <w:szCs w:val="24"/>
          <w14:ligatures w14:val="none"/>
        </w:rPr>
        <w:lastRenderedPageBreak/>
        <w:t>Table A</w:t>
      </w:r>
      <w:r>
        <w:rPr>
          <w:rFonts w:ascii="Times New Roman" w:eastAsia="SimSun" w:hAnsi="Times New Roman" w:hint="eastAsia"/>
          <w:b/>
          <w:bCs/>
          <w:kern w:val="0"/>
          <w:sz w:val="24"/>
          <w:szCs w:val="24"/>
          <w14:ligatures w14:val="none"/>
        </w:rPr>
        <w:t>2</w:t>
      </w:r>
      <w:r>
        <w:rPr>
          <w:rFonts w:ascii="Times New Roman" w:eastAsia="SimSun" w:hAnsi="Times New Roman"/>
          <w:b/>
          <w:bCs/>
          <w:kern w:val="0"/>
          <w:sz w:val="24"/>
          <w:szCs w:val="24"/>
          <w14:ligatures w14:val="none"/>
        </w:rPr>
        <w:t xml:space="preserve">. </w:t>
      </w:r>
      <w:r>
        <w:rPr>
          <w:rFonts w:ascii="Times New Roman" w:eastAsia="SimSun" w:hAnsi="Times New Roman"/>
          <w:kern w:val="0"/>
          <w:sz w:val="24"/>
          <w:szCs w:val="24"/>
          <w14:ligatures w14:val="none"/>
        </w:rPr>
        <w:t xml:space="preserve"> Shared socio-economic pathway (SSP) scenario description</w:t>
      </w:r>
      <w:r>
        <w:rPr>
          <w:rFonts w:ascii="Times New Roman" w:eastAsia="SimSun" w:hAnsi="Times New Roman" w:hint="eastAsia"/>
          <w:kern w:val="0"/>
          <w:sz w:val="24"/>
          <w:szCs w:val="24"/>
          <w14:ligatures w14:val="none"/>
        </w:rPr>
        <w:t>.</w:t>
      </w:r>
    </w:p>
    <w:tbl>
      <w:tblPr>
        <w:tblW w:w="4998" w:type="pct"/>
        <w:tblLook w:val="04A0" w:firstRow="1" w:lastRow="0" w:firstColumn="1" w:lastColumn="0" w:noHBand="0" w:noVBand="1"/>
      </w:tblPr>
      <w:tblGrid>
        <w:gridCol w:w="607"/>
        <w:gridCol w:w="2204"/>
        <w:gridCol w:w="6257"/>
      </w:tblGrid>
      <w:tr w:rsidR="00C94409" w14:paraId="00519C23" w14:textId="77777777" w:rsidTr="00A77C00">
        <w:trPr>
          <w:trHeight w:val="850"/>
        </w:trPr>
        <w:tc>
          <w:tcPr>
            <w:tcW w:w="335" w:type="pct"/>
            <w:tcBorders>
              <w:top w:val="single" w:sz="8" w:space="0" w:color="000000"/>
              <w:left w:val="nil"/>
              <w:bottom w:val="single" w:sz="8" w:space="0" w:color="000000"/>
              <w:right w:val="nil"/>
            </w:tcBorders>
            <w:shd w:val="clear" w:color="000000" w:fill="FFFFFF"/>
            <w:vAlign w:val="center"/>
          </w:tcPr>
          <w:p w14:paraId="487AB55A" w14:textId="77777777" w:rsidR="00C94409" w:rsidRDefault="00C94409" w:rsidP="00A77C00">
            <w:pPr>
              <w:textAlignment w:val="center"/>
              <w:rPr>
                <w:rFonts w:ascii="Times New Roman" w:eastAsia="sans-serif" w:hAnsi="Times New Roman" w:cs="Times New Roman"/>
                <w:b/>
                <w:bCs/>
                <w:color w:val="333333"/>
                <w:sz w:val="18"/>
                <w:szCs w:val="18"/>
              </w:rPr>
            </w:pPr>
            <w:r>
              <w:rPr>
                <w:rFonts w:ascii="Times New Roman" w:eastAsia="sans-serif" w:hAnsi="Times New Roman" w:cs="Times New Roman"/>
                <w:b/>
                <w:bCs/>
                <w:color w:val="333333"/>
                <w:kern w:val="0"/>
                <w:sz w:val="18"/>
                <w:szCs w:val="18"/>
                <w:lang w:bidi="ar"/>
              </w:rPr>
              <w:t>SSP</w:t>
            </w:r>
          </w:p>
        </w:tc>
        <w:tc>
          <w:tcPr>
            <w:tcW w:w="1215" w:type="pct"/>
            <w:tcBorders>
              <w:top w:val="single" w:sz="8" w:space="0" w:color="000000"/>
              <w:left w:val="nil"/>
              <w:bottom w:val="single" w:sz="8" w:space="0" w:color="000000"/>
              <w:right w:val="nil"/>
            </w:tcBorders>
            <w:shd w:val="clear" w:color="000000" w:fill="FFFFFF"/>
            <w:vAlign w:val="center"/>
          </w:tcPr>
          <w:p w14:paraId="268C1D3B" w14:textId="77777777" w:rsidR="00C94409" w:rsidRDefault="00C94409" w:rsidP="00A77C00">
            <w:pPr>
              <w:jc w:val="center"/>
              <w:textAlignment w:val="center"/>
              <w:rPr>
                <w:rFonts w:ascii="Times New Roman" w:eastAsia="sans-serif" w:hAnsi="Times New Roman" w:cs="Times New Roman"/>
                <w:b/>
                <w:bCs/>
                <w:color w:val="333333"/>
                <w:sz w:val="18"/>
                <w:szCs w:val="18"/>
              </w:rPr>
            </w:pPr>
            <w:r>
              <w:rPr>
                <w:rFonts w:ascii="Times New Roman" w:eastAsia="sans-serif" w:hAnsi="Times New Roman" w:cs="Times New Roman"/>
                <w:b/>
                <w:bCs/>
                <w:color w:val="333333"/>
                <w:kern w:val="0"/>
                <w:sz w:val="18"/>
                <w:szCs w:val="18"/>
                <w:lang w:bidi="ar"/>
              </w:rPr>
              <w:t>SSP name</w:t>
            </w:r>
          </w:p>
        </w:tc>
        <w:tc>
          <w:tcPr>
            <w:tcW w:w="3450" w:type="pct"/>
            <w:tcBorders>
              <w:top w:val="single" w:sz="8" w:space="0" w:color="000000"/>
              <w:left w:val="nil"/>
              <w:bottom w:val="single" w:sz="8" w:space="0" w:color="000000"/>
              <w:right w:val="nil"/>
            </w:tcBorders>
            <w:shd w:val="clear" w:color="000000" w:fill="FFFFFF"/>
            <w:vAlign w:val="center"/>
          </w:tcPr>
          <w:p w14:paraId="684A2A9C" w14:textId="77777777" w:rsidR="00C94409" w:rsidRPr="00A234D7" w:rsidRDefault="00C94409" w:rsidP="00A77C00">
            <w:pPr>
              <w:jc w:val="center"/>
              <w:textAlignment w:val="center"/>
              <w:rPr>
                <w:rFonts w:ascii="Times New Roman" w:hAnsi="Times New Roman" w:cs="Times New Roman"/>
                <w:b/>
                <w:bCs/>
                <w:color w:val="333333"/>
                <w:sz w:val="18"/>
                <w:szCs w:val="18"/>
              </w:rPr>
            </w:pPr>
            <w:r>
              <w:rPr>
                <w:rFonts w:ascii="Times New Roman" w:eastAsia="sans-serif" w:hAnsi="Times New Roman" w:cs="Times New Roman"/>
                <w:b/>
                <w:bCs/>
                <w:color w:val="333333"/>
                <w:kern w:val="0"/>
                <w:sz w:val="18"/>
                <w:szCs w:val="18"/>
                <w:lang w:bidi="ar"/>
              </w:rPr>
              <w:t>Description</w:t>
            </w:r>
            <w:r>
              <w:rPr>
                <w:rFonts w:ascii="Times New Roman" w:hAnsi="Times New Roman" w:cs="Times New Roman" w:hint="eastAsia"/>
                <w:b/>
                <w:bCs/>
                <w:color w:val="333333"/>
                <w:kern w:val="0"/>
                <w:sz w:val="18"/>
                <w:szCs w:val="18"/>
                <w:lang w:bidi="ar"/>
              </w:rPr>
              <w:t>*</w:t>
            </w:r>
          </w:p>
        </w:tc>
      </w:tr>
      <w:tr w:rsidR="00C94409" w14:paraId="351E97AF" w14:textId="77777777" w:rsidTr="00A77C00">
        <w:trPr>
          <w:trHeight w:val="850"/>
        </w:trPr>
        <w:tc>
          <w:tcPr>
            <w:tcW w:w="335" w:type="pct"/>
            <w:tcBorders>
              <w:top w:val="nil"/>
              <w:left w:val="nil"/>
              <w:bottom w:val="nil"/>
              <w:right w:val="nil"/>
            </w:tcBorders>
            <w:shd w:val="clear" w:color="000000" w:fill="FFFFFF"/>
            <w:vAlign w:val="center"/>
          </w:tcPr>
          <w:p w14:paraId="55DF88AF" w14:textId="77777777" w:rsidR="00C94409" w:rsidRDefault="00C94409" w:rsidP="00A77C00">
            <w:pPr>
              <w:textAlignment w:val="center"/>
              <w:rPr>
                <w:rFonts w:ascii="Times New Roman" w:eastAsia="sans-serif" w:hAnsi="Times New Roman" w:cs="Times New Roman"/>
                <w:color w:val="333333"/>
                <w:sz w:val="18"/>
                <w:szCs w:val="18"/>
              </w:rPr>
            </w:pPr>
            <w:r>
              <w:rPr>
                <w:rFonts w:ascii="Times New Roman" w:eastAsia="sans-serif" w:hAnsi="Times New Roman" w:cs="Times New Roman"/>
                <w:color w:val="333333"/>
                <w:kern w:val="0"/>
                <w:sz w:val="18"/>
                <w:szCs w:val="18"/>
                <w:lang w:bidi="ar"/>
              </w:rPr>
              <w:t>SSP1</w:t>
            </w:r>
          </w:p>
        </w:tc>
        <w:tc>
          <w:tcPr>
            <w:tcW w:w="1215" w:type="pct"/>
            <w:tcBorders>
              <w:top w:val="nil"/>
              <w:left w:val="nil"/>
              <w:bottom w:val="nil"/>
              <w:right w:val="nil"/>
            </w:tcBorders>
            <w:shd w:val="clear" w:color="000000" w:fill="FFFFFF"/>
            <w:vAlign w:val="center"/>
          </w:tcPr>
          <w:p w14:paraId="7B8B9496" w14:textId="77777777" w:rsidR="00C94409" w:rsidRDefault="00C94409" w:rsidP="00A77C00">
            <w:pPr>
              <w:jc w:val="center"/>
              <w:textAlignment w:val="center"/>
              <w:rPr>
                <w:rFonts w:ascii="Times New Roman" w:eastAsia="sans-serif" w:hAnsi="Times New Roman" w:cs="Times New Roman"/>
                <w:color w:val="333333"/>
                <w:sz w:val="18"/>
                <w:szCs w:val="18"/>
              </w:rPr>
            </w:pPr>
            <w:r>
              <w:rPr>
                <w:rFonts w:ascii="Times New Roman" w:eastAsia="sans-serif" w:hAnsi="Times New Roman" w:cs="Times New Roman"/>
                <w:color w:val="333333"/>
                <w:kern w:val="0"/>
                <w:sz w:val="18"/>
                <w:szCs w:val="18"/>
                <w:lang w:bidi="ar"/>
              </w:rPr>
              <w:t>Sustainability</w:t>
            </w:r>
          </w:p>
        </w:tc>
        <w:tc>
          <w:tcPr>
            <w:tcW w:w="3450" w:type="pct"/>
            <w:tcBorders>
              <w:top w:val="nil"/>
              <w:left w:val="nil"/>
              <w:bottom w:val="nil"/>
              <w:right w:val="nil"/>
            </w:tcBorders>
            <w:shd w:val="clear" w:color="000000" w:fill="FFFFFF"/>
            <w:vAlign w:val="center"/>
          </w:tcPr>
          <w:p w14:paraId="34D0461D" w14:textId="77777777" w:rsidR="00C94409" w:rsidRDefault="00C94409" w:rsidP="00A77C00">
            <w:pPr>
              <w:textAlignment w:val="center"/>
              <w:rPr>
                <w:rFonts w:ascii="Times New Roman" w:eastAsia="sans-serif" w:hAnsi="Times New Roman" w:cs="Times New Roman"/>
                <w:color w:val="333333"/>
                <w:sz w:val="18"/>
                <w:szCs w:val="18"/>
              </w:rPr>
            </w:pPr>
            <w:r>
              <w:rPr>
                <w:rFonts w:ascii="Times New Roman" w:eastAsia="sans-serif" w:hAnsi="Times New Roman" w:cs="Times New Roman"/>
                <w:color w:val="333333"/>
                <w:kern w:val="0"/>
                <w:sz w:val="18"/>
                <w:szCs w:val="18"/>
                <w:lang w:bidi="ar"/>
              </w:rPr>
              <w:t>A world that makes relatively good progress towards sustainability, with sustained efforts to achieve development goals, while reducing resource intensity and fossil fuel dependency. Elements that contribute to this are an open globalised economy, rapid development of low-income countries, a reduction of inequality (globally and within economies), rapid technology development, low population growth and a high level of awareness regarding environmental degradation. More environmental awareness reduces food waste, the appetite for meat as well as making land use regulation stricter.</w:t>
            </w:r>
          </w:p>
        </w:tc>
      </w:tr>
      <w:tr w:rsidR="00C94409" w14:paraId="0BFD2625" w14:textId="77777777" w:rsidTr="00A77C00">
        <w:trPr>
          <w:trHeight w:val="850"/>
        </w:trPr>
        <w:tc>
          <w:tcPr>
            <w:tcW w:w="335" w:type="pct"/>
            <w:tcBorders>
              <w:top w:val="nil"/>
              <w:left w:val="nil"/>
              <w:bottom w:val="nil"/>
              <w:right w:val="nil"/>
            </w:tcBorders>
            <w:shd w:val="clear" w:color="000000" w:fill="FFFFFF"/>
            <w:vAlign w:val="center"/>
          </w:tcPr>
          <w:p w14:paraId="71ADE38C" w14:textId="77777777" w:rsidR="00C94409" w:rsidRDefault="00C94409" w:rsidP="00A77C00">
            <w:pPr>
              <w:textAlignment w:val="center"/>
              <w:rPr>
                <w:rFonts w:ascii="Times New Roman" w:eastAsia="sans-serif" w:hAnsi="Times New Roman" w:cs="Times New Roman"/>
                <w:color w:val="333333"/>
                <w:sz w:val="18"/>
                <w:szCs w:val="18"/>
              </w:rPr>
            </w:pPr>
            <w:r>
              <w:rPr>
                <w:rFonts w:ascii="Times New Roman" w:eastAsia="sans-serif" w:hAnsi="Times New Roman" w:cs="Times New Roman"/>
                <w:color w:val="333333"/>
                <w:kern w:val="0"/>
                <w:sz w:val="18"/>
                <w:szCs w:val="18"/>
                <w:lang w:bidi="ar"/>
              </w:rPr>
              <w:t>SSP2</w:t>
            </w:r>
          </w:p>
        </w:tc>
        <w:tc>
          <w:tcPr>
            <w:tcW w:w="1215" w:type="pct"/>
            <w:tcBorders>
              <w:top w:val="nil"/>
              <w:left w:val="nil"/>
              <w:bottom w:val="nil"/>
              <w:right w:val="nil"/>
            </w:tcBorders>
            <w:shd w:val="clear" w:color="000000" w:fill="FFFFFF"/>
            <w:vAlign w:val="center"/>
          </w:tcPr>
          <w:p w14:paraId="36FF5CEF" w14:textId="77777777" w:rsidR="00C94409" w:rsidRDefault="00C94409" w:rsidP="00A77C00">
            <w:pPr>
              <w:jc w:val="center"/>
              <w:textAlignment w:val="center"/>
              <w:rPr>
                <w:rFonts w:ascii="Times New Roman" w:eastAsia="sans-serif" w:hAnsi="Times New Roman" w:cs="Times New Roman"/>
                <w:color w:val="333333"/>
                <w:sz w:val="18"/>
                <w:szCs w:val="18"/>
              </w:rPr>
            </w:pPr>
            <w:r>
              <w:rPr>
                <w:rFonts w:ascii="Times New Roman" w:eastAsia="sans-serif" w:hAnsi="Times New Roman" w:cs="Times New Roman"/>
                <w:color w:val="333333"/>
                <w:kern w:val="0"/>
                <w:sz w:val="18"/>
                <w:szCs w:val="18"/>
                <w:lang w:bidi="ar"/>
              </w:rPr>
              <w:t>Middle of the Road</w:t>
            </w:r>
          </w:p>
        </w:tc>
        <w:tc>
          <w:tcPr>
            <w:tcW w:w="3450" w:type="pct"/>
            <w:tcBorders>
              <w:top w:val="nil"/>
              <w:left w:val="nil"/>
              <w:bottom w:val="nil"/>
              <w:right w:val="nil"/>
            </w:tcBorders>
            <w:shd w:val="clear" w:color="000000" w:fill="FFFFFF"/>
            <w:vAlign w:val="center"/>
          </w:tcPr>
          <w:p w14:paraId="7D9D0607" w14:textId="77777777" w:rsidR="00C94409" w:rsidRDefault="00C94409" w:rsidP="00A77C00">
            <w:pPr>
              <w:textAlignment w:val="center"/>
              <w:rPr>
                <w:rFonts w:ascii="Times New Roman" w:eastAsia="sans-serif" w:hAnsi="Times New Roman" w:cs="Times New Roman"/>
                <w:color w:val="333333"/>
                <w:sz w:val="18"/>
                <w:szCs w:val="18"/>
              </w:rPr>
            </w:pPr>
            <w:r>
              <w:rPr>
                <w:rFonts w:ascii="Times New Roman" w:eastAsia="sans-serif" w:hAnsi="Times New Roman" w:cs="Times New Roman"/>
                <w:color w:val="333333"/>
                <w:kern w:val="0"/>
                <w:sz w:val="18"/>
                <w:szCs w:val="18"/>
                <w:lang w:bidi="ar"/>
              </w:rPr>
              <w:t>A business as usual scenario. In this world, trends typical of recent decades continue, with some progress towards achieving development goals, reductions in resource and energy intensity at historical rates, and slowly decreasing fossil fuel dependency.</w:t>
            </w:r>
          </w:p>
        </w:tc>
      </w:tr>
      <w:tr w:rsidR="00C94409" w14:paraId="4D4CC328" w14:textId="77777777" w:rsidTr="00A77C00">
        <w:trPr>
          <w:trHeight w:val="850"/>
        </w:trPr>
        <w:tc>
          <w:tcPr>
            <w:tcW w:w="335" w:type="pct"/>
            <w:tcBorders>
              <w:top w:val="nil"/>
              <w:left w:val="nil"/>
              <w:bottom w:val="nil"/>
              <w:right w:val="nil"/>
            </w:tcBorders>
            <w:shd w:val="clear" w:color="000000" w:fill="FFFFFF"/>
            <w:vAlign w:val="center"/>
          </w:tcPr>
          <w:p w14:paraId="09AD06A0" w14:textId="77777777" w:rsidR="00C94409" w:rsidRDefault="00C94409" w:rsidP="00A77C00">
            <w:pPr>
              <w:textAlignment w:val="center"/>
              <w:rPr>
                <w:rFonts w:ascii="Times New Roman" w:eastAsia="sans-serif" w:hAnsi="Times New Roman" w:cs="Times New Roman"/>
                <w:color w:val="333333"/>
                <w:sz w:val="18"/>
                <w:szCs w:val="18"/>
              </w:rPr>
            </w:pPr>
            <w:r>
              <w:rPr>
                <w:rFonts w:ascii="Times New Roman" w:eastAsia="sans-serif" w:hAnsi="Times New Roman" w:cs="Times New Roman"/>
                <w:color w:val="333333"/>
                <w:kern w:val="0"/>
                <w:sz w:val="18"/>
                <w:szCs w:val="18"/>
                <w:lang w:bidi="ar"/>
              </w:rPr>
              <w:t>SSP3</w:t>
            </w:r>
          </w:p>
        </w:tc>
        <w:tc>
          <w:tcPr>
            <w:tcW w:w="1215" w:type="pct"/>
            <w:tcBorders>
              <w:top w:val="nil"/>
              <w:left w:val="nil"/>
              <w:bottom w:val="nil"/>
              <w:right w:val="nil"/>
            </w:tcBorders>
            <w:shd w:val="clear" w:color="000000" w:fill="FFFFFF"/>
            <w:vAlign w:val="center"/>
          </w:tcPr>
          <w:p w14:paraId="4DE3EFE8" w14:textId="77777777" w:rsidR="00C94409" w:rsidRDefault="00C94409" w:rsidP="00A77C00">
            <w:pPr>
              <w:jc w:val="center"/>
              <w:textAlignment w:val="center"/>
              <w:rPr>
                <w:rFonts w:ascii="Times New Roman" w:eastAsia="sans-serif" w:hAnsi="Times New Roman" w:cs="Times New Roman"/>
                <w:color w:val="333333"/>
                <w:sz w:val="18"/>
                <w:szCs w:val="18"/>
              </w:rPr>
            </w:pPr>
            <w:r>
              <w:rPr>
                <w:rFonts w:ascii="Times New Roman" w:eastAsia="sans-serif" w:hAnsi="Times New Roman" w:cs="Times New Roman"/>
                <w:color w:val="333333"/>
                <w:kern w:val="0"/>
                <w:sz w:val="18"/>
                <w:szCs w:val="18"/>
                <w:lang w:bidi="ar"/>
              </w:rPr>
              <w:t>Regional Rivalry</w:t>
            </w:r>
          </w:p>
        </w:tc>
        <w:tc>
          <w:tcPr>
            <w:tcW w:w="3450" w:type="pct"/>
            <w:tcBorders>
              <w:top w:val="nil"/>
              <w:left w:val="nil"/>
              <w:bottom w:val="nil"/>
              <w:right w:val="nil"/>
            </w:tcBorders>
            <w:shd w:val="clear" w:color="000000" w:fill="FFFFFF"/>
            <w:vAlign w:val="center"/>
          </w:tcPr>
          <w:p w14:paraId="3C777192" w14:textId="77777777" w:rsidR="00C94409" w:rsidRDefault="00C94409" w:rsidP="00A77C00">
            <w:pPr>
              <w:textAlignment w:val="center"/>
              <w:rPr>
                <w:rFonts w:ascii="Times New Roman" w:eastAsia="sans-serif" w:hAnsi="Times New Roman" w:cs="Times New Roman"/>
                <w:color w:val="333333"/>
                <w:sz w:val="18"/>
                <w:szCs w:val="18"/>
              </w:rPr>
            </w:pPr>
            <w:r>
              <w:rPr>
                <w:rFonts w:ascii="Times New Roman" w:eastAsia="sans-serif" w:hAnsi="Times New Roman" w:cs="Times New Roman"/>
                <w:color w:val="333333"/>
                <w:kern w:val="0"/>
                <w:sz w:val="18"/>
                <w:szCs w:val="18"/>
                <w:lang w:bidi="ar"/>
              </w:rPr>
              <w:t>A world which is separated into regions characterised by extreme poverty, pockets of moderate wealth and a bulk of countries that struggle to maintain living standards for a strongly growing population. Regional blocks of countries have re-emerged with little coordination between them. Countries focus on achieving energy and food security goals within their own region. The world has deglobalised, and international trade, including energy resource and agricultural markets, is severely restricted. Population growth in this scenario is high as a result of limited improvements in education and low economic growth.</w:t>
            </w:r>
          </w:p>
        </w:tc>
      </w:tr>
      <w:tr w:rsidR="00C94409" w14:paraId="037A0426" w14:textId="77777777" w:rsidTr="00A77C00">
        <w:trPr>
          <w:trHeight w:val="850"/>
        </w:trPr>
        <w:tc>
          <w:tcPr>
            <w:tcW w:w="335" w:type="pct"/>
            <w:tcBorders>
              <w:top w:val="nil"/>
              <w:left w:val="nil"/>
              <w:bottom w:val="single" w:sz="8" w:space="0" w:color="000000"/>
              <w:right w:val="nil"/>
            </w:tcBorders>
            <w:shd w:val="clear" w:color="000000" w:fill="FFFFFF"/>
            <w:vAlign w:val="center"/>
          </w:tcPr>
          <w:p w14:paraId="14E7BC90" w14:textId="77777777" w:rsidR="00C94409" w:rsidRDefault="00C94409" w:rsidP="00A77C00">
            <w:pPr>
              <w:textAlignment w:val="center"/>
              <w:rPr>
                <w:rFonts w:ascii="Times New Roman" w:eastAsia="sans-serif" w:hAnsi="Times New Roman" w:cs="Times New Roman"/>
                <w:color w:val="333333"/>
                <w:sz w:val="18"/>
                <w:szCs w:val="18"/>
              </w:rPr>
            </w:pPr>
            <w:r>
              <w:rPr>
                <w:rFonts w:ascii="Times New Roman" w:eastAsia="sans-serif" w:hAnsi="Times New Roman" w:cs="Times New Roman"/>
                <w:color w:val="333333"/>
                <w:kern w:val="0"/>
                <w:sz w:val="18"/>
                <w:szCs w:val="18"/>
                <w:lang w:bidi="ar"/>
              </w:rPr>
              <w:t>SSP5</w:t>
            </w:r>
          </w:p>
        </w:tc>
        <w:tc>
          <w:tcPr>
            <w:tcW w:w="1215" w:type="pct"/>
            <w:tcBorders>
              <w:top w:val="nil"/>
              <w:left w:val="nil"/>
              <w:bottom w:val="single" w:sz="8" w:space="0" w:color="000000"/>
              <w:right w:val="nil"/>
            </w:tcBorders>
            <w:shd w:val="clear" w:color="000000" w:fill="FFFFFF"/>
            <w:vAlign w:val="center"/>
          </w:tcPr>
          <w:p w14:paraId="19398A6D" w14:textId="77777777" w:rsidR="00C94409" w:rsidRDefault="00C94409" w:rsidP="00A77C00">
            <w:pPr>
              <w:jc w:val="center"/>
              <w:textAlignment w:val="center"/>
              <w:rPr>
                <w:rFonts w:ascii="Times New Roman" w:eastAsia="sans-serif" w:hAnsi="Times New Roman" w:cs="Times New Roman"/>
                <w:color w:val="333333"/>
                <w:sz w:val="18"/>
                <w:szCs w:val="18"/>
              </w:rPr>
            </w:pPr>
            <w:r>
              <w:rPr>
                <w:rFonts w:ascii="Times New Roman" w:eastAsia="sans-serif" w:hAnsi="Times New Roman" w:cs="Times New Roman"/>
                <w:color w:val="333333"/>
                <w:kern w:val="0"/>
                <w:sz w:val="18"/>
                <w:szCs w:val="18"/>
                <w:lang w:bidi="ar"/>
              </w:rPr>
              <w:t>Fossil-fueled development</w:t>
            </w:r>
          </w:p>
        </w:tc>
        <w:tc>
          <w:tcPr>
            <w:tcW w:w="3450" w:type="pct"/>
            <w:tcBorders>
              <w:top w:val="nil"/>
              <w:left w:val="nil"/>
              <w:bottom w:val="single" w:sz="8" w:space="0" w:color="000000"/>
              <w:right w:val="nil"/>
            </w:tcBorders>
            <w:shd w:val="clear" w:color="000000" w:fill="FFFFFF"/>
            <w:vAlign w:val="center"/>
          </w:tcPr>
          <w:p w14:paraId="4F802E38" w14:textId="77777777" w:rsidR="00C94409" w:rsidRDefault="00C94409" w:rsidP="00A77C00">
            <w:pPr>
              <w:textAlignment w:val="center"/>
              <w:rPr>
                <w:rFonts w:ascii="Times New Roman" w:eastAsia="sans-serif" w:hAnsi="Times New Roman" w:cs="Times New Roman"/>
                <w:color w:val="333333"/>
                <w:sz w:val="18"/>
                <w:szCs w:val="18"/>
              </w:rPr>
            </w:pPr>
            <w:r>
              <w:rPr>
                <w:rFonts w:ascii="Times New Roman" w:eastAsia="sans-serif" w:hAnsi="Times New Roman" w:cs="Times New Roman"/>
                <w:color w:val="333333"/>
                <w:kern w:val="0"/>
                <w:sz w:val="18"/>
                <w:szCs w:val="18"/>
                <w:lang w:bidi="ar"/>
              </w:rPr>
              <w:t>This world stresses conventional development oriented toward economic growth as the solution to social and economic problems through the pursuit of enlightened self-interest. The preference for rapid conventional development leads to an energy system dominated by fossil fuels, resulting in high GHG emissions and challenges to mitigation. Efficiency is high in agriculture but also demand is high with a high preference for meat. Lower socio-environmental challenges to adaptation result from attainment of human development goals, robust economic growth, highly engineered infrastructure with redundancy to minimise disruptions from extreme events, and highly managed ecosystems.</w:t>
            </w:r>
          </w:p>
        </w:tc>
      </w:tr>
    </w:tbl>
    <w:p w14:paraId="7AFDC532" w14:textId="77777777" w:rsidR="00C94409" w:rsidRDefault="00C94409" w:rsidP="00C94409">
      <w:pPr>
        <w:spacing w:after="0" w:line="360" w:lineRule="auto"/>
        <w:rPr>
          <w:rFonts w:ascii="Times New Roman" w:eastAsia="SimSun" w:hAnsi="Times New Roman"/>
          <w:kern w:val="0"/>
          <w:sz w:val="18"/>
          <w:szCs w:val="18"/>
          <w14:ligatures w14:val="none"/>
        </w:rPr>
      </w:pPr>
      <w:r>
        <w:rPr>
          <w:rFonts w:ascii="Times New Roman" w:eastAsia="SimSun" w:hAnsi="Times New Roman" w:hint="eastAsia"/>
          <w:kern w:val="0"/>
          <w:sz w:val="24"/>
          <w:szCs w:val="24"/>
          <w14:ligatures w14:val="none"/>
        </w:rPr>
        <w:t>*</w:t>
      </w:r>
      <w:r w:rsidRPr="00A234D7">
        <w:t xml:space="preserve"> </w:t>
      </w:r>
      <w:r w:rsidRPr="00A234D7">
        <w:rPr>
          <w:rFonts w:ascii="Times New Roman" w:eastAsia="SimSun" w:hAnsi="Times New Roman"/>
          <w:kern w:val="0"/>
          <w:sz w:val="18"/>
          <w:szCs w:val="18"/>
          <w14:ligatures w14:val="none"/>
        </w:rPr>
        <w:fldChar w:fldCharType="begin"/>
      </w:r>
      <w:r w:rsidRPr="00A234D7">
        <w:rPr>
          <w:rFonts w:ascii="Times New Roman" w:eastAsia="SimSun" w:hAnsi="Times New Roman"/>
          <w:kern w:val="0"/>
          <w:sz w:val="18"/>
          <w:szCs w:val="18"/>
          <w14:ligatures w14:val="none"/>
        </w:rPr>
        <w:instrText xml:space="preserve"> ADDIN EN.CITE &lt;EndNote&gt;&lt;Cite&gt;&lt;Author&gt;Riahi&lt;/Author&gt;&lt;Year&gt;2017&lt;/Year&gt;&lt;RecNum&gt;160&lt;/RecNum&gt;&lt;DisplayText&gt;(Riahi et al., 2017)&lt;/DisplayText&gt;&lt;record&gt;&lt;rec-number&gt;160&lt;/rec-number&gt;&lt;foreign-keys&gt;&lt;key app="EN" db-id="t092220p9wzpede9venx0pauaw5zzw20a0t9" timestamp="1750328003"&gt;160&lt;/key&gt;&lt;/foreign-keys&gt;&lt;ref-type name="Journal Article"&gt;17&lt;/ref-type&gt;&lt;contributors&gt;&lt;authors&gt;&lt;author&gt;Riahi, Keywan&lt;/author&gt;&lt;author&gt;Van Vuuren, Detlef P&lt;/author&gt;&lt;author&gt;Kriegler, Elmar&lt;/author&gt;&lt;author&gt;Edmonds, Jae&lt;/author&gt;&lt;author&gt;O’neill, Brian C&lt;/author&gt;&lt;author&gt;Fujimori, Shinichiro&lt;/author&gt;&lt;author&gt;Bauer, Nico&lt;/author&gt;&lt;author&gt;Calvin, Katherine&lt;/author&gt;&lt;author&gt;Dellink, Rob&lt;/author&gt;&lt;author&gt;Fricko, Oliver&lt;/author&gt;&lt;/authors&gt;&lt;/contributors&gt;&lt;titles&gt;&lt;title&gt;The Shared Socioeconomic Pathways and their energy, land use, and greenhouse gas emissions implications: An overview&lt;/title&gt;&lt;secondary-title&gt;Global environmental change&lt;/secondary-title&gt;&lt;/titles&gt;&lt;periodical&gt;&lt;full-title&gt;Global Environmental Change&lt;/full-title&gt;&lt;/periodical&gt;&lt;pages&gt;153-168&lt;/pages&gt;&lt;volume&gt;42&lt;/volume&gt;&lt;dates&gt;&lt;year&gt;2017&lt;/year&gt;&lt;/dates&gt;&lt;isbn&gt;0959-3780&lt;/isbn&gt;&lt;urls&gt;&lt;/urls&gt;&lt;/record&gt;&lt;/Cite&gt;&lt;/EndNote&gt;</w:instrText>
      </w:r>
      <w:r w:rsidRPr="00A234D7">
        <w:rPr>
          <w:rFonts w:ascii="Times New Roman" w:eastAsia="SimSun" w:hAnsi="Times New Roman"/>
          <w:kern w:val="0"/>
          <w:sz w:val="18"/>
          <w:szCs w:val="18"/>
          <w14:ligatures w14:val="none"/>
        </w:rPr>
        <w:fldChar w:fldCharType="separate"/>
      </w:r>
      <w:r w:rsidRPr="00A234D7">
        <w:rPr>
          <w:rFonts w:ascii="Times New Roman" w:eastAsia="SimSun" w:hAnsi="Times New Roman"/>
          <w:noProof/>
          <w:kern w:val="0"/>
          <w:sz w:val="18"/>
          <w:szCs w:val="18"/>
          <w14:ligatures w14:val="none"/>
        </w:rPr>
        <w:t>(Riahi et al., 2017)</w:t>
      </w:r>
      <w:r w:rsidRPr="00A234D7">
        <w:rPr>
          <w:rFonts w:ascii="Times New Roman" w:eastAsia="SimSun" w:hAnsi="Times New Roman"/>
          <w:kern w:val="0"/>
          <w:sz w:val="18"/>
          <w:szCs w:val="18"/>
          <w14:ligatures w14:val="none"/>
        </w:rPr>
        <w:fldChar w:fldCharType="end"/>
      </w:r>
    </w:p>
    <w:p w14:paraId="7483137C" w14:textId="77777777" w:rsidR="00C94409" w:rsidRDefault="00C94409" w:rsidP="00C94409">
      <w:pPr>
        <w:spacing w:after="0" w:line="360" w:lineRule="auto"/>
        <w:rPr>
          <w:rFonts w:ascii="Times New Roman" w:eastAsia="SimSun" w:hAnsi="Times New Roman"/>
          <w:kern w:val="0"/>
          <w:sz w:val="24"/>
          <w:szCs w:val="24"/>
          <w14:ligatures w14:val="none"/>
        </w:rPr>
      </w:pPr>
    </w:p>
    <w:p w14:paraId="638F73DB" w14:textId="77777777" w:rsidR="00C94409" w:rsidRDefault="00C94409" w:rsidP="00C94409">
      <w:pPr>
        <w:spacing w:after="0" w:line="360" w:lineRule="auto"/>
        <w:rPr>
          <w:rFonts w:ascii="Times New Roman" w:eastAsia="SimSun" w:hAnsi="Times New Roman"/>
          <w:b/>
          <w:bCs/>
          <w:kern w:val="0"/>
          <w:sz w:val="24"/>
          <w:szCs w:val="24"/>
          <w14:ligatures w14:val="none"/>
        </w:rPr>
      </w:pPr>
    </w:p>
    <w:p w14:paraId="115C837C" w14:textId="77777777" w:rsidR="00C94409" w:rsidRDefault="00C94409" w:rsidP="00C94409">
      <w:pPr>
        <w:spacing w:after="0" w:line="360" w:lineRule="auto"/>
        <w:rPr>
          <w:rFonts w:ascii="Times New Roman" w:eastAsia="SimSun" w:hAnsi="Times New Roman"/>
          <w:b/>
          <w:bCs/>
          <w:kern w:val="0"/>
          <w:sz w:val="24"/>
          <w:szCs w:val="24"/>
          <w14:ligatures w14:val="none"/>
        </w:rPr>
      </w:pPr>
    </w:p>
    <w:p w14:paraId="252CE73E" w14:textId="77777777" w:rsidR="00C94409" w:rsidRDefault="00C94409" w:rsidP="00C94409">
      <w:pPr>
        <w:spacing w:after="0" w:line="360" w:lineRule="auto"/>
        <w:rPr>
          <w:rFonts w:ascii="Times New Roman" w:eastAsia="SimSun" w:hAnsi="Times New Roman"/>
          <w:kern w:val="0"/>
          <w:sz w:val="24"/>
          <w:szCs w:val="24"/>
          <w14:ligatures w14:val="none"/>
        </w:rPr>
      </w:pPr>
      <w:r>
        <w:rPr>
          <w:rFonts w:ascii="Times New Roman" w:eastAsia="SimSun" w:hAnsi="Times New Roman"/>
          <w:b/>
          <w:bCs/>
          <w:kern w:val="0"/>
          <w:sz w:val="24"/>
          <w:szCs w:val="24"/>
          <w14:ligatures w14:val="none"/>
        </w:rPr>
        <w:t>Table A</w:t>
      </w:r>
      <w:r>
        <w:rPr>
          <w:rFonts w:ascii="Times New Roman" w:eastAsia="SimSun" w:hAnsi="Times New Roman" w:hint="eastAsia"/>
          <w:b/>
          <w:bCs/>
          <w:kern w:val="0"/>
          <w:sz w:val="24"/>
          <w:szCs w:val="24"/>
          <w14:ligatures w14:val="none"/>
        </w:rPr>
        <w:t>3</w:t>
      </w:r>
      <w:r>
        <w:rPr>
          <w:rFonts w:ascii="Times New Roman" w:eastAsia="SimSun" w:hAnsi="Times New Roman"/>
          <w:b/>
          <w:bCs/>
          <w:kern w:val="0"/>
          <w:sz w:val="24"/>
          <w:szCs w:val="24"/>
          <w14:ligatures w14:val="none"/>
        </w:rPr>
        <w:t>.</w:t>
      </w:r>
      <w:r>
        <w:rPr>
          <w:rFonts w:ascii="Times New Roman" w:eastAsia="SimSun" w:hAnsi="Times New Roman"/>
          <w:kern w:val="0"/>
          <w:sz w:val="24"/>
          <w:szCs w:val="24"/>
          <w14:ligatures w14:val="none"/>
        </w:rPr>
        <w:t xml:space="preserve"> Scenario Assumptions for MAGNET–AI Wheat Production Analysis</w:t>
      </w:r>
    </w:p>
    <w:tbl>
      <w:tblPr>
        <w:tblW w:w="4167" w:type="pct"/>
        <w:tblLook w:val="04A0" w:firstRow="1" w:lastRow="0" w:firstColumn="1" w:lastColumn="0" w:noHBand="0" w:noVBand="1"/>
      </w:tblPr>
      <w:tblGrid>
        <w:gridCol w:w="1513"/>
        <w:gridCol w:w="1512"/>
        <w:gridCol w:w="1512"/>
        <w:gridCol w:w="1512"/>
        <w:gridCol w:w="1512"/>
      </w:tblGrid>
      <w:tr w:rsidR="00C94409" w14:paraId="30CECC0F" w14:textId="77777777" w:rsidTr="00A77C00">
        <w:trPr>
          <w:trHeight w:val="1600"/>
        </w:trPr>
        <w:tc>
          <w:tcPr>
            <w:tcW w:w="1000" w:type="pct"/>
            <w:tcBorders>
              <w:top w:val="single" w:sz="4" w:space="0" w:color="auto"/>
              <w:left w:val="nil"/>
              <w:bottom w:val="single" w:sz="4" w:space="0" w:color="auto"/>
              <w:right w:val="nil"/>
            </w:tcBorders>
            <w:vAlign w:val="center"/>
          </w:tcPr>
          <w:p w14:paraId="46AFFC08" w14:textId="77777777" w:rsidR="00C94409" w:rsidRDefault="00C94409" w:rsidP="00A77C00">
            <w:pPr>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kern w:val="0"/>
                <w:sz w:val="18"/>
                <w:szCs w:val="18"/>
                <w:lang w:bidi="ar"/>
              </w:rPr>
              <w:t>Parameters</w:t>
            </w:r>
          </w:p>
        </w:tc>
        <w:tc>
          <w:tcPr>
            <w:tcW w:w="1000" w:type="pct"/>
            <w:tcBorders>
              <w:top w:val="single" w:sz="4" w:space="0" w:color="auto"/>
              <w:left w:val="nil"/>
              <w:bottom w:val="single" w:sz="4" w:space="0" w:color="auto"/>
              <w:right w:val="nil"/>
            </w:tcBorders>
            <w:vAlign w:val="center"/>
          </w:tcPr>
          <w:p w14:paraId="686495D2" w14:textId="77777777" w:rsidR="00C94409" w:rsidRDefault="00C94409" w:rsidP="00A77C00">
            <w:pPr>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kern w:val="0"/>
                <w:sz w:val="18"/>
                <w:szCs w:val="18"/>
                <w:lang w:bidi="ar"/>
              </w:rPr>
              <w:t>SSP1 — Sustainability (Green Road)</w:t>
            </w:r>
          </w:p>
        </w:tc>
        <w:tc>
          <w:tcPr>
            <w:tcW w:w="1000" w:type="pct"/>
            <w:tcBorders>
              <w:top w:val="single" w:sz="4" w:space="0" w:color="auto"/>
              <w:left w:val="nil"/>
              <w:bottom w:val="single" w:sz="4" w:space="0" w:color="auto"/>
              <w:right w:val="nil"/>
            </w:tcBorders>
            <w:vAlign w:val="center"/>
          </w:tcPr>
          <w:p w14:paraId="75D48E19" w14:textId="77777777" w:rsidR="00C94409" w:rsidRDefault="00C94409" w:rsidP="00A77C00">
            <w:pPr>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kern w:val="0"/>
                <w:sz w:val="18"/>
                <w:szCs w:val="18"/>
                <w:lang w:bidi="ar"/>
              </w:rPr>
              <w:t>SSP2 — Middle of the Road</w:t>
            </w:r>
          </w:p>
        </w:tc>
        <w:tc>
          <w:tcPr>
            <w:tcW w:w="1000" w:type="pct"/>
            <w:tcBorders>
              <w:top w:val="single" w:sz="4" w:space="0" w:color="auto"/>
              <w:left w:val="nil"/>
              <w:bottom w:val="single" w:sz="4" w:space="0" w:color="auto"/>
              <w:right w:val="nil"/>
            </w:tcBorders>
            <w:vAlign w:val="center"/>
          </w:tcPr>
          <w:p w14:paraId="765C5C1A" w14:textId="77777777" w:rsidR="00C94409" w:rsidRDefault="00C94409" w:rsidP="00A77C00">
            <w:pPr>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kern w:val="0"/>
                <w:sz w:val="18"/>
                <w:szCs w:val="18"/>
                <w:lang w:bidi="ar"/>
              </w:rPr>
              <w:t>SSP3 — Regional Rivalry (Rocky Road)</w:t>
            </w:r>
          </w:p>
        </w:tc>
        <w:tc>
          <w:tcPr>
            <w:tcW w:w="1000" w:type="pct"/>
            <w:tcBorders>
              <w:top w:val="single" w:sz="4" w:space="0" w:color="auto"/>
              <w:left w:val="nil"/>
              <w:bottom w:val="single" w:sz="4" w:space="0" w:color="auto"/>
              <w:right w:val="nil"/>
            </w:tcBorders>
            <w:vAlign w:val="center"/>
          </w:tcPr>
          <w:p w14:paraId="50463792" w14:textId="77777777" w:rsidR="00C94409" w:rsidRDefault="00C94409" w:rsidP="00A77C00">
            <w:pPr>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kern w:val="0"/>
                <w:sz w:val="18"/>
                <w:szCs w:val="18"/>
                <w:lang w:bidi="ar"/>
              </w:rPr>
              <w:t>SSP5 — Fossil-fueled Development (Taking the Highway)</w:t>
            </w:r>
          </w:p>
        </w:tc>
      </w:tr>
      <w:tr w:rsidR="00C94409" w14:paraId="7DACC8EF" w14:textId="77777777" w:rsidTr="00A77C00">
        <w:trPr>
          <w:trHeight w:val="1600"/>
        </w:trPr>
        <w:tc>
          <w:tcPr>
            <w:tcW w:w="1000" w:type="pct"/>
            <w:tcBorders>
              <w:top w:val="nil"/>
              <w:left w:val="nil"/>
              <w:bottom w:val="nil"/>
              <w:right w:val="nil"/>
            </w:tcBorders>
            <w:vAlign w:val="center"/>
          </w:tcPr>
          <w:p w14:paraId="08772422" w14:textId="77777777" w:rsidR="00C94409" w:rsidRDefault="00C94409" w:rsidP="00A77C00">
            <w:pP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kern w:val="0"/>
                <w:sz w:val="18"/>
                <w:szCs w:val="18"/>
                <w:lang w:bidi="ar"/>
              </w:rPr>
              <w:lastRenderedPageBreak/>
              <w:t>Total GDP growth</w:t>
            </w:r>
          </w:p>
        </w:tc>
        <w:tc>
          <w:tcPr>
            <w:tcW w:w="1000" w:type="pct"/>
            <w:tcBorders>
              <w:top w:val="nil"/>
              <w:left w:val="nil"/>
              <w:bottom w:val="nil"/>
              <w:right w:val="nil"/>
            </w:tcBorders>
            <w:vAlign w:val="center"/>
          </w:tcPr>
          <w:p w14:paraId="5DB1E72B" w14:textId="77777777" w:rsidR="00C94409" w:rsidRDefault="00C94409" w:rsidP="00A77C00">
            <w:pP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kern w:val="0"/>
                <w:sz w:val="18"/>
                <w:szCs w:val="18"/>
                <w:lang w:bidi="ar"/>
              </w:rPr>
              <w:t>High in low- and middle-income countries (LICs, MICs); moderate in high-income countries (HICs).</w:t>
            </w:r>
          </w:p>
        </w:tc>
        <w:tc>
          <w:tcPr>
            <w:tcW w:w="1000" w:type="pct"/>
            <w:tcBorders>
              <w:top w:val="nil"/>
              <w:left w:val="nil"/>
              <w:bottom w:val="nil"/>
              <w:right w:val="nil"/>
            </w:tcBorders>
            <w:vAlign w:val="center"/>
          </w:tcPr>
          <w:p w14:paraId="0CFE4D04" w14:textId="77777777" w:rsidR="00C94409" w:rsidRDefault="00C94409" w:rsidP="00A77C00">
            <w:pP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kern w:val="0"/>
                <w:sz w:val="18"/>
                <w:szCs w:val="18"/>
                <w:lang w:bidi="ar"/>
              </w:rPr>
              <w:t>Medium, with moderate disparities across regions.</w:t>
            </w:r>
          </w:p>
        </w:tc>
        <w:tc>
          <w:tcPr>
            <w:tcW w:w="1000" w:type="pct"/>
            <w:tcBorders>
              <w:top w:val="nil"/>
              <w:left w:val="nil"/>
              <w:bottom w:val="nil"/>
              <w:right w:val="nil"/>
            </w:tcBorders>
            <w:vAlign w:val="center"/>
          </w:tcPr>
          <w:p w14:paraId="12DD579D" w14:textId="77777777" w:rsidR="00C94409" w:rsidRDefault="00C94409" w:rsidP="00A77C00">
            <w:pP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kern w:val="0"/>
                <w:sz w:val="18"/>
                <w:szCs w:val="18"/>
                <w:lang w:bidi="ar"/>
              </w:rPr>
              <w:t>Slow economic growth globally due to regional barriers and low cooperation.</w:t>
            </w:r>
          </w:p>
        </w:tc>
        <w:tc>
          <w:tcPr>
            <w:tcW w:w="1000" w:type="pct"/>
            <w:tcBorders>
              <w:top w:val="nil"/>
              <w:left w:val="nil"/>
              <w:bottom w:val="nil"/>
              <w:right w:val="nil"/>
            </w:tcBorders>
            <w:vAlign w:val="center"/>
          </w:tcPr>
          <w:p w14:paraId="5076EE9C" w14:textId="77777777" w:rsidR="00C94409" w:rsidRDefault="00C94409" w:rsidP="00A77C00">
            <w:pP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kern w:val="0"/>
                <w:sz w:val="18"/>
                <w:szCs w:val="18"/>
                <w:lang w:bidi="ar"/>
              </w:rPr>
              <w:t>High total GDP growth driven by rapid industrial expansion and fossil fuel use.</w:t>
            </w:r>
          </w:p>
        </w:tc>
      </w:tr>
      <w:tr w:rsidR="00C94409" w14:paraId="15966765" w14:textId="77777777" w:rsidTr="00A77C00">
        <w:trPr>
          <w:trHeight w:val="1600"/>
        </w:trPr>
        <w:tc>
          <w:tcPr>
            <w:tcW w:w="1000" w:type="pct"/>
            <w:tcBorders>
              <w:top w:val="nil"/>
              <w:left w:val="nil"/>
              <w:bottom w:val="nil"/>
              <w:right w:val="nil"/>
            </w:tcBorders>
            <w:vAlign w:val="center"/>
          </w:tcPr>
          <w:p w14:paraId="68A57919" w14:textId="77777777" w:rsidR="00C94409" w:rsidRDefault="00C94409" w:rsidP="00A77C00">
            <w:pP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kern w:val="0"/>
                <w:sz w:val="18"/>
                <w:szCs w:val="18"/>
                <w:lang w:bidi="ar"/>
              </w:rPr>
              <w:t>Population growth</w:t>
            </w:r>
          </w:p>
        </w:tc>
        <w:tc>
          <w:tcPr>
            <w:tcW w:w="1000" w:type="pct"/>
            <w:tcBorders>
              <w:top w:val="nil"/>
              <w:left w:val="nil"/>
              <w:bottom w:val="nil"/>
              <w:right w:val="nil"/>
            </w:tcBorders>
            <w:vAlign w:val="center"/>
          </w:tcPr>
          <w:p w14:paraId="2F23B316" w14:textId="77777777" w:rsidR="00C94409" w:rsidRDefault="00C94409" w:rsidP="00A77C00">
            <w:pP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kern w:val="0"/>
                <w:sz w:val="18"/>
                <w:szCs w:val="18"/>
                <w:lang w:bidi="ar"/>
              </w:rPr>
              <w:t>Low population growth due to investments in health and education.</w:t>
            </w:r>
          </w:p>
        </w:tc>
        <w:tc>
          <w:tcPr>
            <w:tcW w:w="1000" w:type="pct"/>
            <w:tcBorders>
              <w:top w:val="nil"/>
              <w:left w:val="nil"/>
              <w:bottom w:val="nil"/>
              <w:right w:val="nil"/>
            </w:tcBorders>
            <w:vAlign w:val="center"/>
          </w:tcPr>
          <w:p w14:paraId="079A2844" w14:textId="77777777" w:rsidR="00C94409" w:rsidRDefault="00C94409" w:rsidP="00A77C00">
            <w:pP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kern w:val="0"/>
                <w:sz w:val="18"/>
                <w:szCs w:val="18"/>
                <w:lang w:bidi="ar"/>
              </w:rPr>
              <w:t>Medium population growth following historical trends.</w:t>
            </w:r>
          </w:p>
        </w:tc>
        <w:tc>
          <w:tcPr>
            <w:tcW w:w="1000" w:type="pct"/>
            <w:tcBorders>
              <w:top w:val="nil"/>
              <w:left w:val="nil"/>
              <w:bottom w:val="nil"/>
              <w:right w:val="nil"/>
            </w:tcBorders>
            <w:vAlign w:val="center"/>
          </w:tcPr>
          <w:p w14:paraId="400760F1" w14:textId="77777777" w:rsidR="00C94409" w:rsidRDefault="00C94409" w:rsidP="00A77C00">
            <w:pP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kern w:val="0"/>
                <w:sz w:val="18"/>
                <w:szCs w:val="18"/>
                <w:lang w:bidi="ar"/>
              </w:rPr>
              <w:t>High population growth with limited social progress.</w:t>
            </w:r>
          </w:p>
        </w:tc>
        <w:tc>
          <w:tcPr>
            <w:tcW w:w="1000" w:type="pct"/>
            <w:tcBorders>
              <w:top w:val="nil"/>
              <w:left w:val="nil"/>
              <w:bottom w:val="nil"/>
              <w:right w:val="nil"/>
            </w:tcBorders>
            <w:vAlign w:val="center"/>
          </w:tcPr>
          <w:p w14:paraId="761EC5C7" w14:textId="77777777" w:rsidR="00C94409" w:rsidRDefault="00C94409" w:rsidP="00A77C00">
            <w:pP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kern w:val="0"/>
                <w:sz w:val="18"/>
                <w:szCs w:val="18"/>
                <w:lang w:bidi="ar"/>
              </w:rPr>
              <w:t>Low population growth driven by accelerated demographic transition with economic development.</w:t>
            </w:r>
          </w:p>
        </w:tc>
      </w:tr>
      <w:tr w:rsidR="00C94409" w14:paraId="1438A47B" w14:textId="77777777" w:rsidTr="00A77C00">
        <w:trPr>
          <w:trHeight w:val="1600"/>
        </w:trPr>
        <w:tc>
          <w:tcPr>
            <w:tcW w:w="1000" w:type="pct"/>
            <w:tcBorders>
              <w:top w:val="nil"/>
              <w:left w:val="nil"/>
              <w:bottom w:val="nil"/>
              <w:right w:val="nil"/>
            </w:tcBorders>
            <w:vAlign w:val="center"/>
          </w:tcPr>
          <w:p w14:paraId="46094A29" w14:textId="77777777" w:rsidR="00C94409" w:rsidRDefault="00C94409" w:rsidP="00A77C00">
            <w:pP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kern w:val="0"/>
                <w:sz w:val="18"/>
                <w:szCs w:val="18"/>
                <w:lang w:bidi="ar"/>
              </w:rPr>
              <w:t>Land-use change regulation</w:t>
            </w:r>
          </w:p>
        </w:tc>
        <w:tc>
          <w:tcPr>
            <w:tcW w:w="1000" w:type="pct"/>
            <w:tcBorders>
              <w:top w:val="nil"/>
              <w:left w:val="nil"/>
              <w:bottom w:val="nil"/>
              <w:right w:val="nil"/>
            </w:tcBorders>
            <w:vAlign w:val="center"/>
          </w:tcPr>
          <w:p w14:paraId="6D6ED0C5" w14:textId="77777777" w:rsidR="00C94409" w:rsidRDefault="00C94409" w:rsidP="00A77C00">
            <w:pP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kern w:val="0"/>
                <w:sz w:val="18"/>
                <w:szCs w:val="18"/>
                <w:lang w:bidi="ar"/>
              </w:rPr>
              <w:t>Strict land-use policies promoting sustainable agriculture and ecosystem conservation.</w:t>
            </w:r>
          </w:p>
        </w:tc>
        <w:tc>
          <w:tcPr>
            <w:tcW w:w="1000" w:type="pct"/>
            <w:tcBorders>
              <w:top w:val="nil"/>
              <w:left w:val="nil"/>
              <w:bottom w:val="nil"/>
              <w:right w:val="nil"/>
            </w:tcBorders>
            <w:vAlign w:val="center"/>
          </w:tcPr>
          <w:p w14:paraId="4F4C1984" w14:textId="77777777" w:rsidR="00C94409" w:rsidRDefault="00C94409" w:rsidP="00A77C00">
            <w:pP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kern w:val="0"/>
                <w:sz w:val="18"/>
                <w:szCs w:val="18"/>
                <w:lang w:bidi="ar"/>
              </w:rPr>
              <w:t>Moderate land-use regulations; continuation of existing trends.</w:t>
            </w:r>
          </w:p>
        </w:tc>
        <w:tc>
          <w:tcPr>
            <w:tcW w:w="1000" w:type="pct"/>
            <w:tcBorders>
              <w:top w:val="nil"/>
              <w:left w:val="nil"/>
              <w:bottom w:val="nil"/>
              <w:right w:val="nil"/>
            </w:tcBorders>
            <w:vAlign w:val="center"/>
          </w:tcPr>
          <w:p w14:paraId="357BB1D9" w14:textId="77777777" w:rsidR="00C94409" w:rsidRDefault="00C94409" w:rsidP="00A77C00">
            <w:pP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kern w:val="0"/>
                <w:sz w:val="18"/>
                <w:szCs w:val="18"/>
                <w:lang w:bidi="ar"/>
              </w:rPr>
              <w:t>Weak regulation; expansion of agricultural land with limited environmental oversight.</w:t>
            </w:r>
          </w:p>
        </w:tc>
        <w:tc>
          <w:tcPr>
            <w:tcW w:w="1000" w:type="pct"/>
            <w:tcBorders>
              <w:top w:val="nil"/>
              <w:left w:val="nil"/>
              <w:bottom w:val="nil"/>
              <w:right w:val="nil"/>
            </w:tcBorders>
            <w:vAlign w:val="center"/>
          </w:tcPr>
          <w:p w14:paraId="6562A3F4" w14:textId="77777777" w:rsidR="00C94409" w:rsidRDefault="00C94409" w:rsidP="00A77C00">
            <w:pP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kern w:val="0"/>
                <w:sz w:val="18"/>
                <w:szCs w:val="18"/>
                <w:lang w:bidi="ar"/>
              </w:rPr>
              <w:t>Moderate land-use control; expansion driven by high productivity and market incentives.</w:t>
            </w:r>
          </w:p>
        </w:tc>
      </w:tr>
      <w:tr w:rsidR="00C94409" w14:paraId="4CB3C36F" w14:textId="77777777" w:rsidTr="00A77C00">
        <w:trPr>
          <w:trHeight w:val="1600"/>
        </w:trPr>
        <w:tc>
          <w:tcPr>
            <w:tcW w:w="1000" w:type="pct"/>
            <w:tcBorders>
              <w:top w:val="nil"/>
              <w:left w:val="nil"/>
              <w:bottom w:val="nil"/>
              <w:right w:val="nil"/>
            </w:tcBorders>
            <w:vAlign w:val="center"/>
          </w:tcPr>
          <w:p w14:paraId="5C0AB82E" w14:textId="77777777" w:rsidR="00C94409" w:rsidRDefault="00C94409" w:rsidP="00A77C00">
            <w:pP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kern w:val="0"/>
                <w:sz w:val="18"/>
                <w:szCs w:val="18"/>
                <w:lang w:bidi="ar"/>
              </w:rPr>
              <w:t>Agricultural productivity</w:t>
            </w:r>
          </w:p>
        </w:tc>
        <w:tc>
          <w:tcPr>
            <w:tcW w:w="1000" w:type="pct"/>
            <w:tcBorders>
              <w:top w:val="nil"/>
              <w:left w:val="nil"/>
              <w:bottom w:val="nil"/>
              <w:right w:val="nil"/>
            </w:tcBorders>
            <w:vAlign w:val="center"/>
          </w:tcPr>
          <w:p w14:paraId="2248B114" w14:textId="77777777" w:rsidR="00C94409" w:rsidRDefault="00C94409" w:rsidP="00A77C00">
            <w:pP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kern w:val="0"/>
                <w:sz w:val="18"/>
                <w:szCs w:val="18"/>
                <w:lang w:bidi="ar"/>
              </w:rPr>
              <w:t>High productivity growth through sustainable intensification, precision agriculture, and innovation.</w:t>
            </w:r>
          </w:p>
        </w:tc>
        <w:tc>
          <w:tcPr>
            <w:tcW w:w="1000" w:type="pct"/>
            <w:tcBorders>
              <w:top w:val="nil"/>
              <w:left w:val="nil"/>
              <w:bottom w:val="nil"/>
              <w:right w:val="nil"/>
            </w:tcBorders>
            <w:vAlign w:val="center"/>
          </w:tcPr>
          <w:p w14:paraId="59BE031D" w14:textId="77777777" w:rsidR="00C94409" w:rsidRDefault="00C94409" w:rsidP="00A77C00">
            <w:pP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kern w:val="0"/>
                <w:sz w:val="18"/>
                <w:szCs w:val="18"/>
                <w:lang w:bidi="ar"/>
              </w:rPr>
              <w:t>Medium productivity increase through gradual adoption of improved practices.</w:t>
            </w:r>
          </w:p>
        </w:tc>
        <w:tc>
          <w:tcPr>
            <w:tcW w:w="1000" w:type="pct"/>
            <w:tcBorders>
              <w:top w:val="nil"/>
              <w:left w:val="nil"/>
              <w:bottom w:val="nil"/>
              <w:right w:val="nil"/>
            </w:tcBorders>
            <w:vAlign w:val="center"/>
          </w:tcPr>
          <w:p w14:paraId="698A47E0" w14:textId="77777777" w:rsidR="00C94409" w:rsidRDefault="00C94409" w:rsidP="00A77C00">
            <w:pP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kern w:val="0"/>
                <w:sz w:val="18"/>
                <w:szCs w:val="18"/>
                <w:lang w:bidi="ar"/>
              </w:rPr>
              <w:t>Low productivity growth due to limited investment and innovation capacity.</w:t>
            </w:r>
          </w:p>
        </w:tc>
        <w:tc>
          <w:tcPr>
            <w:tcW w:w="1000" w:type="pct"/>
            <w:tcBorders>
              <w:top w:val="nil"/>
              <w:left w:val="nil"/>
              <w:bottom w:val="nil"/>
              <w:right w:val="nil"/>
            </w:tcBorders>
            <w:vAlign w:val="center"/>
          </w:tcPr>
          <w:p w14:paraId="78F43C21" w14:textId="77777777" w:rsidR="00C94409" w:rsidRDefault="00C94409" w:rsidP="00A77C00">
            <w:pP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kern w:val="0"/>
                <w:sz w:val="18"/>
                <w:szCs w:val="18"/>
                <w:lang w:bidi="ar"/>
              </w:rPr>
              <w:t>High productivity gains from intensive input use and technological advances.</w:t>
            </w:r>
          </w:p>
        </w:tc>
      </w:tr>
      <w:tr w:rsidR="00C94409" w14:paraId="7F7038BF" w14:textId="77777777" w:rsidTr="00A77C00">
        <w:trPr>
          <w:trHeight w:val="1600"/>
        </w:trPr>
        <w:tc>
          <w:tcPr>
            <w:tcW w:w="1000" w:type="pct"/>
            <w:tcBorders>
              <w:top w:val="nil"/>
              <w:left w:val="nil"/>
              <w:bottom w:val="single" w:sz="4" w:space="0" w:color="auto"/>
              <w:right w:val="nil"/>
            </w:tcBorders>
            <w:vAlign w:val="center"/>
          </w:tcPr>
          <w:p w14:paraId="275D667F" w14:textId="77777777" w:rsidR="00C94409" w:rsidRDefault="00C94409" w:rsidP="00A77C00">
            <w:pP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kern w:val="0"/>
                <w:sz w:val="18"/>
                <w:szCs w:val="18"/>
                <w:lang w:bidi="ar"/>
              </w:rPr>
              <w:t>Trade in agricultural commodities</w:t>
            </w:r>
          </w:p>
        </w:tc>
        <w:tc>
          <w:tcPr>
            <w:tcW w:w="1000" w:type="pct"/>
            <w:tcBorders>
              <w:top w:val="nil"/>
              <w:left w:val="nil"/>
              <w:bottom w:val="single" w:sz="4" w:space="0" w:color="auto"/>
              <w:right w:val="nil"/>
            </w:tcBorders>
            <w:vAlign w:val="center"/>
          </w:tcPr>
          <w:p w14:paraId="4531E290" w14:textId="77777777" w:rsidR="00C94409" w:rsidRDefault="00C94409" w:rsidP="00A77C00">
            <w:pP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kern w:val="0"/>
                <w:sz w:val="18"/>
                <w:szCs w:val="18"/>
                <w:lang w:bidi="ar"/>
              </w:rPr>
              <w:t>Trade liberalization: removal of import tariffs and export subsidies; enhanced international cooperation.</w:t>
            </w:r>
          </w:p>
        </w:tc>
        <w:tc>
          <w:tcPr>
            <w:tcW w:w="1000" w:type="pct"/>
            <w:tcBorders>
              <w:top w:val="nil"/>
              <w:left w:val="nil"/>
              <w:bottom w:val="single" w:sz="4" w:space="0" w:color="auto"/>
              <w:right w:val="nil"/>
            </w:tcBorders>
            <w:vAlign w:val="center"/>
          </w:tcPr>
          <w:p w14:paraId="25CD92A5" w14:textId="77777777" w:rsidR="00C94409" w:rsidRDefault="00C94409" w:rsidP="00A77C00">
            <w:pP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kern w:val="0"/>
                <w:sz w:val="18"/>
                <w:szCs w:val="18"/>
                <w:lang w:bidi="ar"/>
              </w:rPr>
              <w:t>Current trade policies maintained; moderate tariffs and subsidies persist.</w:t>
            </w:r>
          </w:p>
        </w:tc>
        <w:tc>
          <w:tcPr>
            <w:tcW w:w="1000" w:type="pct"/>
            <w:tcBorders>
              <w:top w:val="nil"/>
              <w:left w:val="nil"/>
              <w:bottom w:val="single" w:sz="4" w:space="0" w:color="auto"/>
              <w:right w:val="nil"/>
            </w:tcBorders>
            <w:vAlign w:val="center"/>
          </w:tcPr>
          <w:p w14:paraId="5A7F7FBC" w14:textId="77777777" w:rsidR="00C94409" w:rsidRDefault="00C94409" w:rsidP="00A77C00">
            <w:pP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kern w:val="0"/>
                <w:sz w:val="18"/>
                <w:szCs w:val="18"/>
                <w:lang w:bidi="ar"/>
              </w:rPr>
              <w:t>Increased trade protectionism: uniform import tax (~10%) on agricultural products to boost self-sufficiency.</w:t>
            </w:r>
          </w:p>
        </w:tc>
        <w:tc>
          <w:tcPr>
            <w:tcW w:w="1000" w:type="pct"/>
            <w:tcBorders>
              <w:top w:val="nil"/>
              <w:left w:val="nil"/>
              <w:bottom w:val="single" w:sz="4" w:space="0" w:color="auto"/>
              <w:right w:val="nil"/>
            </w:tcBorders>
            <w:vAlign w:val="center"/>
          </w:tcPr>
          <w:p w14:paraId="68542730" w14:textId="77777777" w:rsidR="00C94409" w:rsidRDefault="00C94409" w:rsidP="00A77C00">
            <w:pP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kern w:val="0"/>
                <w:sz w:val="18"/>
                <w:szCs w:val="18"/>
                <w:lang w:bidi="ar"/>
              </w:rPr>
              <w:t>Trade liberalization: removal of import tariffs and export subsidies supports high export competitiveness.</w:t>
            </w:r>
          </w:p>
        </w:tc>
      </w:tr>
    </w:tbl>
    <w:p w14:paraId="0F3DEF33" w14:textId="77777777" w:rsidR="00C94409" w:rsidRPr="00A12150" w:rsidRDefault="00C94409" w:rsidP="00C94409">
      <w:pPr>
        <w:spacing w:beforeAutospacing="1" w:afterAutospacing="1" w:line="360" w:lineRule="auto"/>
        <w:rPr>
          <w:rFonts w:ascii="Times New Roman" w:hAnsi="Times New Roman" w:cs="Times New Roman"/>
          <w:sz w:val="24"/>
          <w:szCs w:val="24"/>
        </w:rPr>
      </w:pPr>
    </w:p>
    <w:p w14:paraId="560E3C16" w14:textId="77777777" w:rsidR="00C94409" w:rsidRPr="00A12150" w:rsidRDefault="00C94409" w:rsidP="00C94409">
      <w:pPr>
        <w:spacing w:beforeAutospacing="1" w:afterAutospacing="1" w:line="360" w:lineRule="auto"/>
        <w:rPr>
          <w:rFonts w:ascii="Times New Roman" w:hAnsi="Times New Roman" w:cs="Times New Roman"/>
          <w:sz w:val="24"/>
          <w:szCs w:val="24"/>
        </w:rPr>
      </w:pPr>
      <w:r w:rsidRPr="00A12150">
        <w:rPr>
          <w:rFonts w:ascii="Times New Roman" w:hAnsi="Times New Roman" w:cs="Times New Roman"/>
          <w:sz w:val="24"/>
          <w:szCs w:val="24"/>
        </w:rPr>
        <w:t>Supplementary B</w:t>
      </w:r>
      <w:r>
        <w:rPr>
          <w:rFonts w:ascii="Times New Roman" w:hAnsi="Times New Roman" w:cs="Times New Roman"/>
          <w:sz w:val="24"/>
          <w:szCs w:val="24"/>
        </w:rPr>
        <w:t>:</w:t>
      </w:r>
      <w:r w:rsidRPr="00A12150">
        <w:rPr>
          <w:rFonts w:ascii="Times New Roman" w:hAnsi="Times New Roman" w:cs="Times New Roman"/>
          <w:sz w:val="24"/>
          <w:szCs w:val="24"/>
        </w:rPr>
        <w:t xml:space="preserve"> Economic Theory</w:t>
      </w:r>
    </w:p>
    <w:p w14:paraId="7B23F98C" w14:textId="77777777" w:rsidR="00C94409" w:rsidRDefault="00C94409" w:rsidP="00C94409">
      <w:pPr>
        <w:spacing w:beforeAutospacing="1" w:afterAutospacing="1" w:line="360" w:lineRule="auto"/>
        <w:rPr>
          <w:rFonts w:ascii="Times New Roman" w:hAnsi="Times New Roman" w:cs="Times New Roman"/>
          <w:sz w:val="18"/>
          <w:szCs w:val="18"/>
        </w:rPr>
      </w:pPr>
      <w:r w:rsidRPr="58A2AB3F">
        <w:rPr>
          <w:rFonts w:ascii="Times New Roman" w:hAnsi="Times New Roman" w:cs="Times New Roman"/>
          <w:sz w:val="18"/>
          <w:szCs w:val="18"/>
        </w:rPr>
        <w:t xml:space="preserve">The design of our AI predictive framework is rooted in well-established principles of agricultural economics and international trade theory. Classical and modern computable general equilibrium (CGE) models, the MAGNET framework in our case, posit that crop production levels are determined by the interplay of resource endowments, market incentives, and external macroeconomic drivers. Our primary target variable is wheat production, which we interpret as an outcome determined by both domestic resource allocation (e.g., land use) and market conditions (e.g., trade balances and price signals). Complementary variables for rice and other grains capture inter-crop competition for land and inputs, reflecting opportunity costs and substitution elasticities inherent in real-world production systems. Our selection of predictor variables reflects this theoretical structure. </w:t>
      </w:r>
    </w:p>
    <w:p w14:paraId="2E295CBB" w14:textId="77777777" w:rsidR="00C94409" w:rsidRPr="007D0E63" w:rsidRDefault="00C94409" w:rsidP="00C94409">
      <w:pPr>
        <w:spacing w:after="120" w:line="360" w:lineRule="auto"/>
        <w:rPr>
          <w:rFonts w:ascii="Times New Roman" w:eastAsia="Times New Roman" w:hAnsi="Times New Roman" w:cs="Times New Roman"/>
          <w:kern w:val="0"/>
          <w:sz w:val="18"/>
          <w:szCs w:val="18"/>
          <w:lang/>
          <w14:ligatures w14:val="none"/>
        </w:rPr>
      </w:pPr>
      <w:r w:rsidRPr="007D0E63">
        <w:rPr>
          <w:rFonts w:ascii="Times New Roman" w:eastAsia="Times New Roman" w:hAnsi="Times New Roman" w:cs="Times New Roman"/>
          <w:b/>
          <w:bCs/>
          <w:kern w:val="0"/>
          <w:sz w:val="18"/>
          <w:szCs w:val="18"/>
          <w:lang/>
          <w14:ligatures w14:val="none"/>
        </w:rPr>
        <w:lastRenderedPageBreak/>
        <w:t>B.2 Production and Land Allocation (The Supply Side)</w:t>
      </w:r>
      <w:r w:rsidRPr="007D0E63">
        <w:rPr>
          <w:rFonts w:ascii="Times New Roman" w:eastAsia="Times New Roman" w:hAnsi="Times New Roman" w:cs="Times New Roman"/>
          <w:kern w:val="0"/>
          <w:sz w:val="18"/>
          <w:szCs w:val="18"/>
          <w:lang/>
          <w14:ligatures w14:val="none"/>
        </w:rPr>
        <w:br/>
        <w:t>In MAGNET, the production of wheat (</w:t>
      </w:r>
      <m:oMath>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Y</m:t>
            </m:r>
          </m:e>
          <m:sub>
            <m:r>
              <w:rPr>
                <w:rFonts w:ascii="Cambria Math" w:eastAsia="Times New Roman" w:hAnsi="Cambria Math" w:cs="Times New Roman"/>
                <w:kern w:val="0"/>
                <w:sz w:val="18"/>
                <w:szCs w:val="18"/>
                <w:lang/>
                <w14:ligatures w14:val="none"/>
              </w:rPr>
              <m:t>w,r</m:t>
            </m:r>
          </m:sub>
        </m:sSub>
      </m:oMath>
      <w:r w:rsidRPr="007D0E63">
        <w:rPr>
          <w:rFonts w:ascii="Times New Roman" w:eastAsia="Times New Roman" w:hAnsi="Times New Roman" w:cs="Times New Roman"/>
          <w:kern w:val="0"/>
          <w:sz w:val="18"/>
          <w:szCs w:val="18"/>
          <w:lang/>
          <w14:ligatures w14:val="none"/>
        </w:rPr>
        <w:t xml:space="preserve">) in region </w:t>
      </w:r>
      <m:oMath>
        <m:r>
          <w:rPr>
            <w:rFonts w:ascii="Cambria Math" w:eastAsia="Times New Roman" w:hAnsi="Cambria Math" w:cs="Times New Roman"/>
            <w:kern w:val="0"/>
            <w:sz w:val="18"/>
            <w:szCs w:val="18"/>
            <w:lang/>
            <w14:ligatures w14:val="none"/>
          </w:rPr>
          <m:t>r</m:t>
        </m:r>
      </m:oMath>
      <w:r w:rsidRPr="007D0E63">
        <w:rPr>
          <w:rFonts w:ascii="Times New Roman" w:eastAsia="Times New Roman" w:hAnsi="Times New Roman" w:cs="Times New Roman"/>
          <w:kern w:val="0"/>
          <w:sz w:val="18"/>
          <w:szCs w:val="18"/>
          <w:lang/>
          <w14:ligatures w14:val="none"/>
        </w:rPr>
        <w:t xml:space="preserve"> is modeled using a nested structure. The top level assumes a Leontief technology, strictly binding composite value-added (</w:t>
      </w:r>
      <m:oMath>
        <m:r>
          <w:rPr>
            <w:rFonts w:ascii="Cambria Math" w:eastAsia="Times New Roman" w:hAnsi="Cambria Math" w:cs="Times New Roman"/>
            <w:kern w:val="0"/>
            <w:sz w:val="18"/>
            <w:szCs w:val="18"/>
            <w:lang/>
            <w14:ligatures w14:val="none"/>
          </w:rPr>
          <m:t>V</m:t>
        </m:r>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A</m:t>
            </m:r>
          </m:e>
          <m:sub>
            <m:r>
              <w:rPr>
                <w:rFonts w:ascii="Cambria Math" w:eastAsia="Times New Roman" w:hAnsi="Cambria Math" w:cs="Times New Roman"/>
                <w:kern w:val="0"/>
                <w:sz w:val="18"/>
                <w:szCs w:val="18"/>
                <w:lang/>
                <w14:ligatures w14:val="none"/>
              </w:rPr>
              <m:t>w,r</m:t>
            </m:r>
          </m:sub>
        </m:sSub>
      </m:oMath>
      <w:r w:rsidRPr="007D0E63">
        <w:rPr>
          <w:rFonts w:ascii="Times New Roman" w:eastAsia="Times New Roman" w:hAnsi="Times New Roman" w:cs="Times New Roman"/>
          <w:kern w:val="0"/>
          <w:sz w:val="18"/>
          <w:szCs w:val="18"/>
          <w:lang/>
          <w14:ligatures w14:val="none"/>
        </w:rPr>
        <w:t>) and intermediate inputs (</w:t>
      </w:r>
      <m:oMath>
        <m:r>
          <w:rPr>
            <w:rFonts w:ascii="Cambria Math" w:eastAsia="Times New Roman" w:hAnsi="Cambria Math" w:cs="Times New Roman"/>
            <w:kern w:val="0"/>
            <w:sz w:val="18"/>
            <w:szCs w:val="18"/>
            <w:lang/>
            <w14:ligatures w14:val="none"/>
          </w:rPr>
          <m:t>IN</m:t>
        </m:r>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T</m:t>
            </m:r>
          </m:e>
          <m:sub>
            <m:r>
              <w:rPr>
                <w:rFonts w:ascii="Cambria Math" w:eastAsia="Times New Roman" w:hAnsi="Cambria Math" w:cs="Times New Roman"/>
                <w:kern w:val="0"/>
                <w:sz w:val="18"/>
                <w:szCs w:val="18"/>
                <w:lang/>
                <w14:ligatures w14:val="none"/>
              </w:rPr>
              <m:t>w,r</m:t>
            </m:r>
          </m:sub>
        </m:sSub>
      </m:oMath>
      <w:r w:rsidRPr="007D0E63">
        <w:rPr>
          <w:rFonts w:ascii="Times New Roman" w:eastAsia="Times New Roman" w:hAnsi="Times New Roman" w:cs="Times New Roman"/>
          <w:kern w:val="0"/>
          <w:sz w:val="18"/>
          <w:szCs w:val="18"/>
          <w:lang/>
          <w14:ligatures w14:val="none"/>
        </w:rPr>
        <w:t>):</w:t>
      </w:r>
    </w:p>
    <w:p w14:paraId="03D748EE" w14:textId="77777777" w:rsidR="00C94409" w:rsidRPr="007D0E63" w:rsidRDefault="00C94409" w:rsidP="00C94409">
      <w:pPr>
        <w:spacing w:before="240" w:line="360" w:lineRule="auto"/>
        <w:jc w:val="center"/>
        <w:rPr>
          <w:rFonts w:ascii="Times New Roman" w:eastAsia="Times New Roman" w:hAnsi="Times New Roman" w:cs="Times New Roman"/>
          <w:kern w:val="0"/>
          <w:sz w:val="18"/>
          <w:szCs w:val="18"/>
          <w:lang/>
          <w14:ligatures w14:val="none"/>
        </w:rPr>
      </w:pPr>
      <w:r w:rsidRPr="007D0E63">
        <w:rPr>
          <w:rFonts w:ascii="Times New Roman" w:eastAsia="Times New Roman" w:hAnsi="Times New Roman" w:cs="Times New Roman"/>
          <w:noProof/>
          <w:kern w:val="0"/>
          <w:sz w:val="18"/>
          <w:szCs w:val="18"/>
          <w:lang/>
          <w14:ligatures w14:val="none"/>
        </w:rPr>
        <w:drawing>
          <wp:inline distT="0" distB="0" distL="0" distR="0" wp14:anchorId="3A10760F" wp14:editId="248E02D4">
            <wp:extent cx="1781092" cy="323835"/>
            <wp:effectExtent l="0" t="0" r="0" b="635"/>
            <wp:docPr id="1" name="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805370" cy="328249"/>
                    </a:xfrm>
                    <a:prstGeom prst="rect">
                      <a:avLst/>
                    </a:prstGeom>
                  </pic:spPr>
                </pic:pic>
              </a:graphicData>
            </a:graphic>
          </wp:inline>
        </w:drawing>
      </w:r>
    </w:p>
    <w:p w14:paraId="75158183" w14:textId="77777777" w:rsidR="00C94409" w:rsidRPr="007D0E63" w:rsidRDefault="00C94409" w:rsidP="00C94409">
      <w:pPr>
        <w:spacing w:after="120" w:line="360" w:lineRule="auto"/>
        <w:rPr>
          <w:rFonts w:ascii="Times New Roman" w:eastAsia="Times New Roman" w:hAnsi="Times New Roman" w:cs="Times New Roman"/>
          <w:kern w:val="0"/>
          <w:sz w:val="18"/>
          <w:szCs w:val="18"/>
          <w:lang/>
          <w14:ligatures w14:val="none"/>
        </w:rPr>
      </w:pPr>
      <w:r w:rsidRPr="007D0E63">
        <w:rPr>
          <w:rFonts w:ascii="Times New Roman" w:eastAsia="Times New Roman" w:hAnsi="Times New Roman" w:cs="Times New Roman"/>
          <w:kern w:val="0"/>
          <w:sz w:val="18"/>
          <w:szCs w:val="18"/>
          <w:lang/>
          <w14:ligatures w14:val="none"/>
        </w:rPr>
        <w:t xml:space="preserve">where </w:t>
      </w:r>
      <m:oMath>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a</m:t>
            </m:r>
          </m:e>
          <m:sub>
            <m:r>
              <w:rPr>
                <w:rFonts w:ascii="Cambria Math" w:eastAsia="Times New Roman" w:hAnsi="Cambria Math" w:cs="Times New Roman"/>
                <w:kern w:val="0"/>
                <w:sz w:val="18"/>
                <w:szCs w:val="18"/>
                <w:lang/>
                <w14:ligatures w14:val="none"/>
              </w:rPr>
              <m:t>va</m:t>
            </m:r>
          </m:sub>
        </m:sSub>
      </m:oMath>
      <w:r w:rsidRPr="007D0E63">
        <w:rPr>
          <w:rFonts w:ascii="Times New Roman" w:eastAsia="Times New Roman" w:hAnsi="Times New Roman" w:cs="Times New Roman"/>
          <w:kern w:val="0"/>
          <w:sz w:val="18"/>
          <w:szCs w:val="18"/>
          <w:lang/>
          <w14:ligatures w14:val="none"/>
        </w:rPr>
        <w:t xml:space="preserve"> and </w:t>
      </w:r>
      <m:oMath>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a</m:t>
            </m:r>
          </m:e>
          <m:sub>
            <m:r>
              <w:rPr>
                <w:rFonts w:ascii="Cambria Math" w:eastAsia="Times New Roman" w:hAnsi="Cambria Math" w:cs="Times New Roman"/>
                <w:kern w:val="0"/>
                <w:sz w:val="18"/>
                <w:szCs w:val="18"/>
                <w:lang/>
                <w14:ligatures w14:val="none"/>
              </w:rPr>
              <m:t>int</m:t>
            </m:r>
          </m:sub>
        </m:sSub>
      </m:oMath>
      <w:r w:rsidRPr="007D0E63">
        <w:rPr>
          <w:rFonts w:ascii="Times New Roman" w:eastAsia="Times New Roman" w:hAnsi="Times New Roman" w:cs="Times New Roman"/>
          <w:kern w:val="0"/>
          <w:sz w:val="18"/>
          <w:szCs w:val="18"/>
          <w:lang/>
          <w14:ligatures w14:val="none"/>
        </w:rPr>
        <w:t xml:space="preserve"> represent the fixed input-output technical coefficients. </w:t>
      </w:r>
    </w:p>
    <w:p w14:paraId="5516817D" w14:textId="77777777" w:rsidR="00C94409" w:rsidRPr="007D0E63" w:rsidRDefault="00C94409" w:rsidP="00C94409">
      <w:pPr>
        <w:spacing w:after="120" w:line="360" w:lineRule="auto"/>
        <w:rPr>
          <w:rFonts w:ascii="Times New Roman" w:eastAsia="Times New Roman" w:hAnsi="Times New Roman" w:cs="Times New Roman"/>
          <w:kern w:val="0"/>
          <w:sz w:val="18"/>
          <w:szCs w:val="18"/>
          <w:lang/>
          <w14:ligatures w14:val="none"/>
        </w:rPr>
      </w:pPr>
      <w:r w:rsidRPr="007D0E63">
        <w:rPr>
          <w:rFonts w:ascii="Times New Roman" w:eastAsia="Times New Roman" w:hAnsi="Times New Roman" w:cs="Times New Roman"/>
          <w:kern w:val="0"/>
          <w:sz w:val="18"/>
          <w:szCs w:val="18"/>
          <w:lang/>
          <w14:ligatures w14:val="none"/>
        </w:rPr>
        <w:t>At the bottom level, the composite value-added is determined by a Constant Elasticity of Substitution (CES) function, allowing producers to substitute between primary endowments—Labor (</w:t>
      </w:r>
      <m:oMath>
        <m:r>
          <w:rPr>
            <w:rFonts w:ascii="Cambria Math" w:eastAsia="Times New Roman" w:hAnsi="Cambria Math" w:cs="Times New Roman"/>
            <w:kern w:val="0"/>
            <w:sz w:val="18"/>
            <w:szCs w:val="18"/>
            <w:lang/>
            <w14:ligatures w14:val="none"/>
          </w:rPr>
          <m:t>L</m:t>
        </m:r>
      </m:oMath>
      <w:r w:rsidRPr="007D0E63">
        <w:rPr>
          <w:rFonts w:ascii="Times New Roman" w:eastAsia="Times New Roman" w:hAnsi="Times New Roman" w:cs="Times New Roman"/>
          <w:kern w:val="0"/>
          <w:sz w:val="18"/>
          <w:szCs w:val="18"/>
          <w:lang/>
          <w14:ligatures w14:val="none"/>
        </w:rPr>
        <w:t>), Capital (</w:t>
      </w:r>
      <m:oMath>
        <m:r>
          <w:rPr>
            <w:rFonts w:ascii="Cambria Math" w:eastAsia="Times New Roman" w:hAnsi="Cambria Math" w:cs="Times New Roman"/>
            <w:kern w:val="0"/>
            <w:sz w:val="18"/>
            <w:szCs w:val="18"/>
            <w:lang/>
            <w14:ligatures w14:val="none"/>
          </w:rPr>
          <m:t>K</m:t>
        </m:r>
      </m:oMath>
      <w:r w:rsidRPr="007D0E63">
        <w:rPr>
          <w:rFonts w:ascii="Times New Roman" w:eastAsia="Times New Roman" w:hAnsi="Times New Roman" w:cs="Times New Roman"/>
          <w:kern w:val="0"/>
          <w:sz w:val="18"/>
          <w:szCs w:val="18"/>
          <w:lang/>
          <w14:ligatures w14:val="none"/>
        </w:rPr>
        <w:t>), and Land (</w:t>
      </w:r>
      <m:oMath>
        <m:r>
          <w:rPr>
            <w:rFonts w:ascii="Cambria Math" w:eastAsia="Times New Roman" w:hAnsi="Cambria Math" w:cs="Times New Roman"/>
            <w:kern w:val="0"/>
            <w:sz w:val="18"/>
            <w:szCs w:val="18"/>
            <w:lang/>
            <w14:ligatures w14:val="none"/>
          </w:rPr>
          <m:t>T</m:t>
        </m:r>
      </m:oMath>
      <w:r w:rsidRPr="007D0E63">
        <w:rPr>
          <w:rFonts w:ascii="Times New Roman" w:eastAsia="Times New Roman" w:hAnsi="Times New Roman" w:cs="Times New Roman"/>
          <w:kern w:val="0"/>
          <w:sz w:val="18"/>
          <w:szCs w:val="18"/>
          <w:lang/>
          <w14:ligatures w14:val="none"/>
        </w:rPr>
        <w:t>):</w:t>
      </w:r>
    </w:p>
    <w:p w14:paraId="5B727ED6" w14:textId="77777777" w:rsidR="00C94409" w:rsidRPr="007D0E63" w:rsidRDefault="00C94409" w:rsidP="00C94409">
      <w:pPr>
        <w:spacing w:before="240" w:line="360" w:lineRule="auto"/>
        <w:jc w:val="center"/>
        <w:rPr>
          <w:rFonts w:ascii="Times New Roman" w:eastAsia="Times New Roman" w:hAnsi="Times New Roman" w:cs="Times New Roman"/>
          <w:kern w:val="0"/>
          <w:sz w:val="18"/>
          <w:szCs w:val="18"/>
          <w:lang/>
          <w14:ligatures w14:val="none"/>
        </w:rPr>
      </w:pPr>
      <w:r w:rsidRPr="007D0E63">
        <w:rPr>
          <w:rFonts w:ascii="Times New Roman" w:eastAsia="Times New Roman" w:hAnsi="Times New Roman" w:cs="Times New Roman"/>
          <w:noProof/>
          <w:kern w:val="0"/>
          <w:sz w:val="18"/>
          <w:szCs w:val="18"/>
          <w:lang/>
          <w14:ligatures w14:val="none"/>
        </w:rPr>
        <w:drawing>
          <wp:inline distT="0" distB="0" distL="0" distR="0" wp14:anchorId="770F4FA3" wp14:editId="216F0B24">
            <wp:extent cx="2604052" cy="214126"/>
            <wp:effectExtent l="0" t="0" r="6350" b="0"/>
            <wp:docPr id="1477812260" name="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684512" cy="220742"/>
                    </a:xfrm>
                    <a:prstGeom prst="rect">
                      <a:avLst/>
                    </a:prstGeom>
                  </pic:spPr>
                </pic:pic>
              </a:graphicData>
            </a:graphic>
          </wp:inline>
        </w:drawing>
      </w:r>
    </w:p>
    <w:p w14:paraId="5278BD32" w14:textId="77777777" w:rsidR="00C94409" w:rsidRPr="007D0E63" w:rsidRDefault="00C94409" w:rsidP="00C94409">
      <w:pPr>
        <w:spacing w:after="120" w:line="360" w:lineRule="auto"/>
        <w:rPr>
          <w:rFonts w:ascii="Times New Roman" w:eastAsia="Times New Roman" w:hAnsi="Times New Roman" w:cs="Times New Roman"/>
          <w:kern w:val="0"/>
          <w:sz w:val="18"/>
          <w:szCs w:val="18"/>
          <w:lang/>
          <w14:ligatures w14:val="none"/>
        </w:rPr>
      </w:pPr>
      <w:r w:rsidRPr="007D0E63">
        <w:rPr>
          <w:rFonts w:ascii="Times New Roman" w:eastAsia="Times New Roman" w:hAnsi="Times New Roman" w:cs="Times New Roman"/>
          <w:kern w:val="0"/>
          <w:sz w:val="18"/>
          <w:szCs w:val="18"/>
          <w:lang/>
          <w14:ligatures w14:val="none"/>
        </w:rPr>
        <w:t xml:space="preserve">Here, </w:t>
      </w:r>
      <m:oMath>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A</m:t>
            </m:r>
          </m:e>
          <m:sub>
            <m:r>
              <w:rPr>
                <w:rFonts w:ascii="Cambria Math" w:eastAsia="Times New Roman" w:hAnsi="Cambria Math" w:cs="Times New Roman"/>
                <w:kern w:val="0"/>
                <w:sz w:val="18"/>
                <w:szCs w:val="18"/>
                <w:lang/>
                <w14:ligatures w14:val="none"/>
              </w:rPr>
              <m:t>w,r</m:t>
            </m:r>
          </m:sub>
        </m:sSub>
      </m:oMath>
      <w:r w:rsidRPr="007D0E63">
        <w:rPr>
          <w:rFonts w:ascii="Times New Roman" w:eastAsia="Times New Roman" w:hAnsi="Times New Roman" w:cs="Times New Roman"/>
          <w:kern w:val="0"/>
          <w:sz w:val="18"/>
          <w:szCs w:val="18"/>
          <w:lang/>
          <w14:ligatures w14:val="none"/>
        </w:rPr>
        <w:t xml:space="preserve"> is a region-specific scale parameter capturing total factor productivity, and </w:t>
      </w:r>
      <m:oMath>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δ</m:t>
            </m:r>
          </m:e>
          <m:sub>
            <m:r>
              <w:rPr>
                <w:rFonts w:ascii="Cambria Math" w:eastAsia="Times New Roman" w:hAnsi="Cambria Math" w:cs="Times New Roman"/>
                <w:kern w:val="0"/>
                <w:sz w:val="18"/>
                <w:szCs w:val="18"/>
                <w:lang/>
                <w14:ligatures w14:val="none"/>
              </w:rPr>
              <m:t>L</m:t>
            </m:r>
          </m:sub>
        </m:sSub>
      </m:oMath>
      <w:r w:rsidRPr="007D0E63">
        <w:rPr>
          <w:rFonts w:ascii="Times New Roman" w:eastAsia="Times New Roman" w:hAnsi="Times New Roman" w:cs="Times New Roman"/>
          <w:kern w:val="0"/>
          <w:sz w:val="18"/>
          <w:szCs w:val="18"/>
          <w:lang/>
          <w14:ligatures w14:val="none"/>
        </w:rPr>
        <w:t xml:space="preserve">, </w:t>
      </w:r>
      <m:oMath>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δ</m:t>
            </m:r>
          </m:e>
          <m:sub>
            <m:r>
              <w:rPr>
                <w:rFonts w:ascii="Cambria Math" w:eastAsia="Times New Roman" w:hAnsi="Cambria Math" w:cs="Times New Roman"/>
                <w:kern w:val="0"/>
                <w:sz w:val="18"/>
                <w:szCs w:val="18"/>
                <w:lang/>
                <w14:ligatures w14:val="none"/>
              </w:rPr>
              <m:t>K</m:t>
            </m:r>
          </m:sub>
        </m:sSub>
      </m:oMath>
      <w:r w:rsidRPr="007D0E63">
        <w:rPr>
          <w:rFonts w:ascii="Times New Roman" w:eastAsia="Times New Roman" w:hAnsi="Times New Roman" w:cs="Times New Roman"/>
          <w:kern w:val="0"/>
          <w:sz w:val="18"/>
          <w:szCs w:val="18"/>
          <w:lang/>
          <w14:ligatures w14:val="none"/>
        </w:rPr>
        <w:t xml:space="preserve">, and </w:t>
      </w:r>
      <m:oMath>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δ</m:t>
            </m:r>
          </m:e>
          <m:sub>
            <m:r>
              <w:rPr>
                <w:rFonts w:ascii="Cambria Math" w:eastAsia="Times New Roman" w:hAnsi="Cambria Math" w:cs="Times New Roman"/>
                <w:kern w:val="0"/>
                <w:sz w:val="18"/>
                <w:szCs w:val="18"/>
                <w:lang/>
                <w14:ligatures w14:val="none"/>
              </w:rPr>
              <m:t>T</m:t>
            </m:r>
          </m:sub>
        </m:sSub>
      </m:oMath>
      <w:r w:rsidRPr="007D0E63">
        <w:rPr>
          <w:rFonts w:ascii="Times New Roman" w:eastAsia="Times New Roman" w:hAnsi="Times New Roman" w:cs="Times New Roman"/>
          <w:kern w:val="0"/>
          <w:sz w:val="18"/>
          <w:szCs w:val="18"/>
          <w:lang/>
          <w14:ligatures w14:val="none"/>
        </w:rPr>
        <w:t xml:space="preserve"> are the distribution (or share) parameters for each respective endowment. The parameter </w:t>
      </w:r>
      <m:oMath>
        <m:r>
          <w:rPr>
            <w:rFonts w:ascii="Cambria Math" w:eastAsia="Times New Roman" w:hAnsi="Cambria Math" w:cs="Times New Roman"/>
            <w:kern w:val="0"/>
            <w:sz w:val="18"/>
            <w:szCs w:val="18"/>
            <w:lang/>
            <w14:ligatures w14:val="none"/>
          </w:rPr>
          <m:t>ρ</m:t>
        </m:r>
      </m:oMath>
      <w:r w:rsidRPr="007D0E63">
        <w:rPr>
          <w:rFonts w:ascii="Times New Roman" w:eastAsia="Times New Roman" w:hAnsi="Times New Roman" w:cs="Times New Roman"/>
          <w:kern w:val="0"/>
          <w:sz w:val="18"/>
          <w:szCs w:val="18"/>
          <w:lang/>
          <w14:ligatures w14:val="none"/>
        </w:rPr>
        <w:t xml:space="preserve"> dictates the elasticity of substitution (</w:t>
      </w:r>
      <m:oMath>
        <m:r>
          <w:rPr>
            <w:rFonts w:ascii="Cambria Math" w:eastAsia="Times New Roman" w:hAnsi="Cambria Math" w:cs="Times New Roman"/>
            <w:kern w:val="0"/>
            <w:sz w:val="18"/>
            <w:szCs w:val="18"/>
            <w:lang/>
            <w14:ligatures w14:val="none"/>
          </w:rPr>
          <m:t>σ</m:t>
        </m:r>
      </m:oMath>
      <w:r w:rsidRPr="007D0E63">
        <w:rPr>
          <w:rFonts w:ascii="Times New Roman" w:eastAsia="Times New Roman" w:hAnsi="Times New Roman" w:cs="Times New Roman"/>
          <w:kern w:val="0"/>
          <w:sz w:val="18"/>
          <w:szCs w:val="18"/>
          <w:lang/>
          <w14:ligatures w14:val="none"/>
        </w:rPr>
        <w:t xml:space="preserve">) between factors, where </w:t>
      </w:r>
      <m:oMath>
        <m:r>
          <w:rPr>
            <w:rFonts w:ascii="Cambria Math" w:eastAsia="Times New Roman" w:hAnsi="Cambria Math" w:cs="Times New Roman"/>
            <w:kern w:val="0"/>
            <w:sz w:val="18"/>
            <w:szCs w:val="18"/>
            <w:lang/>
            <w14:ligatures w14:val="none"/>
          </w:rPr>
          <m:t>σ=1</m:t>
        </m:r>
        <m:r>
          <m:rPr>
            <m:nor/>
          </m:rPr>
          <w:rPr>
            <w:rFonts w:ascii="Times New Roman" w:eastAsia="Times New Roman" w:hAnsi="Times New Roman" w:cs="Times New Roman"/>
            <w:kern w:val="0"/>
            <w:sz w:val="18"/>
            <w:szCs w:val="18"/>
            <w:lang/>
            <w14:ligatures w14:val="none"/>
          </w:rPr>
          <m:t>/</m:t>
        </m:r>
        <m:r>
          <w:rPr>
            <w:rFonts w:ascii="Cambria Math" w:eastAsia="Times New Roman" w:hAnsi="Cambria Math" w:cs="Times New Roman"/>
            <w:kern w:val="0"/>
            <w:sz w:val="18"/>
            <w:szCs w:val="18"/>
            <w:lang/>
            <w14:ligatures w14:val="none"/>
          </w:rPr>
          <m:t>(1+ρ)</m:t>
        </m:r>
      </m:oMath>
      <w:r w:rsidRPr="007D0E63">
        <w:rPr>
          <w:rFonts w:ascii="Times New Roman" w:eastAsia="Times New Roman" w:hAnsi="Times New Roman" w:cs="Times New Roman"/>
          <w:kern w:val="0"/>
          <w:sz w:val="18"/>
          <w:szCs w:val="18"/>
          <w:lang/>
          <w14:ligatures w14:val="none"/>
        </w:rPr>
        <w:t>.</w:t>
      </w:r>
    </w:p>
    <w:p w14:paraId="7CFEFEC0" w14:textId="77777777" w:rsidR="00C94409" w:rsidRPr="007D0E63" w:rsidRDefault="00C94409" w:rsidP="00C94409">
      <w:pPr>
        <w:spacing w:after="200" w:line="360" w:lineRule="auto"/>
        <w:rPr>
          <w:rFonts w:ascii="Times New Roman" w:eastAsia="Times New Roman" w:hAnsi="Times New Roman" w:cs="Times New Roman"/>
          <w:kern w:val="0"/>
          <w:sz w:val="18"/>
          <w:szCs w:val="18"/>
          <w:lang/>
          <w14:ligatures w14:val="none"/>
        </w:rPr>
      </w:pPr>
      <w:r w:rsidRPr="007D0E63">
        <w:rPr>
          <w:rFonts w:ascii="Times New Roman" w:eastAsia="Times New Roman" w:hAnsi="Times New Roman" w:cs="Times New Roman"/>
          <w:kern w:val="0"/>
          <w:sz w:val="18"/>
          <w:szCs w:val="18"/>
          <w:lang/>
          <w14:ligatures w14:val="none"/>
        </w:rPr>
        <w:t xml:space="preserve"> </w:t>
      </w:r>
    </w:p>
    <w:p w14:paraId="5D8018EA" w14:textId="77777777" w:rsidR="00C94409" w:rsidRPr="007D0E63" w:rsidRDefault="00C94409" w:rsidP="00C94409">
      <w:pPr>
        <w:spacing w:after="120" w:line="360" w:lineRule="auto"/>
        <w:rPr>
          <w:rFonts w:ascii="Times New Roman" w:eastAsia="Times New Roman" w:hAnsi="Times New Roman" w:cs="Times New Roman"/>
          <w:kern w:val="0"/>
          <w:sz w:val="18"/>
          <w:szCs w:val="18"/>
          <w:lang/>
          <w14:ligatures w14:val="none"/>
        </w:rPr>
      </w:pPr>
      <w:r w:rsidRPr="007D0E63">
        <w:rPr>
          <w:rFonts w:ascii="Times New Roman" w:eastAsia="Times New Roman" w:hAnsi="Times New Roman" w:cs="Times New Roman"/>
          <w:kern w:val="0"/>
          <w:sz w:val="18"/>
          <w:szCs w:val="18"/>
          <w:lang/>
          <w14:ligatures w14:val="none"/>
        </w:rPr>
        <w:t>Crucially, agricultural land is sluggish. The allocation of total available agricultural land (</w:t>
      </w:r>
      <m:oMath>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T</m:t>
            </m:r>
          </m:e>
          <m:sub>
            <m:r>
              <w:rPr>
                <w:rFonts w:ascii="Cambria Math" w:eastAsia="Times New Roman" w:hAnsi="Cambria Math" w:cs="Times New Roman"/>
                <w:kern w:val="0"/>
                <w:sz w:val="18"/>
                <w:szCs w:val="18"/>
                <w:lang/>
                <w14:ligatures w14:val="none"/>
              </w:rPr>
              <m:t>tot,r</m:t>
            </m:r>
          </m:sub>
        </m:sSub>
      </m:oMath>
      <w:r w:rsidRPr="007D0E63">
        <w:rPr>
          <w:rFonts w:ascii="Times New Roman" w:eastAsia="Times New Roman" w:hAnsi="Times New Roman" w:cs="Times New Roman"/>
          <w:kern w:val="0"/>
          <w:sz w:val="18"/>
          <w:szCs w:val="18"/>
          <w:lang/>
          <w14:ligatures w14:val="none"/>
        </w:rPr>
        <w:t>) to wheat versus competing crops is governed by a Constant Elasticity of Transformation (CET) function driven by relative land rents (</w:t>
      </w:r>
      <m:oMath>
        <m:r>
          <w:rPr>
            <w:rFonts w:ascii="Cambria Math" w:eastAsia="Times New Roman" w:hAnsi="Cambria Math" w:cs="Times New Roman"/>
            <w:kern w:val="0"/>
            <w:sz w:val="18"/>
            <w:szCs w:val="18"/>
            <w:lang/>
            <w14:ligatures w14:val="none"/>
          </w:rPr>
          <m:t>R</m:t>
        </m:r>
      </m:oMath>
      <w:r w:rsidRPr="007D0E63">
        <w:rPr>
          <w:rFonts w:ascii="Times New Roman" w:eastAsia="Times New Roman" w:hAnsi="Times New Roman" w:cs="Times New Roman"/>
          <w:kern w:val="0"/>
          <w:sz w:val="18"/>
          <w:szCs w:val="18"/>
          <w:lang/>
          <w14:ligatures w14:val="none"/>
        </w:rPr>
        <w:t>):</w:t>
      </w:r>
    </w:p>
    <w:p w14:paraId="1648AAF1" w14:textId="77777777" w:rsidR="00C94409" w:rsidRPr="007D0E63" w:rsidRDefault="00C94409" w:rsidP="00C94409">
      <w:pPr>
        <w:spacing w:before="240" w:line="360" w:lineRule="auto"/>
        <w:jc w:val="center"/>
        <w:rPr>
          <w:rFonts w:ascii="Times New Roman" w:eastAsia="Times New Roman" w:hAnsi="Times New Roman" w:cs="Times New Roman"/>
          <w:kern w:val="0"/>
          <w:sz w:val="18"/>
          <w:szCs w:val="18"/>
          <w:lang/>
          <w14:ligatures w14:val="none"/>
        </w:rPr>
      </w:pPr>
      <w:r w:rsidRPr="007D0E63">
        <w:rPr>
          <w:rFonts w:ascii="Times New Roman" w:eastAsia="Times New Roman" w:hAnsi="Times New Roman" w:cs="Times New Roman"/>
          <w:noProof/>
          <w:kern w:val="0"/>
          <w:sz w:val="18"/>
          <w:szCs w:val="18"/>
          <w:lang/>
          <w14:ligatures w14:val="none"/>
        </w:rPr>
        <w:drawing>
          <wp:inline distT="0" distB="0" distL="0" distR="0" wp14:anchorId="3C0B1F59" wp14:editId="11BE66D0">
            <wp:extent cx="1618091" cy="342035"/>
            <wp:effectExtent l="0" t="0" r="1270" b="1270"/>
            <wp:docPr id="20702118" name="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644577" cy="347634"/>
                    </a:xfrm>
                    <a:prstGeom prst="rect">
                      <a:avLst/>
                    </a:prstGeom>
                  </pic:spPr>
                </pic:pic>
              </a:graphicData>
            </a:graphic>
          </wp:inline>
        </w:drawing>
      </w:r>
    </w:p>
    <w:p w14:paraId="7CD2A289" w14:textId="77777777" w:rsidR="00C94409" w:rsidRPr="007D0E63" w:rsidRDefault="00C94409" w:rsidP="00C94409">
      <w:pPr>
        <w:spacing w:after="120" w:line="360" w:lineRule="auto"/>
        <w:rPr>
          <w:rFonts w:ascii="Times New Roman" w:eastAsia="Times New Roman" w:hAnsi="Times New Roman" w:cs="Times New Roman"/>
          <w:kern w:val="0"/>
          <w:sz w:val="18"/>
          <w:szCs w:val="18"/>
          <w:lang/>
          <w14:ligatures w14:val="none"/>
        </w:rPr>
      </w:pPr>
      <w:r w:rsidRPr="007D0E63">
        <w:rPr>
          <w:rFonts w:ascii="Times New Roman" w:eastAsia="Times New Roman" w:hAnsi="Times New Roman" w:cs="Times New Roman"/>
          <w:kern w:val="0"/>
          <w:sz w:val="18"/>
          <w:szCs w:val="18"/>
          <w:lang/>
          <w14:ligatures w14:val="none"/>
        </w:rPr>
        <w:t xml:space="preserve">where </w:t>
      </w:r>
      <m:oMath>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α</m:t>
            </m:r>
          </m:e>
          <m:sub>
            <m:r>
              <w:rPr>
                <w:rFonts w:ascii="Cambria Math" w:eastAsia="Times New Roman" w:hAnsi="Cambria Math" w:cs="Times New Roman"/>
                <w:kern w:val="0"/>
                <w:sz w:val="18"/>
                <w:szCs w:val="18"/>
                <w:lang/>
                <w14:ligatures w14:val="none"/>
              </w:rPr>
              <m:t>w,r</m:t>
            </m:r>
          </m:sub>
        </m:sSub>
      </m:oMath>
      <w:r w:rsidRPr="007D0E63">
        <w:rPr>
          <w:rFonts w:ascii="Times New Roman" w:eastAsia="Times New Roman" w:hAnsi="Times New Roman" w:cs="Times New Roman"/>
          <w:kern w:val="0"/>
          <w:sz w:val="18"/>
          <w:szCs w:val="18"/>
          <w:lang/>
          <w14:ligatures w14:val="none"/>
        </w:rPr>
        <w:t xml:space="preserve"> is the CET shift parameter, </w:t>
      </w:r>
      <m:oMath>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R</m:t>
            </m:r>
          </m:e>
          <m:sub>
            <m:r>
              <w:rPr>
                <w:rFonts w:ascii="Cambria Math" w:eastAsia="Times New Roman" w:hAnsi="Cambria Math" w:cs="Times New Roman"/>
                <w:kern w:val="0"/>
                <w:sz w:val="18"/>
                <w:szCs w:val="18"/>
                <w:lang/>
                <w14:ligatures w14:val="none"/>
              </w:rPr>
              <m:t>w,r</m:t>
            </m:r>
          </m:sub>
        </m:sSub>
      </m:oMath>
      <w:r w:rsidRPr="007D0E63">
        <w:rPr>
          <w:rFonts w:ascii="Times New Roman" w:eastAsia="Times New Roman" w:hAnsi="Times New Roman" w:cs="Times New Roman"/>
          <w:kern w:val="0"/>
          <w:sz w:val="18"/>
          <w:szCs w:val="18"/>
          <w:lang/>
          <w14:ligatures w14:val="none"/>
        </w:rPr>
        <w:t xml:space="preserve"> is the land rent (yield value) for wheat, </w:t>
      </w:r>
      <m:oMath>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R</m:t>
            </m:r>
          </m:e>
          <m:sub>
            <m:r>
              <w:rPr>
                <w:rFonts w:ascii="Cambria Math" w:eastAsia="Times New Roman" w:hAnsi="Cambria Math" w:cs="Times New Roman"/>
                <w:kern w:val="0"/>
                <w:sz w:val="18"/>
                <w:szCs w:val="18"/>
                <w:lang/>
                <w14:ligatures w14:val="none"/>
              </w:rPr>
              <m:t>avg,r</m:t>
            </m:r>
          </m:sub>
        </m:sSub>
      </m:oMath>
      <w:r w:rsidRPr="007D0E63">
        <w:rPr>
          <w:rFonts w:ascii="Times New Roman" w:eastAsia="Times New Roman" w:hAnsi="Times New Roman" w:cs="Times New Roman"/>
          <w:kern w:val="0"/>
          <w:sz w:val="18"/>
          <w:szCs w:val="18"/>
          <w:lang/>
          <w14:ligatures w14:val="none"/>
        </w:rPr>
        <w:t xml:space="preserve"> is the average land rent across all competing agricultural sectors, and </w:t>
      </w:r>
      <m:oMath>
        <m:r>
          <m:rPr>
            <m:nor/>
          </m:rPr>
          <w:rPr>
            <w:rFonts w:ascii="Times New Roman" w:eastAsia="Times New Roman" w:hAnsi="Times New Roman" w:cs="Times New Roman"/>
            <w:kern w:val="0"/>
            <w:sz w:val="18"/>
            <w:szCs w:val="18"/>
            <w:lang/>
            <w14:ligatures w14:val="none"/>
          </w:rPr>
          <m:t>Ω</m:t>
        </m:r>
      </m:oMath>
      <w:r w:rsidRPr="007D0E63">
        <w:rPr>
          <w:rFonts w:ascii="Times New Roman" w:eastAsia="Times New Roman" w:hAnsi="Times New Roman" w:cs="Times New Roman"/>
          <w:kern w:val="0"/>
          <w:sz w:val="18"/>
          <w:szCs w:val="18"/>
          <w:lang/>
          <w14:ligatures w14:val="none"/>
        </w:rPr>
        <w:t xml:space="preserve"> is the elasticity of transformation.</w:t>
      </w:r>
    </w:p>
    <w:p w14:paraId="37B24A72" w14:textId="77777777" w:rsidR="00C94409" w:rsidRPr="007D0E63" w:rsidRDefault="00C94409" w:rsidP="00C94409">
      <w:pPr>
        <w:spacing w:after="200" w:line="360" w:lineRule="auto"/>
        <w:rPr>
          <w:rFonts w:ascii="Times New Roman" w:eastAsia="Times New Roman" w:hAnsi="Times New Roman" w:cs="Times New Roman"/>
          <w:kern w:val="0"/>
          <w:sz w:val="18"/>
          <w:szCs w:val="18"/>
          <w:lang/>
          <w14:ligatures w14:val="none"/>
        </w:rPr>
      </w:pPr>
      <w:r w:rsidRPr="007D0E63">
        <w:rPr>
          <w:rFonts w:ascii="Times New Roman" w:eastAsia="Times New Roman" w:hAnsi="Times New Roman" w:cs="Times New Roman"/>
          <w:kern w:val="0"/>
          <w:sz w:val="18"/>
          <w:szCs w:val="18"/>
          <w:lang/>
          <w14:ligatures w14:val="none"/>
        </w:rPr>
        <w:t xml:space="preserve"> </w:t>
      </w:r>
    </w:p>
    <w:p w14:paraId="4DDEC7D0" w14:textId="77777777" w:rsidR="00C94409" w:rsidRPr="007D0E63" w:rsidRDefault="00C94409" w:rsidP="00C94409">
      <w:pPr>
        <w:spacing w:after="120" w:line="360" w:lineRule="auto"/>
        <w:rPr>
          <w:rFonts w:ascii="Times New Roman" w:eastAsia="Times New Roman" w:hAnsi="Times New Roman" w:cs="Times New Roman"/>
          <w:kern w:val="0"/>
          <w:sz w:val="18"/>
          <w:szCs w:val="18"/>
          <w:lang/>
          <w14:ligatures w14:val="none"/>
        </w:rPr>
      </w:pPr>
      <w:r w:rsidRPr="007D0E63">
        <w:rPr>
          <w:rFonts w:ascii="Times New Roman" w:eastAsia="Times New Roman" w:hAnsi="Times New Roman" w:cs="Times New Roman"/>
          <w:b/>
          <w:bCs/>
          <w:kern w:val="0"/>
          <w:sz w:val="18"/>
          <w:szCs w:val="18"/>
          <w:lang/>
          <w14:ligatures w14:val="none"/>
        </w:rPr>
        <w:t>B.3 The Armington Trade Specification</w:t>
      </w:r>
      <w:r w:rsidRPr="007D0E63">
        <w:rPr>
          <w:rFonts w:ascii="Times New Roman" w:eastAsia="Times New Roman" w:hAnsi="Times New Roman" w:cs="Times New Roman"/>
          <w:kern w:val="0"/>
          <w:sz w:val="18"/>
          <w:szCs w:val="18"/>
          <w:lang/>
          <w14:ligatures w14:val="none"/>
        </w:rPr>
        <w:br/>
        <w:t xml:space="preserve">MAGNET assumes that wheat produced domestically is not perfectly substitutable with imported wheat. This is captured via the Armington assumption using a nested CES structure. The total composite supply of wheat available for consumption in region </w:t>
      </w:r>
      <m:oMath>
        <m:r>
          <w:rPr>
            <w:rFonts w:ascii="Cambria Math" w:eastAsia="Times New Roman" w:hAnsi="Cambria Math" w:cs="Times New Roman"/>
            <w:kern w:val="0"/>
            <w:sz w:val="18"/>
            <w:szCs w:val="18"/>
            <w:lang/>
            <w14:ligatures w14:val="none"/>
          </w:rPr>
          <m:t>r</m:t>
        </m:r>
      </m:oMath>
      <w:r w:rsidRPr="007D0E63">
        <w:rPr>
          <w:rFonts w:ascii="Times New Roman" w:eastAsia="Times New Roman" w:hAnsi="Times New Roman" w:cs="Times New Roman"/>
          <w:kern w:val="0"/>
          <w:sz w:val="18"/>
          <w:szCs w:val="18"/>
          <w:lang/>
          <w14:ligatures w14:val="none"/>
        </w:rPr>
        <w:t xml:space="preserve"> (</w:t>
      </w:r>
      <m:oMath>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Q</m:t>
            </m:r>
          </m:e>
          <m:sub>
            <m:r>
              <w:rPr>
                <w:rFonts w:ascii="Cambria Math" w:eastAsia="Times New Roman" w:hAnsi="Cambria Math" w:cs="Times New Roman"/>
                <w:kern w:val="0"/>
                <w:sz w:val="18"/>
                <w:szCs w:val="18"/>
                <w:lang/>
                <w14:ligatures w14:val="none"/>
              </w:rPr>
              <m:t>w,r</m:t>
            </m:r>
          </m:sub>
        </m:sSub>
      </m:oMath>
      <w:r w:rsidRPr="007D0E63">
        <w:rPr>
          <w:rFonts w:ascii="Times New Roman" w:eastAsia="Times New Roman" w:hAnsi="Times New Roman" w:cs="Times New Roman"/>
          <w:kern w:val="0"/>
          <w:sz w:val="18"/>
          <w:szCs w:val="18"/>
          <w:lang/>
          <w14:ligatures w14:val="none"/>
        </w:rPr>
        <w:t>) is a mix of domestic goods (</w:t>
      </w:r>
      <m:oMath>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D</m:t>
            </m:r>
          </m:e>
          <m:sub>
            <m:r>
              <w:rPr>
                <w:rFonts w:ascii="Cambria Math" w:eastAsia="Times New Roman" w:hAnsi="Cambria Math" w:cs="Times New Roman"/>
                <w:kern w:val="0"/>
                <w:sz w:val="18"/>
                <w:szCs w:val="18"/>
                <w:lang/>
                <w14:ligatures w14:val="none"/>
              </w:rPr>
              <m:t>w,r</m:t>
            </m:r>
          </m:sub>
        </m:sSub>
      </m:oMath>
      <w:r w:rsidRPr="007D0E63">
        <w:rPr>
          <w:rFonts w:ascii="Times New Roman" w:eastAsia="Times New Roman" w:hAnsi="Times New Roman" w:cs="Times New Roman"/>
          <w:kern w:val="0"/>
          <w:sz w:val="18"/>
          <w:szCs w:val="18"/>
          <w:lang/>
          <w14:ligatures w14:val="none"/>
        </w:rPr>
        <w:t>) and an aggregate of imports (</w:t>
      </w:r>
      <m:oMath>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M</m:t>
            </m:r>
          </m:e>
          <m:sub>
            <m:r>
              <w:rPr>
                <w:rFonts w:ascii="Cambria Math" w:eastAsia="Times New Roman" w:hAnsi="Cambria Math" w:cs="Times New Roman"/>
                <w:kern w:val="0"/>
                <w:sz w:val="18"/>
                <w:szCs w:val="18"/>
                <w:lang/>
                <w14:ligatures w14:val="none"/>
              </w:rPr>
              <m:t>w,r</m:t>
            </m:r>
          </m:sub>
        </m:sSub>
      </m:oMath>
      <w:r w:rsidRPr="007D0E63">
        <w:rPr>
          <w:rFonts w:ascii="Times New Roman" w:eastAsia="Times New Roman" w:hAnsi="Times New Roman" w:cs="Times New Roman"/>
          <w:kern w:val="0"/>
          <w:sz w:val="18"/>
          <w:szCs w:val="18"/>
          <w:lang/>
          <w14:ligatures w14:val="none"/>
        </w:rPr>
        <w:t>):</w:t>
      </w:r>
    </w:p>
    <w:p w14:paraId="76A44C94" w14:textId="77777777" w:rsidR="00C94409" w:rsidRPr="007D0E63" w:rsidRDefault="00C94409" w:rsidP="00C94409">
      <w:pPr>
        <w:spacing w:before="240" w:line="360" w:lineRule="auto"/>
        <w:jc w:val="center"/>
        <w:rPr>
          <w:rFonts w:ascii="Times New Roman" w:eastAsia="Times New Roman" w:hAnsi="Times New Roman" w:cs="Times New Roman"/>
          <w:kern w:val="0"/>
          <w:sz w:val="18"/>
          <w:szCs w:val="18"/>
          <w:lang/>
          <w14:ligatures w14:val="none"/>
        </w:rPr>
      </w:pPr>
      <w:r w:rsidRPr="007D0E63">
        <w:rPr>
          <w:rFonts w:ascii="Times New Roman" w:eastAsia="Times New Roman" w:hAnsi="Times New Roman" w:cs="Times New Roman"/>
          <w:noProof/>
          <w:kern w:val="0"/>
          <w:sz w:val="18"/>
          <w:szCs w:val="18"/>
          <w:lang/>
          <w14:ligatures w14:val="none"/>
        </w:rPr>
        <w:drawing>
          <wp:inline distT="0" distB="0" distL="0" distR="0" wp14:anchorId="507AE5FF" wp14:editId="15D63677">
            <wp:extent cx="2202511" cy="227593"/>
            <wp:effectExtent l="0" t="0" r="0" b="1270"/>
            <wp:docPr id="874397280" name="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261108" cy="233648"/>
                    </a:xfrm>
                    <a:prstGeom prst="rect">
                      <a:avLst/>
                    </a:prstGeom>
                  </pic:spPr>
                </pic:pic>
              </a:graphicData>
            </a:graphic>
          </wp:inline>
        </w:drawing>
      </w:r>
    </w:p>
    <w:p w14:paraId="181AB7B0" w14:textId="77777777" w:rsidR="00C94409" w:rsidRPr="007D0E63" w:rsidRDefault="00C94409" w:rsidP="00C94409">
      <w:pPr>
        <w:spacing w:after="120" w:line="360" w:lineRule="auto"/>
        <w:rPr>
          <w:rFonts w:ascii="Times New Roman" w:eastAsia="Times New Roman" w:hAnsi="Times New Roman" w:cs="Times New Roman"/>
          <w:kern w:val="0"/>
          <w:sz w:val="18"/>
          <w:szCs w:val="18"/>
          <w:lang/>
          <w14:ligatures w14:val="none"/>
        </w:rPr>
      </w:pPr>
      <w:r w:rsidRPr="007D0E63">
        <w:rPr>
          <w:rFonts w:ascii="Times New Roman" w:eastAsia="Times New Roman" w:hAnsi="Times New Roman" w:cs="Times New Roman"/>
          <w:kern w:val="0"/>
          <w:sz w:val="18"/>
          <w:szCs w:val="18"/>
          <w:lang/>
          <w14:ligatures w14:val="none"/>
        </w:rPr>
        <w:t xml:space="preserve">In this equation, </w:t>
      </w:r>
      <m:oMath>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γ</m:t>
            </m:r>
          </m:e>
          <m:sub>
            <m:r>
              <w:rPr>
                <w:rFonts w:ascii="Cambria Math" w:eastAsia="Times New Roman" w:hAnsi="Cambria Math" w:cs="Times New Roman"/>
                <w:kern w:val="0"/>
                <w:sz w:val="18"/>
                <w:szCs w:val="18"/>
                <w:lang/>
                <w14:ligatures w14:val="none"/>
              </w:rPr>
              <m:t>r</m:t>
            </m:r>
          </m:sub>
        </m:sSub>
      </m:oMath>
      <w:r w:rsidRPr="007D0E63">
        <w:rPr>
          <w:rFonts w:ascii="Times New Roman" w:eastAsia="Times New Roman" w:hAnsi="Times New Roman" w:cs="Times New Roman"/>
          <w:kern w:val="0"/>
          <w:sz w:val="18"/>
          <w:szCs w:val="18"/>
          <w:lang/>
          <w14:ligatures w14:val="none"/>
        </w:rPr>
        <w:t xml:space="preserve"> is the Armington shift parameter, while </w:t>
      </w:r>
      <m:oMath>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β</m:t>
            </m:r>
          </m:e>
          <m:sub>
            <m:r>
              <w:rPr>
                <w:rFonts w:ascii="Cambria Math" w:eastAsia="Times New Roman" w:hAnsi="Cambria Math" w:cs="Times New Roman"/>
                <w:kern w:val="0"/>
                <w:sz w:val="18"/>
                <w:szCs w:val="18"/>
                <w:lang/>
                <w14:ligatures w14:val="none"/>
              </w:rPr>
              <m:t>d</m:t>
            </m:r>
          </m:sub>
        </m:sSub>
      </m:oMath>
      <w:r w:rsidRPr="007D0E63">
        <w:rPr>
          <w:rFonts w:ascii="Times New Roman" w:eastAsia="Times New Roman" w:hAnsi="Times New Roman" w:cs="Times New Roman"/>
          <w:kern w:val="0"/>
          <w:sz w:val="18"/>
          <w:szCs w:val="18"/>
          <w:lang/>
          <w14:ligatures w14:val="none"/>
        </w:rPr>
        <w:t xml:space="preserve"> and </w:t>
      </w:r>
      <m:oMath>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β</m:t>
            </m:r>
          </m:e>
          <m:sub>
            <m:r>
              <w:rPr>
                <w:rFonts w:ascii="Cambria Math" w:eastAsia="Times New Roman" w:hAnsi="Cambria Math" w:cs="Times New Roman"/>
                <w:kern w:val="0"/>
                <w:sz w:val="18"/>
                <w:szCs w:val="18"/>
                <w:lang/>
                <w14:ligatures w14:val="none"/>
              </w:rPr>
              <m:t>m</m:t>
            </m:r>
          </m:sub>
        </m:sSub>
      </m:oMath>
      <w:r w:rsidRPr="007D0E63">
        <w:rPr>
          <w:rFonts w:ascii="Times New Roman" w:eastAsia="Times New Roman" w:hAnsi="Times New Roman" w:cs="Times New Roman"/>
          <w:kern w:val="0"/>
          <w:sz w:val="18"/>
          <w:szCs w:val="18"/>
          <w:lang/>
          <w14:ligatures w14:val="none"/>
        </w:rPr>
        <w:t xml:space="preserve"> are the share parameters determining the preference for domestic versus imported wheat. The parameter </w:t>
      </w:r>
      <m:oMath>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ρ</m:t>
            </m:r>
          </m:e>
          <m:sub>
            <m:r>
              <w:rPr>
                <w:rFonts w:ascii="Cambria Math" w:eastAsia="Times New Roman" w:hAnsi="Cambria Math" w:cs="Times New Roman"/>
                <w:kern w:val="0"/>
                <w:sz w:val="18"/>
                <w:szCs w:val="18"/>
                <w:lang/>
                <w14:ligatures w14:val="none"/>
              </w:rPr>
              <m:t>m</m:t>
            </m:r>
          </m:sub>
        </m:sSub>
      </m:oMath>
      <w:r w:rsidRPr="007D0E63">
        <w:rPr>
          <w:rFonts w:ascii="Times New Roman" w:eastAsia="Times New Roman" w:hAnsi="Times New Roman" w:cs="Times New Roman"/>
          <w:kern w:val="0"/>
          <w:sz w:val="18"/>
          <w:szCs w:val="18"/>
          <w:lang/>
          <w14:ligatures w14:val="none"/>
        </w:rPr>
        <w:t xml:space="preserve"> determines the Armington elasticity of substitution (</w:t>
      </w:r>
      <m:oMath>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σ</m:t>
            </m:r>
          </m:e>
          <m:sub>
            <m:r>
              <w:rPr>
                <w:rFonts w:ascii="Cambria Math" w:eastAsia="Times New Roman" w:hAnsi="Cambria Math" w:cs="Times New Roman"/>
                <w:kern w:val="0"/>
                <w:sz w:val="18"/>
                <w:szCs w:val="18"/>
                <w:lang/>
                <w14:ligatures w14:val="none"/>
              </w:rPr>
              <m:t>m</m:t>
            </m:r>
          </m:sub>
        </m:sSub>
        <m:r>
          <w:rPr>
            <w:rFonts w:ascii="Cambria Math" w:eastAsia="Times New Roman" w:hAnsi="Cambria Math" w:cs="Times New Roman"/>
            <w:kern w:val="0"/>
            <w:sz w:val="18"/>
            <w:szCs w:val="18"/>
            <w:lang/>
            <w14:ligatures w14:val="none"/>
          </w:rPr>
          <m:t>=1</m:t>
        </m:r>
        <m:r>
          <m:rPr>
            <m:nor/>
          </m:rPr>
          <w:rPr>
            <w:rFonts w:ascii="Times New Roman" w:eastAsia="Times New Roman" w:hAnsi="Times New Roman" w:cs="Times New Roman"/>
            <w:kern w:val="0"/>
            <w:sz w:val="18"/>
            <w:szCs w:val="18"/>
            <w:lang/>
            <w14:ligatures w14:val="none"/>
          </w:rPr>
          <m:t>/</m:t>
        </m:r>
        <m:r>
          <w:rPr>
            <w:rFonts w:ascii="Cambria Math" w:eastAsia="Times New Roman" w:hAnsi="Cambria Math" w:cs="Times New Roman"/>
            <w:kern w:val="0"/>
            <w:sz w:val="18"/>
            <w:szCs w:val="18"/>
            <w:lang/>
            <w14:ligatures w14:val="none"/>
          </w:rPr>
          <m:t>(1+</m:t>
        </m:r>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ρ</m:t>
            </m:r>
          </m:e>
          <m:sub>
            <m:r>
              <w:rPr>
                <w:rFonts w:ascii="Cambria Math" w:eastAsia="Times New Roman" w:hAnsi="Cambria Math" w:cs="Times New Roman"/>
                <w:kern w:val="0"/>
                <w:sz w:val="18"/>
                <w:szCs w:val="18"/>
                <w:lang/>
                <w14:ligatures w14:val="none"/>
              </w:rPr>
              <m:t>m</m:t>
            </m:r>
          </m:sub>
        </m:sSub>
        <m:r>
          <w:rPr>
            <w:rFonts w:ascii="Cambria Math" w:eastAsia="Times New Roman" w:hAnsi="Cambria Math" w:cs="Times New Roman"/>
            <w:kern w:val="0"/>
            <w:sz w:val="18"/>
            <w:szCs w:val="18"/>
            <w:lang/>
            <w14:ligatures w14:val="none"/>
          </w:rPr>
          <m:t>)</m:t>
        </m:r>
      </m:oMath>
      <w:r w:rsidRPr="007D0E63">
        <w:rPr>
          <w:rFonts w:ascii="Times New Roman" w:eastAsia="Times New Roman" w:hAnsi="Times New Roman" w:cs="Times New Roman"/>
          <w:kern w:val="0"/>
          <w:sz w:val="18"/>
          <w:szCs w:val="18"/>
          <w:lang/>
          <w14:ligatures w14:val="none"/>
        </w:rPr>
        <w:t>). The aggregate import volume (</w:t>
      </w:r>
      <m:oMath>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M</m:t>
            </m:r>
          </m:e>
          <m:sub>
            <m:r>
              <w:rPr>
                <w:rFonts w:ascii="Cambria Math" w:eastAsia="Times New Roman" w:hAnsi="Cambria Math" w:cs="Times New Roman"/>
                <w:kern w:val="0"/>
                <w:sz w:val="18"/>
                <w:szCs w:val="18"/>
                <w:lang/>
                <w14:ligatures w14:val="none"/>
              </w:rPr>
              <m:t>w,r</m:t>
            </m:r>
          </m:sub>
        </m:sSub>
      </m:oMath>
      <w:r w:rsidRPr="007D0E63">
        <w:rPr>
          <w:rFonts w:ascii="Times New Roman" w:eastAsia="Times New Roman" w:hAnsi="Times New Roman" w:cs="Times New Roman"/>
          <w:kern w:val="0"/>
          <w:sz w:val="18"/>
          <w:szCs w:val="18"/>
          <w:lang/>
          <w14:ligatures w14:val="none"/>
        </w:rPr>
        <w:t>) is subsequently determined by a lower-level CES nest that allocates demand across different exporting regions based on bilateral trade costs, tariffs, and relative prices.</w:t>
      </w:r>
    </w:p>
    <w:p w14:paraId="5405A065" w14:textId="77777777" w:rsidR="00C94409" w:rsidRPr="007D0E63" w:rsidRDefault="00C94409" w:rsidP="00C94409">
      <w:pPr>
        <w:spacing w:after="200" w:line="360" w:lineRule="auto"/>
        <w:rPr>
          <w:rFonts w:ascii="Times New Roman" w:eastAsia="Times New Roman" w:hAnsi="Times New Roman" w:cs="Times New Roman"/>
          <w:kern w:val="0"/>
          <w:sz w:val="18"/>
          <w:szCs w:val="18"/>
          <w:lang/>
          <w14:ligatures w14:val="none"/>
        </w:rPr>
      </w:pPr>
      <w:r w:rsidRPr="007D0E63">
        <w:rPr>
          <w:rFonts w:ascii="Times New Roman" w:eastAsia="Times New Roman" w:hAnsi="Times New Roman" w:cs="Times New Roman"/>
          <w:kern w:val="0"/>
          <w:sz w:val="18"/>
          <w:szCs w:val="18"/>
          <w:lang/>
          <w14:ligatures w14:val="none"/>
        </w:rPr>
        <w:t xml:space="preserve"> </w:t>
      </w:r>
    </w:p>
    <w:p w14:paraId="76E72B23" w14:textId="77777777" w:rsidR="00C94409" w:rsidRPr="007D0E63" w:rsidRDefault="00C94409" w:rsidP="00C94409">
      <w:pPr>
        <w:spacing w:after="120" w:line="360" w:lineRule="auto"/>
        <w:rPr>
          <w:rFonts w:ascii="Times New Roman" w:eastAsia="Times New Roman" w:hAnsi="Times New Roman" w:cs="Times New Roman"/>
          <w:kern w:val="0"/>
          <w:sz w:val="18"/>
          <w:szCs w:val="18"/>
          <w:lang/>
          <w14:ligatures w14:val="none"/>
        </w:rPr>
      </w:pPr>
      <w:r w:rsidRPr="007D0E63">
        <w:rPr>
          <w:rFonts w:ascii="Times New Roman" w:eastAsia="Times New Roman" w:hAnsi="Times New Roman" w:cs="Times New Roman"/>
          <w:b/>
          <w:bCs/>
          <w:kern w:val="0"/>
          <w:sz w:val="18"/>
          <w:szCs w:val="18"/>
          <w:lang/>
          <w14:ligatures w14:val="none"/>
        </w:rPr>
        <w:t>B.4 Demand and Market Clearing Conditions</w:t>
      </w:r>
      <w:r w:rsidRPr="007D0E63">
        <w:rPr>
          <w:rFonts w:ascii="Times New Roman" w:eastAsia="Times New Roman" w:hAnsi="Times New Roman" w:cs="Times New Roman"/>
          <w:kern w:val="0"/>
          <w:sz w:val="18"/>
          <w:szCs w:val="18"/>
          <w:lang/>
          <w14:ligatures w14:val="none"/>
        </w:rPr>
        <w:br/>
        <w:t>Final demand for wheat is driven by households and the intermediate food processing sectors. Household consumption is dictated by utility maximization, strictly constrained by regional income (</w:t>
      </w:r>
      <m:oMath>
        <m:r>
          <w:rPr>
            <w:rFonts w:ascii="Cambria Math" w:eastAsia="Times New Roman" w:hAnsi="Cambria Math" w:cs="Times New Roman"/>
            <w:kern w:val="0"/>
            <w:sz w:val="18"/>
            <w:szCs w:val="18"/>
            <w:lang/>
            <w14:ligatures w14:val="none"/>
          </w:rPr>
          <m:t>IN</m:t>
        </m:r>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C</m:t>
            </m:r>
          </m:e>
          <m:sub>
            <m:r>
              <w:rPr>
                <w:rFonts w:ascii="Cambria Math" w:eastAsia="Times New Roman" w:hAnsi="Cambria Math" w:cs="Times New Roman"/>
                <w:kern w:val="0"/>
                <w:sz w:val="18"/>
                <w:szCs w:val="18"/>
                <w:lang/>
                <w14:ligatures w14:val="none"/>
              </w:rPr>
              <m:t>r</m:t>
            </m:r>
          </m:sub>
        </m:sSub>
      </m:oMath>
      <w:r w:rsidRPr="007D0E63">
        <w:rPr>
          <w:rFonts w:ascii="Times New Roman" w:eastAsia="Times New Roman" w:hAnsi="Times New Roman" w:cs="Times New Roman"/>
          <w:kern w:val="0"/>
          <w:sz w:val="18"/>
          <w:szCs w:val="18"/>
          <w:lang/>
          <w14:ligatures w14:val="none"/>
        </w:rPr>
        <w:t xml:space="preserve">) and population dynamics. </w:t>
      </w:r>
    </w:p>
    <w:p w14:paraId="1D6EE5DD" w14:textId="77777777" w:rsidR="00C94409" w:rsidRPr="007D0E63" w:rsidRDefault="00C94409" w:rsidP="00C94409">
      <w:pPr>
        <w:spacing w:after="120" w:line="360" w:lineRule="auto"/>
        <w:rPr>
          <w:rFonts w:ascii="Times New Roman" w:eastAsia="Times New Roman" w:hAnsi="Times New Roman" w:cs="Times New Roman"/>
          <w:kern w:val="0"/>
          <w:sz w:val="18"/>
          <w:szCs w:val="18"/>
          <w:lang/>
          <w14:ligatures w14:val="none"/>
        </w:rPr>
      </w:pPr>
      <w:r w:rsidRPr="007D0E63">
        <w:rPr>
          <w:rFonts w:ascii="Times New Roman" w:eastAsia="Times New Roman" w:hAnsi="Times New Roman" w:cs="Times New Roman"/>
          <w:kern w:val="0"/>
          <w:sz w:val="18"/>
          <w:szCs w:val="18"/>
          <w:lang/>
          <w14:ligatures w14:val="none"/>
        </w:rPr>
        <w:lastRenderedPageBreak/>
        <w:t>The general equilibrium is achieved through market clearing conditions. For the global wheat market to clear, total regional production must exactly equal the sum of domestic final demand (</w:t>
      </w:r>
      <m:oMath>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D</m:t>
            </m:r>
          </m:e>
          <m:sub>
            <m:r>
              <w:rPr>
                <w:rFonts w:ascii="Cambria Math" w:eastAsia="Times New Roman" w:hAnsi="Cambria Math" w:cs="Times New Roman"/>
                <w:kern w:val="0"/>
                <w:sz w:val="18"/>
                <w:szCs w:val="18"/>
                <w:lang/>
                <w14:ligatures w14:val="none"/>
              </w:rPr>
              <m:t>w,r</m:t>
            </m:r>
          </m:sub>
        </m:sSub>
      </m:oMath>
      <w:r w:rsidRPr="007D0E63">
        <w:rPr>
          <w:rFonts w:ascii="Times New Roman" w:eastAsia="Times New Roman" w:hAnsi="Times New Roman" w:cs="Times New Roman"/>
          <w:kern w:val="0"/>
          <w:sz w:val="18"/>
          <w:szCs w:val="18"/>
          <w:lang/>
          <w14:ligatures w14:val="none"/>
        </w:rPr>
        <w:t>), intermediate demand (</w:t>
      </w:r>
      <m:oMath>
        <m:r>
          <w:rPr>
            <w:rFonts w:ascii="Cambria Math" w:eastAsia="Times New Roman" w:hAnsi="Cambria Math" w:cs="Times New Roman"/>
            <w:kern w:val="0"/>
            <w:sz w:val="18"/>
            <w:szCs w:val="18"/>
            <w:lang/>
            <w14:ligatures w14:val="none"/>
          </w:rPr>
          <m:t>IN</m:t>
        </m:r>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T</m:t>
            </m:r>
          </m:e>
          <m:sub>
            <m:r>
              <w:rPr>
                <w:rFonts w:ascii="Cambria Math" w:eastAsia="Times New Roman" w:hAnsi="Cambria Math" w:cs="Times New Roman"/>
                <w:kern w:val="0"/>
                <w:sz w:val="18"/>
                <w:szCs w:val="18"/>
                <w:lang/>
                <w14:ligatures w14:val="none"/>
              </w:rPr>
              <m:t>w,r</m:t>
            </m:r>
          </m:sub>
        </m:sSub>
      </m:oMath>
      <w:r w:rsidRPr="007D0E63">
        <w:rPr>
          <w:rFonts w:ascii="Times New Roman" w:eastAsia="Times New Roman" w:hAnsi="Times New Roman" w:cs="Times New Roman"/>
          <w:kern w:val="0"/>
          <w:sz w:val="18"/>
          <w:szCs w:val="18"/>
          <w:lang/>
          <w14:ligatures w14:val="none"/>
        </w:rPr>
        <w:t>), and international exports (</w:t>
      </w:r>
      <m:oMath>
        <m:sSub>
          <m:sSubPr>
            <m:ctrlPr>
              <w:rPr>
                <w:rFonts w:ascii="Cambria Math" w:eastAsia="Times New Roman" w:hAnsi="Cambria Math" w:cs="Times New Roman"/>
                <w:kern w:val="0"/>
                <w:sz w:val="18"/>
                <w:szCs w:val="18"/>
                <w:lang/>
                <w14:ligatures w14:val="none"/>
              </w:rPr>
            </m:ctrlPr>
          </m:sSubPr>
          <m:e>
            <m:r>
              <w:rPr>
                <w:rFonts w:ascii="Cambria Math" w:eastAsia="Times New Roman" w:hAnsi="Cambria Math" w:cs="Times New Roman"/>
                <w:kern w:val="0"/>
                <w:sz w:val="18"/>
                <w:szCs w:val="18"/>
                <w:lang/>
                <w14:ligatures w14:val="none"/>
              </w:rPr>
              <m:t>X</m:t>
            </m:r>
          </m:e>
          <m:sub>
            <m:r>
              <w:rPr>
                <w:rFonts w:ascii="Cambria Math" w:eastAsia="Times New Roman" w:hAnsi="Cambria Math" w:cs="Times New Roman"/>
                <w:kern w:val="0"/>
                <w:sz w:val="18"/>
                <w:szCs w:val="18"/>
                <w:lang/>
                <w14:ligatures w14:val="none"/>
              </w:rPr>
              <m:t>w,r</m:t>
            </m:r>
          </m:sub>
        </m:sSub>
      </m:oMath>
      <w:r w:rsidRPr="007D0E63">
        <w:rPr>
          <w:rFonts w:ascii="Times New Roman" w:eastAsia="Times New Roman" w:hAnsi="Times New Roman" w:cs="Times New Roman"/>
          <w:kern w:val="0"/>
          <w:sz w:val="18"/>
          <w:szCs w:val="18"/>
          <w:lang/>
          <w14:ligatures w14:val="none"/>
        </w:rPr>
        <w:t>):</w:t>
      </w:r>
    </w:p>
    <w:p w14:paraId="42750469" w14:textId="77777777" w:rsidR="00C94409" w:rsidRPr="007D0E63" w:rsidRDefault="00C94409" w:rsidP="00C94409">
      <w:pPr>
        <w:spacing w:before="240" w:line="360" w:lineRule="auto"/>
        <w:jc w:val="center"/>
        <w:rPr>
          <w:rFonts w:ascii="Times New Roman" w:eastAsia="Times New Roman" w:hAnsi="Times New Roman" w:cs="Times New Roman"/>
          <w:kern w:val="0"/>
          <w:sz w:val="22"/>
          <w:lang/>
          <w14:ligatures w14:val="none"/>
        </w:rPr>
      </w:pPr>
      <m:oMathPara>
        <m:oMath>
          <m:sSub>
            <m:sSubPr>
              <m:ctrlPr>
                <w:rPr>
                  <w:rFonts w:ascii="Cambria Math" w:eastAsia="Times New Roman" w:hAnsi="Cambria Math" w:cs="Times New Roman"/>
                  <w:kern w:val="0"/>
                  <w:sz w:val="22"/>
                  <w:lang/>
                  <w14:ligatures w14:val="none"/>
                </w:rPr>
              </m:ctrlPr>
            </m:sSubPr>
            <m:e>
              <m:r>
                <w:rPr>
                  <w:rFonts w:ascii="Cambria Math" w:eastAsia="Times New Roman" w:hAnsi="Cambria Math" w:cs="Times New Roman"/>
                  <w:kern w:val="0"/>
                  <w:sz w:val="22"/>
                  <w:lang/>
                  <w14:ligatures w14:val="none"/>
                </w:rPr>
                <m:t>Y</m:t>
              </m:r>
            </m:e>
            <m:sub>
              <m:r>
                <w:rPr>
                  <w:rFonts w:ascii="Cambria Math" w:eastAsia="Times New Roman" w:hAnsi="Cambria Math" w:cs="Times New Roman"/>
                  <w:kern w:val="0"/>
                  <w:sz w:val="22"/>
                  <w:lang/>
                  <w14:ligatures w14:val="none"/>
                </w:rPr>
                <m:t>w,r</m:t>
              </m:r>
            </m:sub>
          </m:sSub>
          <m:r>
            <w:rPr>
              <w:rFonts w:ascii="Cambria Math" w:eastAsia="Times New Roman" w:hAnsi="Cambria Math" w:cs="Times New Roman"/>
              <w:kern w:val="0"/>
              <w:sz w:val="22"/>
              <w:lang/>
              <w14:ligatures w14:val="none"/>
            </w:rPr>
            <m:t>=</m:t>
          </m:r>
          <m:sSub>
            <m:sSubPr>
              <m:ctrlPr>
                <w:rPr>
                  <w:rFonts w:ascii="Cambria Math" w:eastAsia="Times New Roman" w:hAnsi="Cambria Math" w:cs="Times New Roman"/>
                  <w:kern w:val="0"/>
                  <w:sz w:val="22"/>
                  <w:lang/>
                  <w14:ligatures w14:val="none"/>
                </w:rPr>
              </m:ctrlPr>
            </m:sSubPr>
            <m:e>
              <m:r>
                <w:rPr>
                  <w:rFonts w:ascii="Cambria Math" w:eastAsia="Times New Roman" w:hAnsi="Cambria Math" w:cs="Times New Roman"/>
                  <w:kern w:val="0"/>
                  <w:sz w:val="22"/>
                  <w:lang/>
                  <w14:ligatures w14:val="none"/>
                </w:rPr>
                <m:t>D</m:t>
              </m:r>
            </m:e>
            <m:sub>
              <m:r>
                <w:rPr>
                  <w:rFonts w:ascii="Cambria Math" w:eastAsia="Times New Roman" w:hAnsi="Cambria Math" w:cs="Times New Roman"/>
                  <w:kern w:val="0"/>
                  <w:sz w:val="22"/>
                  <w:lang/>
                  <w14:ligatures w14:val="none"/>
                </w:rPr>
                <m:t>w,r</m:t>
              </m:r>
            </m:sub>
          </m:sSub>
          <m:r>
            <w:rPr>
              <w:rFonts w:ascii="Cambria Math" w:eastAsia="Times New Roman" w:hAnsi="Cambria Math" w:cs="Times New Roman"/>
              <w:kern w:val="0"/>
              <w:sz w:val="22"/>
              <w:lang/>
              <w14:ligatures w14:val="none"/>
            </w:rPr>
            <m:t>+IN</m:t>
          </m:r>
          <m:sSub>
            <m:sSubPr>
              <m:ctrlPr>
                <w:rPr>
                  <w:rFonts w:ascii="Cambria Math" w:eastAsia="Times New Roman" w:hAnsi="Cambria Math" w:cs="Times New Roman"/>
                  <w:kern w:val="0"/>
                  <w:sz w:val="22"/>
                  <w:lang/>
                  <w14:ligatures w14:val="none"/>
                </w:rPr>
              </m:ctrlPr>
            </m:sSubPr>
            <m:e>
              <m:r>
                <w:rPr>
                  <w:rFonts w:ascii="Cambria Math" w:eastAsia="Times New Roman" w:hAnsi="Cambria Math" w:cs="Times New Roman"/>
                  <w:kern w:val="0"/>
                  <w:sz w:val="22"/>
                  <w:lang/>
                  <w14:ligatures w14:val="none"/>
                </w:rPr>
                <m:t>T</m:t>
              </m:r>
            </m:e>
            <m:sub>
              <m:r>
                <w:rPr>
                  <w:rFonts w:ascii="Cambria Math" w:eastAsia="Times New Roman" w:hAnsi="Cambria Math" w:cs="Times New Roman"/>
                  <w:kern w:val="0"/>
                  <w:sz w:val="22"/>
                  <w:lang/>
                  <w14:ligatures w14:val="none"/>
                </w:rPr>
                <m:t>w,r</m:t>
              </m:r>
            </m:sub>
          </m:sSub>
          <m:r>
            <w:rPr>
              <w:rFonts w:ascii="Cambria Math" w:eastAsia="Times New Roman" w:hAnsi="Cambria Math" w:cs="Times New Roman"/>
              <w:kern w:val="0"/>
              <w:sz w:val="22"/>
              <w:lang/>
              <w14:ligatures w14:val="none"/>
            </w:rPr>
            <m:t>+</m:t>
          </m:r>
          <m:sSub>
            <m:sSubPr>
              <m:ctrlPr>
                <w:rPr>
                  <w:rFonts w:ascii="Cambria Math" w:eastAsia="Times New Roman" w:hAnsi="Cambria Math" w:cs="Times New Roman"/>
                  <w:kern w:val="0"/>
                  <w:sz w:val="22"/>
                  <w:lang/>
                  <w14:ligatures w14:val="none"/>
                </w:rPr>
              </m:ctrlPr>
            </m:sSubPr>
            <m:e>
              <m:r>
                <w:rPr>
                  <w:rFonts w:ascii="Cambria Math" w:eastAsia="Times New Roman" w:hAnsi="Cambria Math" w:cs="Times New Roman"/>
                  <w:kern w:val="0"/>
                  <w:sz w:val="22"/>
                  <w:lang/>
                  <w14:ligatures w14:val="none"/>
                </w:rPr>
                <m:t>X</m:t>
              </m:r>
            </m:e>
            <m:sub>
              <m:r>
                <w:rPr>
                  <w:rFonts w:ascii="Cambria Math" w:eastAsia="Times New Roman" w:hAnsi="Cambria Math" w:cs="Times New Roman"/>
                  <w:kern w:val="0"/>
                  <w:sz w:val="22"/>
                  <w:lang/>
                  <w14:ligatures w14:val="none"/>
                </w:rPr>
                <m:t>w,r</m:t>
              </m:r>
            </m:sub>
          </m:sSub>
        </m:oMath>
      </m:oMathPara>
    </w:p>
    <w:p w14:paraId="1E3701AB" w14:textId="77777777" w:rsidR="00C94409" w:rsidRPr="007D0E63" w:rsidRDefault="00C94409" w:rsidP="00C94409">
      <w:pPr>
        <w:spacing w:after="120" w:line="360" w:lineRule="auto"/>
        <w:rPr>
          <w:rFonts w:ascii="Times New Roman" w:eastAsia="Times New Roman" w:hAnsi="Times New Roman" w:cs="Times New Roman"/>
          <w:kern w:val="0"/>
          <w:sz w:val="18"/>
          <w:szCs w:val="18"/>
          <w:lang/>
          <w14:ligatures w14:val="none"/>
        </w:rPr>
      </w:pPr>
      <w:r w:rsidRPr="007D0E63">
        <w:rPr>
          <w:rFonts w:ascii="Times New Roman" w:eastAsia="Times New Roman" w:hAnsi="Times New Roman" w:cs="Times New Roman"/>
          <w:kern w:val="0"/>
          <w:sz w:val="18"/>
          <w:szCs w:val="18"/>
          <w:lang/>
          <w14:ligatures w14:val="none"/>
        </w:rPr>
        <w:t>Simultaneously, global exports must equal global imports, inclusive of international transport margins.</w:t>
      </w:r>
    </w:p>
    <w:p w14:paraId="3F47C893" w14:textId="77777777" w:rsidR="00C94409" w:rsidRPr="007D0E63" w:rsidRDefault="00C94409" w:rsidP="00C94409">
      <w:pPr>
        <w:spacing w:after="200" w:line="360" w:lineRule="auto"/>
        <w:rPr>
          <w:rFonts w:ascii="Times New Roman" w:eastAsia="Times New Roman" w:hAnsi="Times New Roman" w:cs="Times New Roman"/>
          <w:kern w:val="0"/>
          <w:sz w:val="18"/>
          <w:szCs w:val="18"/>
          <w:lang/>
          <w14:ligatures w14:val="none"/>
        </w:rPr>
      </w:pPr>
      <w:r w:rsidRPr="007D0E63">
        <w:rPr>
          <w:rFonts w:ascii="Times New Roman" w:eastAsia="Times New Roman" w:hAnsi="Times New Roman" w:cs="Times New Roman"/>
          <w:kern w:val="0"/>
          <w:sz w:val="18"/>
          <w:szCs w:val="18"/>
          <w:lang/>
          <w14:ligatures w14:val="none"/>
        </w:rPr>
        <w:t xml:space="preserve"> </w:t>
      </w:r>
    </w:p>
    <w:p w14:paraId="3FE685DF" w14:textId="77777777" w:rsidR="00C94409" w:rsidRDefault="00C94409" w:rsidP="00C94409">
      <w:pPr>
        <w:spacing w:after="120" w:line="360" w:lineRule="auto"/>
        <w:rPr>
          <w:rFonts w:ascii="Times New Roman" w:eastAsia="Times New Roman" w:hAnsi="Times New Roman" w:cs="Times New Roman"/>
          <w:kern w:val="0"/>
          <w:sz w:val="18"/>
          <w:szCs w:val="18"/>
          <w:lang/>
          <w14:ligatures w14:val="none"/>
        </w:rPr>
      </w:pPr>
      <w:r w:rsidRPr="007D0E63">
        <w:rPr>
          <w:rFonts w:ascii="Times New Roman" w:eastAsia="Times New Roman" w:hAnsi="Times New Roman" w:cs="Times New Roman"/>
          <w:b/>
          <w:bCs/>
          <w:kern w:val="0"/>
          <w:sz w:val="18"/>
          <w:szCs w:val="18"/>
          <w:lang/>
          <w14:ligatures w14:val="none"/>
        </w:rPr>
        <w:t>B.5 Mapping General Equilibrium Theory to Machine Learning Features</w:t>
      </w:r>
      <w:r w:rsidRPr="007D0E63">
        <w:rPr>
          <w:rFonts w:ascii="Times New Roman" w:eastAsia="Times New Roman" w:hAnsi="Times New Roman" w:cs="Times New Roman"/>
          <w:kern w:val="0"/>
          <w:sz w:val="18"/>
          <w:szCs w:val="18"/>
          <w:lang/>
          <w14:ligatures w14:val="none"/>
        </w:rPr>
        <w:br/>
        <w:t xml:space="preserve">To ensure the XGBoost emulator successfully approximates this highly interconnected theoretical system, the model's feature space was </w:t>
      </w:r>
      <w:r>
        <w:rPr>
          <w:rFonts w:ascii="Times New Roman" w:eastAsia="Times New Roman" w:hAnsi="Times New Roman" w:cs="Times New Roman"/>
          <w:kern w:val="0"/>
          <w:sz w:val="18"/>
          <w:szCs w:val="18"/>
          <w:lang/>
          <w14:ligatures w14:val="none"/>
        </w:rPr>
        <w:t>desined</w:t>
      </w:r>
      <w:r w:rsidRPr="007D0E63">
        <w:rPr>
          <w:rFonts w:ascii="Times New Roman" w:eastAsia="Times New Roman" w:hAnsi="Times New Roman" w:cs="Times New Roman"/>
          <w:kern w:val="0"/>
          <w:sz w:val="18"/>
          <w:szCs w:val="18"/>
          <w:lang/>
          <w14:ligatures w14:val="none"/>
        </w:rPr>
        <w:t xml:space="preserve"> to represent the primary variables dictating supply, demand, and trade. The table below demonstrates the theoretical alignment of our AI inputs:</w:t>
      </w:r>
    </w:p>
    <w:p w14:paraId="09AA8705" w14:textId="77777777" w:rsidR="00C94409" w:rsidRPr="007D0E63" w:rsidRDefault="00C94409" w:rsidP="00C94409">
      <w:pPr>
        <w:spacing w:after="120" w:line="360" w:lineRule="auto"/>
        <w:rPr>
          <w:rFonts w:ascii="Times New Roman" w:eastAsia="Times New Roman" w:hAnsi="Times New Roman" w:cs="Times New Roman"/>
          <w:kern w:val="0"/>
          <w:sz w:val="18"/>
          <w:szCs w:val="18"/>
          <w:lang/>
          <w14:ligatures w14:val="none"/>
        </w:rPr>
      </w:pPr>
    </w:p>
    <w:p w14:paraId="6E0A7779" w14:textId="77777777" w:rsidR="00C94409" w:rsidRPr="001E1D00" w:rsidRDefault="00C94409" w:rsidP="00C94409">
      <w:pPr>
        <w:spacing w:after="0" w:line="360" w:lineRule="auto"/>
        <w:rPr>
          <w:rFonts w:ascii="Times New Roman" w:eastAsia="SimSun" w:hAnsi="Times New Roman"/>
          <w:kern w:val="0"/>
          <w:sz w:val="24"/>
          <w:szCs w:val="24"/>
          <w14:ligatures w14:val="none"/>
        </w:rPr>
      </w:pPr>
      <w:r w:rsidRPr="007D0E63">
        <w:rPr>
          <w:rFonts w:ascii="Times New Roman" w:eastAsia="Times New Roman" w:hAnsi="Times New Roman" w:cs="Times New Roman"/>
          <w:kern w:val="0"/>
          <w:sz w:val="18"/>
          <w:szCs w:val="18"/>
          <w:lang/>
          <w14:ligatures w14:val="none"/>
        </w:rPr>
        <w:t xml:space="preserve"> </w:t>
      </w:r>
      <w:r>
        <w:rPr>
          <w:rFonts w:ascii="Times New Roman" w:eastAsia="SimSun" w:hAnsi="Times New Roman"/>
          <w:b/>
          <w:bCs/>
          <w:kern w:val="0"/>
          <w:sz w:val="24"/>
          <w:szCs w:val="24"/>
          <w14:ligatures w14:val="none"/>
        </w:rPr>
        <w:t>Table B1.</w:t>
      </w:r>
      <w:r>
        <w:rPr>
          <w:rFonts w:ascii="Times New Roman" w:eastAsia="SimSun" w:hAnsi="Times New Roman"/>
          <w:kern w:val="0"/>
          <w:sz w:val="24"/>
          <w:szCs w:val="24"/>
          <w14:ligatures w14:val="none"/>
        </w:rPr>
        <w:t xml:space="preserve"> </w:t>
      </w:r>
      <w:r w:rsidRPr="001E1D00">
        <w:rPr>
          <w:rFonts w:ascii="Times New Roman" w:eastAsia="SimSun" w:hAnsi="Times New Roman"/>
          <w:kern w:val="0"/>
          <w:sz w:val="24"/>
          <w:szCs w:val="24"/>
          <w14:ligatures w14:val="none"/>
        </w:rPr>
        <w:t xml:space="preserve">Mapping General Equilibrium Theory to </w:t>
      </w:r>
      <w:r>
        <w:rPr>
          <w:rFonts w:ascii="Times New Roman" w:eastAsia="SimSun" w:hAnsi="Times New Roman"/>
          <w:kern w:val="0"/>
          <w:sz w:val="24"/>
          <w:szCs w:val="24"/>
          <w14:ligatures w14:val="none"/>
        </w:rPr>
        <w:t>AI Feature</w:t>
      </w:r>
    </w:p>
    <w:tbl>
      <w:tblPr>
        <w:tblStyle w:val="GridTable1Light"/>
        <w:tblW w:w="0" w:type="auto"/>
        <w:tblLook w:val="04A0" w:firstRow="1" w:lastRow="0" w:firstColumn="1" w:lastColumn="0" w:noHBand="0" w:noVBand="1"/>
      </w:tblPr>
      <w:tblGrid>
        <w:gridCol w:w="1689"/>
        <w:gridCol w:w="2561"/>
        <w:gridCol w:w="4812"/>
      </w:tblGrid>
      <w:tr w:rsidR="00C94409" w:rsidRPr="00395F8A" w14:paraId="39AF7264" w14:textId="77777777" w:rsidTr="00A77C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9640B0" w14:textId="77777777" w:rsidR="00C94409" w:rsidRPr="00395F8A" w:rsidRDefault="00C94409" w:rsidP="00A77C00">
            <w:pPr>
              <w:spacing w:before="240" w:line="240" w:lineRule="auto"/>
              <w:rPr>
                <w:rFonts w:ascii="Times New Roman" w:eastAsia="Times New Roman" w:hAnsi="Times New Roman"/>
                <w:sz w:val="18"/>
                <w:szCs w:val="18"/>
                <w:lang/>
              </w:rPr>
            </w:pPr>
            <w:r>
              <w:rPr>
                <w:rFonts w:ascii="Times New Roman" w:eastAsia="Times New Roman" w:hAnsi="Times New Roman"/>
                <w:sz w:val="18"/>
                <w:szCs w:val="18"/>
                <w:lang/>
              </w:rPr>
              <w:t>CGE</w:t>
            </w:r>
            <w:r w:rsidRPr="00395F8A">
              <w:rPr>
                <w:rFonts w:ascii="Times New Roman" w:eastAsia="Times New Roman" w:hAnsi="Times New Roman"/>
                <w:sz w:val="18"/>
                <w:szCs w:val="18"/>
                <w:lang/>
              </w:rPr>
              <w:t xml:space="preserve"> Theoretical Concept</w:t>
            </w:r>
          </w:p>
        </w:tc>
        <w:tc>
          <w:tcPr>
            <w:tcW w:w="0" w:type="auto"/>
            <w:hideMark/>
          </w:tcPr>
          <w:p w14:paraId="793C70C8" w14:textId="77777777" w:rsidR="00C94409" w:rsidRPr="00395F8A" w:rsidRDefault="00C94409" w:rsidP="00A77C00">
            <w:pPr>
              <w:spacing w:before="24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rPr>
            </w:pPr>
            <w:r w:rsidRPr="00395F8A">
              <w:rPr>
                <w:rFonts w:ascii="Times New Roman" w:eastAsia="Times New Roman" w:hAnsi="Times New Roman"/>
                <w:sz w:val="18"/>
                <w:szCs w:val="18"/>
                <w:lang/>
              </w:rPr>
              <w:t xml:space="preserve">Corresponding AI Feature </w:t>
            </w:r>
          </w:p>
        </w:tc>
        <w:tc>
          <w:tcPr>
            <w:tcW w:w="0" w:type="auto"/>
            <w:hideMark/>
          </w:tcPr>
          <w:p w14:paraId="1EBFA87C" w14:textId="77777777" w:rsidR="00C94409" w:rsidRPr="00395F8A" w:rsidRDefault="00C94409" w:rsidP="00A77C00">
            <w:pPr>
              <w:spacing w:before="24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rPr>
            </w:pPr>
            <w:r w:rsidRPr="00395F8A">
              <w:rPr>
                <w:rFonts w:ascii="Times New Roman" w:eastAsia="Times New Roman" w:hAnsi="Times New Roman"/>
                <w:sz w:val="18"/>
                <w:szCs w:val="18"/>
                <w:lang/>
              </w:rPr>
              <w:t>Economic Justification</w:t>
            </w:r>
          </w:p>
        </w:tc>
      </w:tr>
      <w:tr w:rsidR="00C94409" w:rsidRPr="00395F8A" w14:paraId="599738E2" w14:textId="77777777" w:rsidTr="00A77C00">
        <w:tc>
          <w:tcPr>
            <w:cnfStyle w:val="001000000000" w:firstRow="0" w:lastRow="0" w:firstColumn="1" w:lastColumn="0" w:oddVBand="0" w:evenVBand="0" w:oddHBand="0" w:evenHBand="0" w:firstRowFirstColumn="0" w:firstRowLastColumn="0" w:lastRowFirstColumn="0" w:lastRowLastColumn="0"/>
            <w:tcW w:w="0" w:type="auto"/>
            <w:hideMark/>
          </w:tcPr>
          <w:p w14:paraId="1AC43BE6" w14:textId="77777777" w:rsidR="00C94409" w:rsidRPr="002D07B1" w:rsidRDefault="00C94409" w:rsidP="00A77C00">
            <w:pPr>
              <w:spacing w:before="240" w:line="240" w:lineRule="auto"/>
              <w:rPr>
                <w:rFonts w:ascii="Times New Roman" w:eastAsia="Times New Roman" w:hAnsi="Times New Roman"/>
                <w:b w:val="0"/>
                <w:bCs w:val="0"/>
                <w:sz w:val="18"/>
                <w:szCs w:val="18"/>
                <w:lang/>
              </w:rPr>
            </w:pPr>
            <m:oMath>
              <m:sSub>
                <m:sSubPr>
                  <m:ctrlPr>
                    <w:rPr>
                      <w:rFonts w:ascii="Cambria Math" w:eastAsia="Times New Roman" w:hAnsi="Cambria Math"/>
                      <w:b w:val="0"/>
                      <w:bCs w:val="0"/>
                      <w:sz w:val="18"/>
                      <w:szCs w:val="18"/>
                      <w:lang/>
                    </w:rPr>
                  </m:ctrlPr>
                </m:sSubPr>
                <m:e>
                  <m:r>
                    <m:rPr>
                      <m:sty m:val="bi"/>
                    </m:rPr>
                    <w:rPr>
                      <w:rFonts w:ascii="Cambria Math" w:eastAsia="Times New Roman" w:hAnsi="Cambria Math"/>
                      <w:sz w:val="18"/>
                      <w:szCs w:val="18"/>
                      <w:lang/>
                    </w:rPr>
                    <m:t>Y</m:t>
                  </m:r>
                </m:e>
                <m:sub>
                  <m:r>
                    <m:rPr>
                      <m:sty m:val="bi"/>
                    </m:rPr>
                    <w:rPr>
                      <w:rFonts w:ascii="Cambria Math" w:eastAsia="Times New Roman" w:hAnsi="Cambria Math"/>
                      <w:sz w:val="18"/>
                      <w:szCs w:val="18"/>
                      <w:lang/>
                    </w:rPr>
                    <m:t>w,r</m:t>
                  </m:r>
                </m:sub>
              </m:sSub>
            </m:oMath>
            <w:r w:rsidRPr="002D07B1">
              <w:rPr>
                <w:rFonts w:ascii="Times New Roman" w:eastAsia="Times New Roman" w:hAnsi="Times New Roman"/>
                <w:b w:val="0"/>
                <w:bCs w:val="0"/>
                <w:sz w:val="18"/>
                <w:szCs w:val="18"/>
                <w:lang/>
              </w:rPr>
              <w:t xml:space="preserve"> (Target Equilibrium)</w:t>
            </w:r>
          </w:p>
        </w:tc>
        <w:tc>
          <w:tcPr>
            <w:tcW w:w="0" w:type="auto"/>
            <w:hideMark/>
          </w:tcPr>
          <w:p w14:paraId="753AAAA9" w14:textId="77777777" w:rsidR="00C94409" w:rsidRPr="00395F8A" w:rsidRDefault="00C94409" w:rsidP="00A77C00">
            <w:pPr>
              <w:spacing w:before="24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rPr>
            </w:pPr>
            <w:r w:rsidRPr="00395F8A">
              <w:rPr>
                <w:rFonts w:ascii="Times New Roman" w:eastAsia="Times New Roman" w:hAnsi="Times New Roman"/>
                <w:sz w:val="18"/>
                <w:szCs w:val="18"/>
                <w:lang/>
              </w:rPr>
              <w:t>Wheat</w:t>
            </w:r>
            <w:r>
              <w:rPr>
                <w:rFonts w:ascii="Times New Roman" w:eastAsia="Times New Roman" w:hAnsi="Times New Roman"/>
                <w:sz w:val="18"/>
                <w:szCs w:val="18"/>
                <w:lang/>
              </w:rPr>
              <w:t xml:space="preserve"> </w:t>
            </w:r>
            <w:r w:rsidRPr="00395F8A">
              <w:rPr>
                <w:rFonts w:ascii="Times New Roman" w:eastAsia="Times New Roman" w:hAnsi="Times New Roman"/>
                <w:sz w:val="18"/>
                <w:szCs w:val="18"/>
                <w:lang/>
              </w:rPr>
              <w:t>Production</w:t>
            </w:r>
          </w:p>
        </w:tc>
        <w:tc>
          <w:tcPr>
            <w:tcW w:w="0" w:type="auto"/>
            <w:hideMark/>
          </w:tcPr>
          <w:p w14:paraId="66B219DE" w14:textId="77777777" w:rsidR="00C94409" w:rsidRPr="00395F8A" w:rsidRDefault="00C94409" w:rsidP="00A77C00">
            <w:pPr>
              <w:spacing w:before="24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rPr>
            </w:pPr>
            <w:r w:rsidRPr="00395F8A">
              <w:rPr>
                <w:rFonts w:ascii="Times New Roman" w:eastAsia="Times New Roman" w:hAnsi="Times New Roman"/>
                <w:sz w:val="18"/>
                <w:szCs w:val="18"/>
                <w:lang/>
              </w:rPr>
              <w:t>The final market-clearing production volume the CGE model seeks to solve for.</w:t>
            </w:r>
          </w:p>
        </w:tc>
      </w:tr>
      <w:tr w:rsidR="00C94409" w:rsidRPr="00395F8A" w14:paraId="5DD93551" w14:textId="77777777" w:rsidTr="00A77C00">
        <w:tc>
          <w:tcPr>
            <w:cnfStyle w:val="001000000000" w:firstRow="0" w:lastRow="0" w:firstColumn="1" w:lastColumn="0" w:oddVBand="0" w:evenVBand="0" w:oddHBand="0" w:evenHBand="0" w:firstRowFirstColumn="0" w:firstRowLastColumn="0" w:lastRowFirstColumn="0" w:lastRowLastColumn="0"/>
            <w:tcW w:w="0" w:type="auto"/>
            <w:hideMark/>
          </w:tcPr>
          <w:p w14:paraId="196E0AC6" w14:textId="77777777" w:rsidR="00C94409" w:rsidRPr="002D07B1" w:rsidRDefault="00C94409" w:rsidP="00A77C00">
            <w:pPr>
              <w:spacing w:before="240" w:line="240" w:lineRule="auto"/>
              <w:rPr>
                <w:rFonts w:ascii="Times New Roman" w:eastAsia="Times New Roman" w:hAnsi="Times New Roman"/>
                <w:b w:val="0"/>
                <w:bCs w:val="0"/>
                <w:sz w:val="18"/>
                <w:szCs w:val="18"/>
                <w:lang/>
              </w:rPr>
            </w:pPr>
            <m:oMath>
              <m:sSub>
                <m:sSubPr>
                  <m:ctrlPr>
                    <w:rPr>
                      <w:rFonts w:ascii="Cambria Math" w:eastAsia="Times New Roman" w:hAnsi="Cambria Math"/>
                      <w:b w:val="0"/>
                      <w:bCs w:val="0"/>
                      <w:sz w:val="18"/>
                      <w:szCs w:val="18"/>
                      <w:lang/>
                    </w:rPr>
                  </m:ctrlPr>
                </m:sSubPr>
                <m:e>
                  <m:r>
                    <m:rPr>
                      <m:sty m:val="bi"/>
                    </m:rPr>
                    <w:rPr>
                      <w:rFonts w:ascii="Cambria Math" w:eastAsia="Times New Roman" w:hAnsi="Cambria Math"/>
                      <w:sz w:val="18"/>
                      <w:szCs w:val="18"/>
                      <w:lang/>
                    </w:rPr>
                    <m:t>A</m:t>
                  </m:r>
                </m:e>
                <m:sub>
                  <m:r>
                    <m:rPr>
                      <m:sty m:val="bi"/>
                    </m:rPr>
                    <w:rPr>
                      <w:rFonts w:ascii="Cambria Math" w:eastAsia="Times New Roman" w:hAnsi="Cambria Math"/>
                      <w:sz w:val="18"/>
                      <w:szCs w:val="18"/>
                      <w:lang/>
                    </w:rPr>
                    <m:t>w,r</m:t>
                  </m:r>
                </m:sub>
              </m:sSub>
            </m:oMath>
            <w:r w:rsidRPr="002D07B1">
              <w:rPr>
                <w:rFonts w:ascii="Times New Roman" w:eastAsia="Times New Roman" w:hAnsi="Times New Roman"/>
                <w:b w:val="0"/>
                <w:bCs w:val="0"/>
                <w:sz w:val="18"/>
                <w:szCs w:val="18"/>
                <w:lang/>
              </w:rPr>
              <w:t xml:space="preserve"> (Supply: Productivity)</w:t>
            </w:r>
          </w:p>
        </w:tc>
        <w:tc>
          <w:tcPr>
            <w:tcW w:w="0" w:type="auto"/>
            <w:hideMark/>
          </w:tcPr>
          <w:p w14:paraId="2DA00B26" w14:textId="77777777" w:rsidR="00C94409" w:rsidRPr="00395F8A" w:rsidRDefault="00C94409" w:rsidP="00A77C00">
            <w:pPr>
              <w:spacing w:before="24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rPr>
            </w:pPr>
            <w:r w:rsidRPr="00395F8A">
              <w:rPr>
                <w:rFonts w:ascii="Times New Roman" w:eastAsia="Times New Roman" w:hAnsi="Times New Roman"/>
                <w:sz w:val="18"/>
                <w:szCs w:val="18"/>
                <w:lang/>
              </w:rPr>
              <w:t>Year, EU Country, Country Indicators (e.g., Country_United States)</w:t>
            </w:r>
          </w:p>
        </w:tc>
        <w:tc>
          <w:tcPr>
            <w:tcW w:w="0" w:type="auto"/>
            <w:hideMark/>
          </w:tcPr>
          <w:p w14:paraId="6FD873A3" w14:textId="77777777" w:rsidR="00C94409" w:rsidRPr="00395F8A" w:rsidRDefault="00C94409" w:rsidP="00A77C00">
            <w:pPr>
              <w:spacing w:before="24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rPr>
            </w:pPr>
            <w:r w:rsidRPr="00395F8A">
              <w:rPr>
                <w:rFonts w:ascii="Times New Roman" w:eastAsia="Times New Roman" w:hAnsi="Times New Roman"/>
                <w:sz w:val="18"/>
                <w:szCs w:val="18"/>
                <w:lang/>
              </w:rPr>
              <w:t>Captures region-specific scaling parameters, temporal technological advancement, and unobserved institutional fixed effects.</w:t>
            </w:r>
          </w:p>
        </w:tc>
      </w:tr>
      <w:tr w:rsidR="00C94409" w:rsidRPr="00395F8A" w14:paraId="407B4F6D" w14:textId="77777777" w:rsidTr="00A77C00">
        <w:tc>
          <w:tcPr>
            <w:cnfStyle w:val="001000000000" w:firstRow="0" w:lastRow="0" w:firstColumn="1" w:lastColumn="0" w:oddVBand="0" w:evenVBand="0" w:oddHBand="0" w:evenHBand="0" w:firstRowFirstColumn="0" w:firstRowLastColumn="0" w:lastRowFirstColumn="0" w:lastRowLastColumn="0"/>
            <w:tcW w:w="0" w:type="auto"/>
            <w:hideMark/>
          </w:tcPr>
          <w:p w14:paraId="70DF3D10" w14:textId="77777777" w:rsidR="00C94409" w:rsidRPr="002D07B1" w:rsidRDefault="00C94409" w:rsidP="00A77C00">
            <w:pPr>
              <w:spacing w:before="240" w:line="240" w:lineRule="auto"/>
              <w:rPr>
                <w:rFonts w:ascii="Times New Roman" w:eastAsia="Times New Roman" w:hAnsi="Times New Roman"/>
                <w:b w:val="0"/>
                <w:bCs w:val="0"/>
                <w:sz w:val="18"/>
                <w:szCs w:val="18"/>
                <w:lang/>
              </w:rPr>
            </w:pPr>
            <m:oMath>
              <m:r>
                <m:rPr>
                  <m:sty m:val="bi"/>
                </m:rPr>
                <w:rPr>
                  <w:rFonts w:ascii="Cambria Math" w:eastAsia="Times New Roman" w:hAnsi="Cambria Math"/>
                  <w:sz w:val="18"/>
                  <w:szCs w:val="18"/>
                  <w:lang/>
                </w:rPr>
                <m:t>L,K,T</m:t>
              </m:r>
            </m:oMath>
            <w:r w:rsidRPr="002D07B1">
              <w:rPr>
                <w:rFonts w:ascii="Times New Roman" w:eastAsia="Times New Roman" w:hAnsi="Times New Roman"/>
                <w:b w:val="0"/>
                <w:bCs w:val="0"/>
                <w:sz w:val="18"/>
                <w:szCs w:val="18"/>
                <w:lang/>
              </w:rPr>
              <w:t xml:space="preserve"> (Supply: Endowments)</w:t>
            </w:r>
          </w:p>
        </w:tc>
        <w:tc>
          <w:tcPr>
            <w:tcW w:w="0" w:type="auto"/>
            <w:hideMark/>
          </w:tcPr>
          <w:p w14:paraId="3F368A72" w14:textId="77777777" w:rsidR="00C94409" w:rsidRPr="00395F8A" w:rsidRDefault="00C94409" w:rsidP="00A77C00">
            <w:pPr>
              <w:spacing w:before="24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rPr>
            </w:pPr>
            <w:r w:rsidRPr="00395F8A">
              <w:rPr>
                <w:rFonts w:ascii="Times New Roman" w:eastAsia="Times New Roman" w:hAnsi="Times New Roman"/>
                <w:sz w:val="18"/>
                <w:szCs w:val="18"/>
                <w:lang/>
              </w:rPr>
              <w:t>Harvested area</w:t>
            </w:r>
          </w:p>
        </w:tc>
        <w:tc>
          <w:tcPr>
            <w:tcW w:w="0" w:type="auto"/>
            <w:hideMark/>
          </w:tcPr>
          <w:p w14:paraId="2A6A062A" w14:textId="77777777" w:rsidR="00C94409" w:rsidRPr="00395F8A" w:rsidRDefault="00C94409" w:rsidP="00A77C00">
            <w:pPr>
              <w:spacing w:before="24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rPr>
            </w:pPr>
            <w:r w:rsidRPr="00395F8A">
              <w:rPr>
                <w:rFonts w:ascii="Times New Roman" w:eastAsia="Times New Roman" w:hAnsi="Times New Roman"/>
                <w:sz w:val="18"/>
                <w:szCs w:val="18"/>
                <w:lang/>
              </w:rPr>
              <w:t>Represents the primary land endowment allocated to wheat cultivation; serves as the core observable supply-side constraint in the absence of granular labor/capital data.</w:t>
            </w:r>
          </w:p>
        </w:tc>
      </w:tr>
      <w:tr w:rsidR="00C94409" w:rsidRPr="00395F8A" w14:paraId="6648FC06" w14:textId="77777777" w:rsidTr="00A77C00">
        <w:tc>
          <w:tcPr>
            <w:cnfStyle w:val="001000000000" w:firstRow="0" w:lastRow="0" w:firstColumn="1" w:lastColumn="0" w:oddVBand="0" w:evenVBand="0" w:oddHBand="0" w:evenHBand="0" w:firstRowFirstColumn="0" w:firstRowLastColumn="0" w:lastRowFirstColumn="0" w:lastRowLastColumn="0"/>
            <w:tcW w:w="0" w:type="auto"/>
            <w:hideMark/>
          </w:tcPr>
          <w:p w14:paraId="55A2DE17" w14:textId="77777777" w:rsidR="00C94409" w:rsidRPr="002D07B1" w:rsidRDefault="00C94409" w:rsidP="00A77C00">
            <w:pPr>
              <w:spacing w:before="240" w:line="240" w:lineRule="auto"/>
              <w:rPr>
                <w:rFonts w:ascii="Times New Roman" w:eastAsia="Times New Roman" w:hAnsi="Times New Roman"/>
                <w:b w:val="0"/>
                <w:bCs w:val="0"/>
                <w:sz w:val="18"/>
                <w:szCs w:val="18"/>
                <w:lang/>
              </w:rPr>
            </w:pPr>
            <m:oMath>
              <m:sSub>
                <m:sSubPr>
                  <m:ctrlPr>
                    <w:rPr>
                      <w:rFonts w:ascii="Cambria Math" w:eastAsia="Times New Roman" w:hAnsi="Cambria Math"/>
                      <w:b w:val="0"/>
                      <w:bCs w:val="0"/>
                      <w:sz w:val="18"/>
                      <w:szCs w:val="18"/>
                      <w:lang/>
                    </w:rPr>
                  </m:ctrlPr>
                </m:sSubPr>
                <m:e>
                  <m:r>
                    <m:rPr>
                      <m:sty m:val="bi"/>
                    </m:rPr>
                    <w:rPr>
                      <w:rFonts w:ascii="Cambria Math" w:eastAsia="Times New Roman" w:hAnsi="Cambria Math"/>
                      <w:sz w:val="18"/>
                      <w:szCs w:val="18"/>
                      <w:lang/>
                    </w:rPr>
                    <m:t>R</m:t>
                  </m:r>
                </m:e>
                <m:sub>
                  <m:r>
                    <m:rPr>
                      <m:sty m:val="bi"/>
                    </m:rPr>
                    <w:rPr>
                      <w:rFonts w:ascii="Cambria Math" w:eastAsia="Times New Roman" w:hAnsi="Cambria Math"/>
                      <w:sz w:val="18"/>
                      <w:szCs w:val="18"/>
                      <w:lang/>
                    </w:rPr>
                    <m:t>w,r</m:t>
                  </m:r>
                </m:sub>
              </m:sSub>
              <m:r>
                <m:rPr>
                  <m:nor/>
                </m:rPr>
                <w:rPr>
                  <w:rFonts w:ascii="Times New Roman" w:eastAsia="Times New Roman" w:hAnsi="Times New Roman"/>
                  <w:b w:val="0"/>
                  <w:bCs w:val="0"/>
                  <w:sz w:val="18"/>
                  <w:szCs w:val="18"/>
                  <w:lang/>
                </w:rPr>
                <m:t>/</m:t>
              </m:r>
              <m:sSub>
                <m:sSubPr>
                  <m:ctrlPr>
                    <w:rPr>
                      <w:rFonts w:ascii="Cambria Math" w:eastAsia="Times New Roman" w:hAnsi="Cambria Math"/>
                      <w:b w:val="0"/>
                      <w:bCs w:val="0"/>
                      <w:sz w:val="18"/>
                      <w:szCs w:val="18"/>
                      <w:lang/>
                    </w:rPr>
                  </m:ctrlPr>
                </m:sSubPr>
                <m:e>
                  <m:r>
                    <m:rPr>
                      <m:sty m:val="bi"/>
                    </m:rPr>
                    <w:rPr>
                      <w:rFonts w:ascii="Cambria Math" w:eastAsia="Times New Roman" w:hAnsi="Cambria Math"/>
                      <w:sz w:val="18"/>
                      <w:szCs w:val="18"/>
                      <w:lang/>
                    </w:rPr>
                    <m:t>R</m:t>
                  </m:r>
                </m:e>
                <m:sub>
                  <m:r>
                    <m:rPr>
                      <m:sty m:val="bi"/>
                    </m:rPr>
                    <w:rPr>
                      <w:rFonts w:ascii="Cambria Math" w:eastAsia="Times New Roman" w:hAnsi="Cambria Math"/>
                      <w:sz w:val="18"/>
                      <w:szCs w:val="18"/>
                      <w:lang/>
                    </w:rPr>
                    <m:t>avg,r</m:t>
                  </m:r>
                </m:sub>
              </m:sSub>
            </m:oMath>
            <w:r w:rsidRPr="002D07B1">
              <w:rPr>
                <w:rFonts w:ascii="Times New Roman" w:eastAsia="Times New Roman" w:hAnsi="Times New Roman"/>
                <w:b w:val="0"/>
                <w:bCs w:val="0"/>
                <w:sz w:val="18"/>
                <w:szCs w:val="18"/>
                <w:lang/>
              </w:rPr>
              <w:t xml:space="preserve"> (Supply: Competition)</w:t>
            </w:r>
          </w:p>
        </w:tc>
        <w:tc>
          <w:tcPr>
            <w:tcW w:w="0" w:type="auto"/>
            <w:hideMark/>
          </w:tcPr>
          <w:p w14:paraId="642EFBDC" w14:textId="77777777" w:rsidR="00C94409" w:rsidRPr="00395F8A" w:rsidRDefault="00C94409" w:rsidP="00A77C00">
            <w:pPr>
              <w:spacing w:before="24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rPr>
            </w:pPr>
            <w:r w:rsidRPr="00395F8A">
              <w:rPr>
                <w:rFonts w:ascii="Times New Roman" w:eastAsia="Times New Roman" w:hAnsi="Times New Roman"/>
                <w:sz w:val="18"/>
                <w:szCs w:val="18"/>
                <w:lang/>
              </w:rPr>
              <w:t>Price, Rice_ variables, Other grains_ variables</w:t>
            </w:r>
          </w:p>
        </w:tc>
        <w:tc>
          <w:tcPr>
            <w:tcW w:w="0" w:type="auto"/>
            <w:hideMark/>
          </w:tcPr>
          <w:p w14:paraId="79810926" w14:textId="77777777" w:rsidR="00C94409" w:rsidRPr="00395F8A" w:rsidRDefault="00C94409" w:rsidP="00A77C00">
            <w:pPr>
              <w:spacing w:before="24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rPr>
            </w:pPr>
            <w:r w:rsidRPr="00395F8A">
              <w:rPr>
                <w:rFonts w:ascii="Times New Roman" w:eastAsia="Times New Roman" w:hAnsi="Times New Roman"/>
                <w:sz w:val="18"/>
                <w:szCs w:val="18"/>
                <w:lang/>
              </w:rPr>
              <w:t>Captures market-clearing signals and the relative economic incentive to allocate land toward or away from substitute crops (CET function dynamics).</w:t>
            </w:r>
          </w:p>
        </w:tc>
      </w:tr>
      <w:tr w:rsidR="00C94409" w:rsidRPr="00395F8A" w14:paraId="5138C375" w14:textId="77777777" w:rsidTr="00A77C00">
        <w:tc>
          <w:tcPr>
            <w:cnfStyle w:val="001000000000" w:firstRow="0" w:lastRow="0" w:firstColumn="1" w:lastColumn="0" w:oddVBand="0" w:evenVBand="0" w:oddHBand="0" w:evenHBand="0" w:firstRowFirstColumn="0" w:firstRowLastColumn="0" w:lastRowFirstColumn="0" w:lastRowLastColumn="0"/>
            <w:tcW w:w="0" w:type="auto"/>
            <w:hideMark/>
          </w:tcPr>
          <w:p w14:paraId="18F970E3" w14:textId="77777777" w:rsidR="00C94409" w:rsidRPr="002D07B1" w:rsidRDefault="00C94409" w:rsidP="00A77C00">
            <w:pPr>
              <w:spacing w:before="240" w:line="240" w:lineRule="auto"/>
              <w:rPr>
                <w:rFonts w:ascii="Times New Roman" w:eastAsia="Times New Roman" w:hAnsi="Times New Roman"/>
                <w:b w:val="0"/>
                <w:bCs w:val="0"/>
                <w:sz w:val="18"/>
                <w:szCs w:val="18"/>
                <w:lang/>
              </w:rPr>
            </w:pPr>
            <m:oMath>
              <m:r>
                <m:rPr>
                  <m:sty m:val="bi"/>
                </m:rPr>
                <w:rPr>
                  <w:rFonts w:ascii="Cambria Math" w:eastAsia="Times New Roman" w:hAnsi="Cambria Math"/>
                  <w:sz w:val="18"/>
                  <w:szCs w:val="18"/>
                  <w:lang/>
                </w:rPr>
                <m:t>IN</m:t>
              </m:r>
              <m:sSub>
                <m:sSubPr>
                  <m:ctrlPr>
                    <w:rPr>
                      <w:rFonts w:ascii="Cambria Math" w:eastAsia="Times New Roman" w:hAnsi="Cambria Math"/>
                      <w:b w:val="0"/>
                      <w:bCs w:val="0"/>
                      <w:sz w:val="18"/>
                      <w:szCs w:val="18"/>
                      <w:lang/>
                    </w:rPr>
                  </m:ctrlPr>
                </m:sSubPr>
                <m:e>
                  <m:r>
                    <m:rPr>
                      <m:sty m:val="bi"/>
                    </m:rPr>
                    <w:rPr>
                      <w:rFonts w:ascii="Cambria Math" w:eastAsia="Times New Roman" w:hAnsi="Cambria Math"/>
                      <w:sz w:val="18"/>
                      <w:szCs w:val="18"/>
                      <w:lang/>
                    </w:rPr>
                    <m:t>C</m:t>
                  </m:r>
                </m:e>
                <m:sub>
                  <m:r>
                    <m:rPr>
                      <m:sty m:val="bi"/>
                    </m:rPr>
                    <w:rPr>
                      <w:rFonts w:ascii="Cambria Math" w:eastAsia="Times New Roman" w:hAnsi="Cambria Math"/>
                      <w:sz w:val="18"/>
                      <w:szCs w:val="18"/>
                      <w:lang/>
                    </w:rPr>
                    <m:t>r</m:t>
                  </m:r>
                </m:sub>
              </m:sSub>
            </m:oMath>
            <w:r w:rsidRPr="002D07B1">
              <w:rPr>
                <w:rFonts w:ascii="Times New Roman" w:eastAsia="Times New Roman" w:hAnsi="Times New Roman"/>
                <w:b w:val="0"/>
                <w:bCs w:val="0"/>
                <w:sz w:val="18"/>
                <w:szCs w:val="18"/>
                <w:lang/>
              </w:rPr>
              <w:t xml:space="preserve"> &amp; Population (Demand)</w:t>
            </w:r>
          </w:p>
        </w:tc>
        <w:tc>
          <w:tcPr>
            <w:tcW w:w="0" w:type="auto"/>
            <w:hideMark/>
          </w:tcPr>
          <w:p w14:paraId="346C6DDC" w14:textId="77777777" w:rsidR="00C94409" w:rsidRPr="00395F8A" w:rsidRDefault="00C94409" w:rsidP="00A77C00">
            <w:pPr>
              <w:spacing w:before="24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rPr>
            </w:pPr>
            <w:r w:rsidRPr="00395F8A">
              <w:rPr>
                <w:rFonts w:ascii="Times New Roman" w:eastAsia="Times New Roman" w:hAnsi="Times New Roman"/>
                <w:sz w:val="18"/>
                <w:szCs w:val="18"/>
                <w:lang/>
              </w:rPr>
              <w:t>GDP, Population</w:t>
            </w:r>
          </w:p>
        </w:tc>
        <w:tc>
          <w:tcPr>
            <w:tcW w:w="0" w:type="auto"/>
            <w:hideMark/>
          </w:tcPr>
          <w:p w14:paraId="3EBF7002" w14:textId="77777777" w:rsidR="00C94409" w:rsidRPr="00395F8A" w:rsidRDefault="00C94409" w:rsidP="00A77C00">
            <w:pPr>
              <w:spacing w:before="24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rPr>
            </w:pPr>
            <w:r w:rsidRPr="00395F8A">
              <w:rPr>
                <w:rFonts w:ascii="Times New Roman" w:eastAsia="Times New Roman" w:hAnsi="Times New Roman"/>
                <w:sz w:val="18"/>
                <w:szCs w:val="18"/>
                <w:lang/>
              </w:rPr>
              <w:t>Represents the macroeconomic scale and income effects driving aggregate consumption needs and final demand.</w:t>
            </w:r>
          </w:p>
        </w:tc>
      </w:tr>
      <w:tr w:rsidR="00C94409" w:rsidRPr="00395F8A" w14:paraId="66794AFB" w14:textId="77777777" w:rsidTr="00A77C00">
        <w:tc>
          <w:tcPr>
            <w:cnfStyle w:val="001000000000" w:firstRow="0" w:lastRow="0" w:firstColumn="1" w:lastColumn="0" w:oddVBand="0" w:evenVBand="0" w:oddHBand="0" w:evenHBand="0" w:firstRowFirstColumn="0" w:firstRowLastColumn="0" w:lastRowFirstColumn="0" w:lastRowLastColumn="0"/>
            <w:tcW w:w="0" w:type="auto"/>
            <w:hideMark/>
          </w:tcPr>
          <w:p w14:paraId="09AF4B54" w14:textId="77777777" w:rsidR="00C94409" w:rsidRPr="002D07B1" w:rsidRDefault="00C94409" w:rsidP="00A77C00">
            <w:pPr>
              <w:spacing w:before="240" w:line="240" w:lineRule="auto"/>
              <w:rPr>
                <w:rFonts w:ascii="Times New Roman" w:eastAsia="Times New Roman" w:hAnsi="Times New Roman"/>
                <w:b w:val="0"/>
                <w:bCs w:val="0"/>
                <w:sz w:val="18"/>
                <w:szCs w:val="18"/>
                <w:lang/>
              </w:rPr>
            </w:pPr>
            <w:r w:rsidRPr="002D07B1">
              <w:rPr>
                <w:rFonts w:ascii="Times New Roman" w:eastAsia="Times New Roman" w:hAnsi="Times New Roman"/>
                <w:b w:val="0"/>
                <w:bCs w:val="0"/>
                <w:sz w:val="18"/>
                <w:szCs w:val="18"/>
                <w:lang/>
              </w:rPr>
              <w:t>Armington Trade Dynamics</w:t>
            </w:r>
          </w:p>
        </w:tc>
        <w:tc>
          <w:tcPr>
            <w:tcW w:w="0" w:type="auto"/>
            <w:hideMark/>
          </w:tcPr>
          <w:p w14:paraId="24E9979B" w14:textId="77777777" w:rsidR="00C94409" w:rsidRPr="00395F8A" w:rsidRDefault="00C94409" w:rsidP="00A77C00">
            <w:pPr>
              <w:spacing w:before="24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rPr>
            </w:pPr>
            <w:r w:rsidRPr="00395F8A">
              <w:rPr>
                <w:rFonts w:ascii="Times New Roman" w:eastAsia="Times New Roman" w:hAnsi="Times New Roman"/>
                <w:sz w:val="18"/>
                <w:szCs w:val="18"/>
                <w:lang/>
              </w:rPr>
              <w:t>Import, Export</w:t>
            </w:r>
          </w:p>
        </w:tc>
        <w:tc>
          <w:tcPr>
            <w:tcW w:w="0" w:type="auto"/>
            <w:hideMark/>
          </w:tcPr>
          <w:p w14:paraId="3069D0BA" w14:textId="77777777" w:rsidR="00C94409" w:rsidRPr="00395F8A" w:rsidRDefault="00C94409" w:rsidP="00A77C00">
            <w:pPr>
              <w:spacing w:before="24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rPr>
            </w:pPr>
            <w:r w:rsidRPr="00395F8A">
              <w:rPr>
                <w:rFonts w:ascii="Times New Roman" w:eastAsia="Times New Roman" w:hAnsi="Times New Roman"/>
                <w:sz w:val="18"/>
                <w:szCs w:val="18"/>
                <w:lang/>
              </w:rPr>
              <w:t>Proxies the relative competitiveness of domestic versus foreign supply, buffering domestic shocks and linking national production to global market clearing.</w:t>
            </w:r>
          </w:p>
        </w:tc>
      </w:tr>
    </w:tbl>
    <w:p w14:paraId="563E7019" w14:textId="77777777" w:rsidR="00C94409" w:rsidRPr="007D0E63" w:rsidRDefault="00C94409" w:rsidP="00C94409">
      <w:pPr>
        <w:spacing w:before="240" w:after="0" w:line="240" w:lineRule="auto"/>
        <w:rPr>
          <w:rFonts w:ascii="Times New Roman" w:eastAsia="Times New Roman" w:hAnsi="Times New Roman" w:cs="Times New Roman"/>
          <w:kern w:val="0"/>
          <w:sz w:val="18"/>
          <w:szCs w:val="18"/>
          <w:lang/>
          <w14:ligatures w14:val="none"/>
        </w:rPr>
      </w:pPr>
    </w:p>
    <w:p w14:paraId="345F6505" w14:textId="77777777" w:rsidR="00C94409" w:rsidRPr="007D0E63" w:rsidRDefault="00C94409" w:rsidP="00C94409">
      <w:pPr>
        <w:spacing w:beforeAutospacing="1" w:afterAutospacing="1" w:line="360" w:lineRule="auto"/>
        <w:rPr>
          <w:rFonts w:ascii="Times New Roman" w:hAnsi="Times New Roman" w:cs="Times New Roman"/>
          <w:sz w:val="18"/>
          <w:szCs w:val="18"/>
          <w:lang/>
        </w:rPr>
      </w:pPr>
    </w:p>
    <w:p w14:paraId="53B827B3" w14:textId="77777777" w:rsidR="00F553FF" w:rsidRDefault="00F553FF"/>
    <w:sectPr w:rsidR="00F553FF" w:rsidSect="00C94409">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09"/>
    <w:rsid w:val="003C2EF4"/>
    <w:rsid w:val="00446799"/>
    <w:rsid w:val="006A7E07"/>
    <w:rsid w:val="00701021"/>
    <w:rsid w:val="00B74216"/>
    <w:rsid w:val="00C94409"/>
    <w:rsid w:val="00D62F8C"/>
    <w:rsid w:val="00E97CD6"/>
    <w:rsid w:val="00F12D87"/>
    <w:rsid w:val="00F5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D2CB"/>
  <w15:chartTrackingRefBased/>
  <w15:docId w15:val="{3A2752BA-D383-4DE1-B94B-5359ADF2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409"/>
    <w:pPr>
      <w:spacing w:line="302" w:lineRule="auto"/>
    </w:pPr>
    <w:rPr>
      <w:rFonts w:ascii="Verdana" w:eastAsiaTheme="minorEastAsia" w:hAnsi="Verdana"/>
      <w:sz w:val="17"/>
      <w:szCs w:val="22"/>
      <w:lang w:eastAsia="zh-CN"/>
    </w:rPr>
  </w:style>
  <w:style w:type="paragraph" w:styleId="Heading1">
    <w:name w:val="heading 1"/>
    <w:basedOn w:val="Normal"/>
    <w:next w:val="Normal"/>
    <w:link w:val="Heading1Char"/>
    <w:uiPriority w:val="9"/>
    <w:qFormat/>
    <w:rsid w:val="00C9440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C9440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C94409"/>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C94409"/>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lang w:eastAsia="en-US"/>
    </w:rPr>
  </w:style>
  <w:style w:type="paragraph" w:styleId="Heading5">
    <w:name w:val="heading 5"/>
    <w:basedOn w:val="Normal"/>
    <w:next w:val="Normal"/>
    <w:link w:val="Heading5Char"/>
    <w:uiPriority w:val="9"/>
    <w:semiHidden/>
    <w:unhideWhenUsed/>
    <w:qFormat/>
    <w:rsid w:val="00C94409"/>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lang w:eastAsia="en-US"/>
    </w:rPr>
  </w:style>
  <w:style w:type="paragraph" w:styleId="Heading6">
    <w:name w:val="heading 6"/>
    <w:basedOn w:val="Normal"/>
    <w:next w:val="Normal"/>
    <w:link w:val="Heading6Char"/>
    <w:uiPriority w:val="9"/>
    <w:semiHidden/>
    <w:unhideWhenUsed/>
    <w:qFormat/>
    <w:rsid w:val="00C94409"/>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lang w:eastAsia="en-US"/>
    </w:rPr>
  </w:style>
  <w:style w:type="paragraph" w:styleId="Heading7">
    <w:name w:val="heading 7"/>
    <w:basedOn w:val="Normal"/>
    <w:next w:val="Normal"/>
    <w:link w:val="Heading7Char"/>
    <w:uiPriority w:val="9"/>
    <w:semiHidden/>
    <w:unhideWhenUsed/>
    <w:qFormat/>
    <w:rsid w:val="00C94409"/>
    <w:pPr>
      <w:keepNext/>
      <w:keepLines/>
      <w:spacing w:before="40" w:after="0" w:line="278" w:lineRule="auto"/>
      <w:outlineLvl w:val="6"/>
    </w:pPr>
    <w:rPr>
      <w:rFonts w:asciiTheme="minorHAnsi" w:eastAsiaTheme="majorEastAsia" w:hAnsiTheme="minorHAnsi" w:cstheme="majorBidi"/>
      <w:color w:val="595959" w:themeColor="text1" w:themeTint="A6"/>
      <w:sz w:val="24"/>
      <w:szCs w:val="24"/>
      <w:lang w:eastAsia="en-US"/>
    </w:rPr>
  </w:style>
  <w:style w:type="paragraph" w:styleId="Heading8">
    <w:name w:val="heading 8"/>
    <w:basedOn w:val="Normal"/>
    <w:next w:val="Normal"/>
    <w:link w:val="Heading8Char"/>
    <w:uiPriority w:val="9"/>
    <w:semiHidden/>
    <w:unhideWhenUsed/>
    <w:qFormat/>
    <w:rsid w:val="00C94409"/>
    <w:pPr>
      <w:keepNext/>
      <w:keepLines/>
      <w:spacing w:after="0" w:line="278" w:lineRule="auto"/>
      <w:outlineLvl w:val="7"/>
    </w:pPr>
    <w:rPr>
      <w:rFonts w:asciiTheme="minorHAnsi" w:eastAsiaTheme="majorEastAsia" w:hAnsiTheme="minorHAnsi" w:cstheme="majorBidi"/>
      <w:i/>
      <w:iCs/>
      <w:color w:val="272727" w:themeColor="text1" w:themeTint="D8"/>
      <w:sz w:val="24"/>
      <w:szCs w:val="24"/>
      <w:lang w:eastAsia="en-US"/>
    </w:rPr>
  </w:style>
  <w:style w:type="paragraph" w:styleId="Heading9">
    <w:name w:val="heading 9"/>
    <w:basedOn w:val="Normal"/>
    <w:next w:val="Normal"/>
    <w:link w:val="Heading9Char"/>
    <w:uiPriority w:val="9"/>
    <w:semiHidden/>
    <w:unhideWhenUsed/>
    <w:qFormat/>
    <w:rsid w:val="00C94409"/>
    <w:pPr>
      <w:keepNext/>
      <w:keepLines/>
      <w:spacing w:after="0" w:line="278" w:lineRule="auto"/>
      <w:outlineLvl w:val="8"/>
    </w:pPr>
    <w:rPr>
      <w:rFonts w:asciiTheme="minorHAnsi" w:eastAsiaTheme="majorEastAsia" w:hAnsiTheme="minorHAnsi" w:cstheme="majorBidi"/>
      <w:color w:val="272727" w:themeColor="text1" w:themeTint="D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4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4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4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409"/>
    <w:rPr>
      <w:rFonts w:eastAsiaTheme="majorEastAsia" w:cstheme="majorBidi"/>
      <w:color w:val="272727" w:themeColor="text1" w:themeTint="D8"/>
    </w:rPr>
  </w:style>
  <w:style w:type="paragraph" w:styleId="Title">
    <w:name w:val="Title"/>
    <w:basedOn w:val="Normal"/>
    <w:next w:val="Normal"/>
    <w:link w:val="TitleChar"/>
    <w:uiPriority w:val="10"/>
    <w:qFormat/>
    <w:rsid w:val="00C94409"/>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C94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409"/>
    <w:pPr>
      <w:numPr>
        <w:ilvl w:val="1"/>
      </w:numPr>
      <w:spacing w:line="278"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C94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409"/>
    <w:pPr>
      <w:spacing w:before="160" w:line="278" w:lineRule="auto"/>
      <w:jc w:val="center"/>
    </w:pPr>
    <w:rPr>
      <w:rFonts w:asciiTheme="minorHAnsi" w:eastAsiaTheme="minorHAnsi" w:hAnsiTheme="minorHAnsi"/>
      <w:i/>
      <w:iCs/>
      <w:color w:val="404040" w:themeColor="text1" w:themeTint="BF"/>
      <w:sz w:val="24"/>
      <w:szCs w:val="24"/>
      <w:lang w:eastAsia="en-US"/>
    </w:rPr>
  </w:style>
  <w:style w:type="character" w:customStyle="1" w:styleId="QuoteChar">
    <w:name w:val="Quote Char"/>
    <w:basedOn w:val="DefaultParagraphFont"/>
    <w:link w:val="Quote"/>
    <w:uiPriority w:val="29"/>
    <w:rsid w:val="00C94409"/>
    <w:rPr>
      <w:i/>
      <w:iCs/>
      <w:color w:val="404040" w:themeColor="text1" w:themeTint="BF"/>
    </w:rPr>
  </w:style>
  <w:style w:type="paragraph" w:styleId="ListParagraph">
    <w:name w:val="List Paragraph"/>
    <w:basedOn w:val="Normal"/>
    <w:uiPriority w:val="34"/>
    <w:qFormat/>
    <w:rsid w:val="00C94409"/>
    <w:pPr>
      <w:spacing w:line="278" w:lineRule="auto"/>
      <w:ind w:left="720"/>
      <w:contextualSpacing/>
    </w:pPr>
    <w:rPr>
      <w:rFonts w:asciiTheme="minorHAnsi" w:eastAsiaTheme="minorHAnsi" w:hAnsiTheme="minorHAnsi"/>
      <w:sz w:val="24"/>
      <w:szCs w:val="24"/>
      <w:lang w:eastAsia="en-US"/>
    </w:rPr>
  </w:style>
  <w:style w:type="character" w:styleId="IntenseEmphasis">
    <w:name w:val="Intense Emphasis"/>
    <w:basedOn w:val="DefaultParagraphFont"/>
    <w:uiPriority w:val="21"/>
    <w:qFormat/>
    <w:rsid w:val="00C94409"/>
    <w:rPr>
      <w:i/>
      <w:iCs/>
      <w:color w:val="0F4761" w:themeColor="accent1" w:themeShade="BF"/>
    </w:rPr>
  </w:style>
  <w:style w:type="paragraph" w:styleId="IntenseQuote">
    <w:name w:val="Intense Quote"/>
    <w:basedOn w:val="Normal"/>
    <w:next w:val="Normal"/>
    <w:link w:val="IntenseQuoteChar"/>
    <w:uiPriority w:val="30"/>
    <w:qFormat/>
    <w:rsid w:val="00C9440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sz w:val="24"/>
      <w:szCs w:val="24"/>
      <w:lang w:eastAsia="en-US"/>
    </w:rPr>
  </w:style>
  <w:style w:type="character" w:customStyle="1" w:styleId="IntenseQuoteChar">
    <w:name w:val="Intense Quote Char"/>
    <w:basedOn w:val="DefaultParagraphFont"/>
    <w:link w:val="IntenseQuote"/>
    <w:uiPriority w:val="30"/>
    <w:rsid w:val="00C94409"/>
    <w:rPr>
      <w:i/>
      <w:iCs/>
      <w:color w:val="0F4761" w:themeColor="accent1" w:themeShade="BF"/>
    </w:rPr>
  </w:style>
  <w:style w:type="character" w:styleId="IntenseReference">
    <w:name w:val="Intense Reference"/>
    <w:basedOn w:val="DefaultParagraphFont"/>
    <w:uiPriority w:val="32"/>
    <w:qFormat/>
    <w:rsid w:val="00C94409"/>
    <w:rPr>
      <w:b/>
      <w:bCs/>
      <w:smallCaps/>
      <w:color w:val="0F4761" w:themeColor="accent1" w:themeShade="BF"/>
      <w:spacing w:val="5"/>
    </w:rPr>
  </w:style>
  <w:style w:type="table" w:styleId="TableGrid">
    <w:name w:val="Table Grid"/>
    <w:basedOn w:val="TableNormal"/>
    <w:uiPriority w:val="59"/>
    <w:rsid w:val="00C94409"/>
    <w:pPr>
      <w:spacing w:after="0" w:line="240" w:lineRule="auto"/>
    </w:pPr>
    <w:rPr>
      <w:rFonts w:ascii="Times New Roman" w:eastAsia="SimSun" w:hAnsi="Times New Roman" w:cs="Times New Roman"/>
      <w:kern w:val="0"/>
      <w:sz w:val="20"/>
      <w:szCs w:val="20"/>
      <w:lang w:eastAsia="zh-CN"/>
      <w14:ligatures w14:val="none"/>
    </w:rPr>
    <w:tblPr/>
  </w:style>
  <w:style w:type="table" w:styleId="GridTable1Light">
    <w:name w:val="Grid Table 1 Light"/>
    <w:basedOn w:val="TableNormal"/>
    <w:uiPriority w:val="46"/>
    <w:rsid w:val="00C94409"/>
    <w:pPr>
      <w:spacing w:after="0" w:line="240" w:lineRule="auto"/>
    </w:pPr>
    <w:rPr>
      <w:rFonts w:ascii="Times New Roman" w:eastAsia="SimSun" w:hAnsi="Times New Roman" w:cs="Times New Roman"/>
      <w:kern w:val="0"/>
      <w:sz w:val="20"/>
      <w:szCs w:val="20"/>
      <w:lang w:eastAsia="zh-C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1900</Words>
  <Characters>10830</Characters>
  <Application>Microsoft Office Word</Application>
  <DocSecurity>0</DocSecurity>
  <Lines>90</Lines>
  <Paragraphs>25</Paragraphs>
  <ScaleCrop>false</ScaleCrop>
  <Company>Springer Nature</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 Khan</dc:creator>
  <cp:keywords/>
  <dc:description/>
  <cp:lastModifiedBy>Rizwan Khan</cp:lastModifiedBy>
  <cp:revision>1</cp:revision>
  <dcterms:created xsi:type="dcterms:W3CDTF">2026-04-21T07:43:00Z</dcterms:created>
  <dcterms:modified xsi:type="dcterms:W3CDTF">2026-04-21T07:43:00Z</dcterms:modified>
</cp:coreProperties>
</file>