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95E5" w14:textId="77777777" w:rsidR="004B6814" w:rsidRDefault="004B6814" w:rsidP="0090743D">
      <w:pPr>
        <w:spacing w:after="0"/>
        <w:jc w:val="cente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0"/>
      </w:tblGrid>
      <w:tr w:rsidR="004B6814" w:rsidRPr="00C817D0" w14:paraId="057FC1B0" w14:textId="77777777" w:rsidTr="00571B8B">
        <w:tc>
          <w:tcPr>
            <w:tcW w:w="9350" w:type="dxa"/>
            <w:tcBorders>
              <w:left w:val="nil"/>
              <w:bottom w:val="nil"/>
              <w:right w:val="nil"/>
            </w:tcBorders>
          </w:tcPr>
          <w:p w14:paraId="2EC638DA" w14:textId="77777777" w:rsidR="004B6814" w:rsidRPr="00C817D0" w:rsidRDefault="004B6814" w:rsidP="0090743D">
            <w:pPr>
              <w:spacing w:after="0"/>
              <w:jc w:val="center"/>
            </w:pPr>
          </w:p>
        </w:tc>
      </w:tr>
      <w:tr w:rsidR="004B6814" w:rsidRPr="00C817D0" w14:paraId="3CF83AC4" w14:textId="77777777" w:rsidTr="00571B8B">
        <w:tc>
          <w:tcPr>
            <w:tcW w:w="9350" w:type="dxa"/>
            <w:tcBorders>
              <w:top w:val="nil"/>
              <w:left w:val="nil"/>
              <w:bottom w:val="nil"/>
              <w:right w:val="nil"/>
            </w:tcBorders>
          </w:tcPr>
          <w:p w14:paraId="11364326" w14:textId="77777777" w:rsidR="004B6814" w:rsidRPr="005A1B0C" w:rsidRDefault="004B6814" w:rsidP="00590484">
            <w:pPr>
              <w:spacing w:after="0"/>
              <w:jc w:val="center"/>
              <w:rPr>
                <w:b/>
                <w:bCs/>
                <w:sz w:val="28"/>
                <w:szCs w:val="32"/>
              </w:rPr>
            </w:pPr>
            <w:bookmarkStart w:id="0" w:name="_Hlk26242535"/>
            <w:r w:rsidRPr="005A1B0C">
              <w:rPr>
                <w:b/>
                <w:bCs/>
                <w:sz w:val="28"/>
                <w:szCs w:val="32"/>
              </w:rPr>
              <w:t>Statistical Analysis Plan For</w:t>
            </w:r>
          </w:p>
          <w:p w14:paraId="642EFD87" w14:textId="77777777" w:rsidR="00590484" w:rsidRPr="00590484" w:rsidRDefault="00590484" w:rsidP="00590484">
            <w:pPr>
              <w:spacing w:after="160" w:line="259" w:lineRule="auto"/>
              <w:jc w:val="center"/>
              <w:rPr>
                <w:sz w:val="28"/>
              </w:rPr>
            </w:pPr>
            <w:r w:rsidRPr="00590484">
              <w:rPr>
                <w:rFonts w:eastAsiaTheme="majorEastAsia"/>
                <w:spacing w:val="-10"/>
                <w:kern w:val="28"/>
                <w:sz w:val="28"/>
              </w:rPr>
              <w:t>Assessing Correlates of Protection in Rhesus Macaques Administered Various Vaccine Candidates Designed to Protect Against SARS-CoV-2 Infection</w:t>
            </w:r>
          </w:p>
          <w:p w14:paraId="69BAC3D9" w14:textId="2F332543" w:rsidR="004B6814" w:rsidRPr="004B6814" w:rsidRDefault="004B6814" w:rsidP="00590484">
            <w:pPr>
              <w:spacing w:after="0"/>
              <w:jc w:val="center"/>
            </w:pPr>
          </w:p>
        </w:tc>
      </w:tr>
      <w:bookmarkEnd w:id="0"/>
      <w:tr w:rsidR="004B6814" w:rsidRPr="00C817D0" w14:paraId="265ECD7D" w14:textId="77777777" w:rsidTr="00571B8B">
        <w:tc>
          <w:tcPr>
            <w:tcW w:w="9350" w:type="dxa"/>
            <w:tcBorders>
              <w:top w:val="nil"/>
              <w:left w:val="nil"/>
              <w:right w:val="nil"/>
            </w:tcBorders>
          </w:tcPr>
          <w:p w14:paraId="19F3505D" w14:textId="77777777" w:rsidR="004B6814" w:rsidRPr="00C817D0" w:rsidRDefault="004B6814" w:rsidP="0090743D">
            <w:pPr>
              <w:spacing w:after="0"/>
              <w:jc w:val="center"/>
            </w:pPr>
          </w:p>
        </w:tc>
      </w:tr>
    </w:tbl>
    <w:p w14:paraId="1DFDF5C0" w14:textId="77777777" w:rsidR="004B6814" w:rsidRDefault="004B6814" w:rsidP="0090743D">
      <w:pPr>
        <w:spacing w:after="0"/>
        <w:jc w:val="center"/>
      </w:pPr>
    </w:p>
    <w:p w14:paraId="32C98936" w14:textId="7C4013EB" w:rsidR="004B6814" w:rsidRPr="0071487C" w:rsidRDefault="001C098D" w:rsidP="0090743D">
      <w:pPr>
        <w:spacing w:after="0"/>
        <w:jc w:val="center"/>
      </w:pPr>
      <w:r>
        <w:t xml:space="preserve">Version 2, </w:t>
      </w:r>
      <w:r w:rsidR="00162548">
        <w:t>March 3</w:t>
      </w:r>
      <w:r>
        <w:t>, 2022</w:t>
      </w:r>
    </w:p>
    <w:p w14:paraId="78A1BAE0" w14:textId="77777777" w:rsidR="004B6814" w:rsidRPr="0071487C" w:rsidRDefault="004B6814" w:rsidP="0090743D">
      <w:pPr>
        <w:spacing w:after="0"/>
        <w:jc w:val="center"/>
      </w:pPr>
    </w:p>
    <w:p w14:paraId="4506975C" w14:textId="77777777" w:rsidR="004B6814" w:rsidRPr="0071487C" w:rsidRDefault="004B6814" w:rsidP="0090743D">
      <w:pPr>
        <w:spacing w:after="0"/>
        <w:jc w:val="center"/>
      </w:pPr>
    </w:p>
    <w:p w14:paraId="233E43C0" w14:textId="77777777" w:rsidR="00120AA0" w:rsidRDefault="00120AA0" w:rsidP="0090743D">
      <w:pPr>
        <w:spacing w:after="0"/>
        <w:jc w:val="center"/>
      </w:pPr>
    </w:p>
    <w:p w14:paraId="26B9F0E5" w14:textId="6D478EAD" w:rsidR="00120AA0" w:rsidRPr="001C441B" w:rsidRDefault="54212CBD" w:rsidP="0090743D">
      <w:pPr>
        <w:spacing w:after="0"/>
        <w:jc w:val="center"/>
        <w:rPr>
          <w:b/>
          <w:bCs/>
        </w:rPr>
      </w:pPr>
      <w:r w:rsidRPr="032B93E0">
        <w:rPr>
          <w:b/>
          <w:bCs/>
        </w:rPr>
        <w:t>Authors:</w:t>
      </w:r>
    </w:p>
    <w:p w14:paraId="6D39715D" w14:textId="06AD8034" w:rsidR="001C441B" w:rsidRDefault="54212CBD" w:rsidP="0090743D">
      <w:pPr>
        <w:spacing w:after="0"/>
        <w:jc w:val="center"/>
      </w:pPr>
      <w:r>
        <w:t xml:space="preserve">NIAID </w:t>
      </w:r>
      <w:r w:rsidR="0B4B72F1">
        <w:t xml:space="preserve">- </w:t>
      </w:r>
      <w:r>
        <w:t xml:space="preserve">Michael Fay, </w:t>
      </w:r>
      <w:r w:rsidR="004A1BE4">
        <w:t xml:space="preserve">Allyson Mateja, </w:t>
      </w:r>
      <w:r>
        <w:t>Martha Nason, Dean Follmann</w:t>
      </w:r>
    </w:p>
    <w:p w14:paraId="6A63874D" w14:textId="4E07E146" w:rsidR="001C441B" w:rsidRDefault="54212CBD" w:rsidP="0090743D">
      <w:pPr>
        <w:spacing w:after="0"/>
        <w:jc w:val="center"/>
      </w:pPr>
      <w:proofErr w:type="spellStart"/>
      <w:r>
        <w:t>CoVPN</w:t>
      </w:r>
      <w:proofErr w:type="spellEnd"/>
      <w:r>
        <w:t xml:space="preserve"> </w:t>
      </w:r>
      <w:r w:rsidR="5F8E0A5E">
        <w:t xml:space="preserve">- </w:t>
      </w:r>
      <w:r>
        <w:t>Peter Gilbert</w:t>
      </w:r>
    </w:p>
    <w:p w14:paraId="6E75A4AC" w14:textId="476303D0" w:rsidR="001C441B" w:rsidRDefault="54212CBD" w:rsidP="0090743D">
      <w:pPr>
        <w:spacing w:after="0"/>
        <w:jc w:val="center"/>
      </w:pPr>
      <w:r>
        <w:t>CDC</w:t>
      </w:r>
      <w:r w:rsidR="006D2730">
        <w:t xml:space="preserve"> </w:t>
      </w:r>
      <w:r w:rsidR="55EA7D7F">
        <w:t>-</w:t>
      </w:r>
      <w:r>
        <w:t xml:space="preserve"> Jarad Schiffer, Conrad Quinn</w:t>
      </w:r>
    </w:p>
    <w:p w14:paraId="3C6A1059" w14:textId="02B26A44" w:rsidR="001C441B" w:rsidRDefault="54212CBD" w:rsidP="0090743D">
      <w:pPr>
        <w:spacing w:after="0"/>
        <w:jc w:val="center"/>
      </w:pPr>
      <w:r>
        <w:t xml:space="preserve">Battelle </w:t>
      </w:r>
      <w:r w:rsidR="33CFB373">
        <w:t xml:space="preserve">- </w:t>
      </w:r>
      <w:r>
        <w:t>Daniel Sanford, Nancy Niemuth</w:t>
      </w:r>
    </w:p>
    <w:p w14:paraId="5EFD70EE" w14:textId="55C0E222" w:rsidR="00120AA0" w:rsidRDefault="00120AA0" w:rsidP="001C441B">
      <w:pPr>
        <w:spacing w:after="0"/>
      </w:pPr>
    </w:p>
    <w:p w14:paraId="63B01AE0" w14:textId="77777777" w:rsidR="001C441B" w:rsidRDefault="001C441B" w:rsidP="001C441B">
      <w:pPr>
        <w:spacing w:after="0"/>
      </w:pPr>
    </w:p>
    <w:p w14:paraId="3BE245E9" w14:textId="77777777" w:rsidR="004B6814" w:rsidRPr="005A1B0C" w:rsidRDefault="004B6814" w:rsidP="0090743D">
      <w:pPr>
        <w:spacing w:after="0"/>
        <w:jc w:val="center"/>
        <w:rPr>
          <w:b/>
          <w:bCs/>
        </w:rPr>
      </w:pPr>
      <w:bookmarkStart w:id="1" w:name="_Hlk26242583"/>
      <w:r w:rsidRPr="005A1B0C">
        <w:rPr>
          <w:b/>
          <w:bCs/>
        </w:rPr>
        <w:t>Sponsor:</w:t>
      </w:r>
    </w:p>
    <w:p w14:paraId="72A0C140" w14:textId="77777777" w:rsidR="00120AA0" w:rsidRPr="00120AA0" w:rsidRDefault="00120AA0" w:rsidP="0090743D">
      <w:pPr>
        <w:spacing w:after="0"/>
        <w:jc w:val="center"/>
      </w:pPr>
      <w:r w:rsidRPr="00120AA0">
        <w:t>Biomedical Advanced Research and Development Authority (BARDA)</w:t>
      </w:r>
    </w:p>
    <w:p w14:paraId="1C22AAA4" w14:textId="77777777" w:rsidR="00120AA0" w:rsidRPr="00120AA0" w:rsidRDefault="00120AA0" w:rsidP="0090743D">
      <w:pPr>
        <w:spacing w:after="0"/>
        <w:jc w:val="center"/>
      </w:pPr>
      <w:r w:rsidRPr="00120AA0">
        <w:t>Office of the Assistant Secretary for Preparedness and Response (ASPR)</w:t>
      </w:r>
    </w:p>
    <w:p w14:paraId="78F908C0" w14:textId="77777777" w:rsidR="00120AA0" w:rsidRPr="00120AA0" w:rsidRDefault="00120AA0" w:rsidP="0090743D">
      <w:pPr>
        <w:spacing w:after="0"/>
        <w:jc w:val="center"/>
      </w:pPr>
      <w:r w:rsidRPr="00120AA0">
        <w:t>U. S. Department of Health and Human Services (DHHS)</w:t>
      </w:r>
    </w:p>
    <w:p w14:paraId="04D1B047" w14:textId="77777777" w:rsidR="004B6814" w:rsidRPr="0071487C" w:rsidRDefault="00120AA0" w:rsidP="0090743D">
      <w:pPr>
        <w:spacing w:after="0"/>
        <w:jc w:val="center"/>
      </w:pPr>
      <w:r w:rsidRPr="00120AA0">
        <w:t>200 C Street, SW, Washington, DC 20024</w:t>
      </w:r>
    </w:p>
    <w:p w14:paraId="7B645773" w14:textId="77777777" w:rsidR="004B6814" w:rsidRPr="0071487C" w:rsidRDefault="004B6814" w:rsidP="0090743D">
      <w:pPr>
        <w:spacing w:after="0"/>
        <w:jc w:val="center"/>
      </w:pPr>
    </w:p>
    <w:p w14:paraId="537BD7CE" w14:textId="77777777" w:rsidR="00120AA0" w:rsidRDefault="00120AA0" w:rsidP="0090743D">
      <w:pPr>
        <w:spacing w:after="0"/>
        <w:jc w:val="center"/>
      </w:pPr>
    </w:p>
    <w:p w14:paraId="5112CB95" w14:textId="77777777" w:rsidR="004B6814" w:rsidRPr="005A1B0C" w:rsidRDefault="004B6814" w:rsidP="0090743D">
      <w:pPr>
        <w:spacing w:after="0"/>
        <w:jc w:val="center"/>
        <w:rPr>
          <w:b/>
          <w:bCs/>
        </w:rPr>
      </w:pPr>
      <w:r w:rsidRPr="005A1B0C">
        <w:rPr>
          <w:b/>
          <w:bCs/>
        </w:rPr>
        <w:t>Testing Facility:</w:t>
      </w:r>
    </w:p>
    <w:p w14:paraId="1C22DE16" w14:textId="741423D0" w:rsidR="00120AA0" w:rsidRDefault="5BB26336" w:rsidP="0090743D">
      <w:pPr>
        <w:spacing w:after="0"/>
        <w:jc w:val="center"/>
      </w:pPr>
      <w:r>
        <w:t xml:space="preserve">NIAID </w:t>
      </w:r>
    </w:p>
    <w:p w14:paraId="43AED594" w14:textId="4478C73E" w:rsidR="00EF7481" w:rsidRDefault="00EF7481" w:rsidP="0090743D">
      <w:pPr>
        <w:spacing w:after="0"/>
        <w:jc w:val="center"/>
      </w:pPr>
      <w:r>
        <w:t>5601 Fishers Lane</w:t>
      </w:r>
    </w:p>
    <w:p w14:paraId="68807B80" w14:textId="7A1DFFA4" w:rsidR="00EF7481" w:rsidRDefault="00EF7481" w:rsidP="0090743D">
      <w:pPr>
        <w:spacing w:after="0"/>
        <w:jc w:val="center"/>
      </w:pPr>
      <w:r>
        <w:t>Rockville, MD 20852</w:t>
      </w:r>
    </w:p>
    <w:p w14:paraId="1153339C" w14:textId="77777777" w:rsidR="00590484" w:rsidRDefault="00590484" w:rsidP="0090743D">
      <w:pPr>
        <w:spacing w:after="0"/>
        <w:jc w:val="center"/>
      </w:pPr>
    </w:p>
    <w:bookmarkEnd w:id="1"/>
    <w:p w14:paraId="322AF105" w14:textId="77777777" w:rsidR="004B6814" w:rsidRDefault="00120AA0" w:rsidP="001154FB">
      <w:pPr>
        <w:spacing w:after="0"/>
      </w:pPr>
      <w:r>
        <w:br w:type="page"/>
      </w:r>
      <w:r w:rsidR="004B6814">
        <w:lastRenderedPageBreak/>
        <w:t>Approval Signatures:</w:t>
      </w:r>
    </w:p>
    <w:p w14:paraId="346D1067" w14:textId="77777777" w:rsidR="004B6814" w:rsidRDefault="004B6814" w:rsidP="001154FB">
      <w:pPr>
        <w:pStyle w:val="BodyText"/>
        <w:spacing w:after="0"/>
        <w:jc w:val="left"/>
      </w:pP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gridCol w:w="1397"/>
        <w:gridCol w:w="3162"/>
      </w:tblGrid>
      <w:tr w:rsidR="0090743D" w:rsidRPr="003725AA" w14:paraId="0B95BBAA" w14:textId="77777777" w:rsidTr="00EF7481">
        <w:trPr>
          <w:trHeight w:val="502"/>
        </w:trPr>
        <w:tc>
          <w:tcPr>
            <w:tcW w:w="4925" w:type="dxa"/>
            <w:vMerge w:val="restart"/>
          </w:tcPr>
          <w:p w14:paraId="571B131D" w14:textId="77777777" w:rsidR="0090743D" w:rsidRDefault="0090743D" w:rsidP="001154FB">
            <w:pPr>
              <w:spacing w:after="0"/>
            </w:pPr>
            <w:r>
              <w:rPr>
                <w:noProof/>
              </w:rPr>
              <mc:AlternateContent>
                <mc:Choice Requires="wps">
                  <w:drawing>
                    <wp:anchor distT="0" distB="0" distL="114300" distR="114300" simplePos="0" relativeHeight="251658240" behindDoc="0" locked="0" layoutInCell="1" allowOverlap="1" wp14:anchorId="23247A69" wp14:editId="4978C25F">
                      <wp:simplePos x="0" y="0"/>
                      <wp:positionH relativeFrom="column">
                        <wp:posOffset>-49530</wp:posOffset>
                      </wp:positionH>
                      <wp:positionV relativeFrom="paragraph">
                        <wp:posOffset>316230</wp:posOffset>
                      </wp:positionV>
                      <wp:extent cx="3028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028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59F43C6">
                    <v:line id="Straight Connector 2"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9pt,24.9pt" to="234.6pt,24.9pt" w14:anchorId="7EC5E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">
                      <v:stroke joinstyle="miter"/>
                    </v:line>
                  </w:pict>
                </mc:Fallback>
              </mc:AlternateContent>
            </w:r>
          </w:p>
          <w:p w14:paraId="293F4936" w14:textId="77777777" w:rsidR="00A15311" w:rsidRDefault="00A15311" w:rsidP="032B93E0">
            <w:pPr>
              <w:spacing w:after="0"/>
            </w:pPr>
          </w:p>
          <w:p w14:paraId="411AF096" w14:textId="62D4C24F" w:rsidR="00EF7481" w:rsidRDefault="00EF7481" w:rsidP="032B93E0">
            <w:pPr>
              <w:spacing w:after="0"/>
            </w:pPr>
            <w:r>
              <w:t>Michael Fay, Ph.D.</w:t>
            </w:r>
          </w:p>
          <w:p w14:paraId="0B7130AA" w14:textId="7646F991" w:rsidR="0090743D" w:rsidRDefault="00712ADC" w:rsidP="032B93E0">
            <w:pPr>
              <w:spacing w:after="0"/>
            </w:pPr>
            <w:r>
              <w:t>Lead Statistician</w:t>
            </w:r>
          </w:p>
          <w:p w14:paraId="10649944" w14:textId="77777777" w:rsidR="006C4827" w:rsidRDefault="006C4827" w:rsidP="001154FB">
            <w:pPr>
              <w:spacing w:after="0"/>
            </w:pPr>
          </w:p>
          <w:p w14:paraId="7E587F52" w14:textId="77777777" w:rsidR="00C2200E" w:rsidRDefault="00C2200E" w:rsidP="001154FB">
            <w:pPr>
              <w:spacing w:after="0"/>
            </w:pPr>
          </w:p>
          <w:p w14:paraId="241960C8" w14:textId="77777777" w:rsidR="0090743D" w:rsidRPr="0071487C" w:rsidRDefault="0090743D" w:rsidP="001154FB">
            <w:pPr>
              <w:spacing w:after="0"/>
            </w:pPr>
          </w:p>
        </w:tc>
        <w:tc>
          <w:tcPr>
            <w:tcW w:w="1397" w:type="dxa"/>
            <w:vMerge w:val="restart"/>
          </w:tcPr>
          <w:p w14:paraId="7CA29306" w14:textId="77777777" w:rsidR="0090743D" w:rsidRPr="0071487C" w:rsidRDefault="0090743D" w:rsidP="001154FB">
            <w:pPr>
              <w:spacing w:after="0"/>
            </w:pPr>
          </w:p>
        </w:tc>
        <w:tc>
          <w:tcPr>
            <w:tcW w:w="3162" w:type="dxa"/>
            <w:tcBorders>
              <w:bottom w:val="single" w:sz="4" w:space="0" w:color="auto"/>
            </w:tcBorders>
          </w:tcPr>
          <w:p w14:paraId="03EF3A21" w14:textId="77777777" w:rsidR="0090743D" w:rsidRPr="0071487C" w:rsidRDefault="0090743D" w:rsidP="001154FB">
            <w:pPr>
              <w:spacing w:after="0"/>
            </w:pPr>
          </w:p>
        </w:tc>
      </w:tr>
      <w:tr w:rsidR="0090743D" w:rsidRPr="003725AA" w14:paraId="17EF1484" w14:textId="77777777" w:rsidTr="00EF7481">
        <w:trPr>
          <w:trHeight w:val="732"/>
        </w:trPr>
        <w:tc>
          <w:tcPr>
            <w:tcW w:w="4925" w:type="dxa"/>
            <w:vMerge/>
          </w:tcPr>
          <w:p w14:paraId="0A4D1AAA" w14:textId="77777777" w:rsidR="0090743D" w:rsidRDefault="0090743D" w:rsidP="001154FB">
            <w:pPr>
              <w:spacing w:after="0"/>
              <w:rPr>
                <w:noProof/>
              </w:rPr>
            </w:pPr>
          </w:p>
        </w:tc>
        <w:tc>
          <w:tcPr>
            <w:tcW w:w="1397" w:type="dxa"/>
            <w:vMerge/>
          </w:tcPr>
          <w:p w14:paraId="4B049E2F" w14:textId="77777777" w:rsidR="0090743D" w:rsidRPr="0071487C" w:rsidRDefault="0090743D" w:rsidP="001154FB">
            <w:pPr>
              <w:spacing w:after="0"/>
            </w:pPr>
          </w:p>
        </w:tc>
        <w:tc>
          <w:tcPr>
            <w:tcW w:w="3162" w:type="dxa"/>
            <w:tcBorders>
              <w:bottom w:val="single" w:sz="4" w:space="0" w:color="auto"/>
            </w:tcBorders>
          </w:tcPr>
          <w:p w14:paraId="0B355448" w14:textId="77777777" w:rsidR="0090743D" w:rsidRPr="0071487C" w:rsidRDefault="0090743D" w:rsidP="001154FB">
            <w:pPr>
              <w:spacing w:after="0"/>
            </w:pPr>
            <w:r>
              <w:t>Date</w:t>
            </w:r>
          </w:p>
        </w:tc>
      </w:tr>
      <w:tr w:rsidR="004B6814" w:rsidRPr="003725AA" w14:paraId="0D994C68" w14:textId="77777777" w:rsidTr="00EF7481">
        <w:trPr>
          <w:trHeight w:val="1647"/>
        </w:trPr>
        <w:tc>
          <w:tcPr>
            <w:tcW w:w="4925" w:type="dxa"/>
            <w:tcBorders>
              <w:top w:val="single" w:sz="4" w:space="0" w:color="auto"/>
              <w:bottom w:val="single" w:sz="4" w:space="0" w:color="auto"/>
            </w:tcBorders>
          </w:tcPr>
          <w:p w14:paraId="49F2D4EF" w14:textId="008E014E" w:rsidR="004B6814" w:rsidRDefault="00EF7481" w:rsidP="006C4827">
            <w:pPr>
              <w:spacing w:after="0"/>
            </w:pPr>
            <w:r>
              <w:t>Cristina Cassetti, Ph.D.</w:t>
            </w:r>
          </w:p>
          <w:p w14:paraId="03DFAB85" w14:textId="64F0CD45" w:rsidR="00C2200E" w:rsidRPr="0071487C" w:rsidRDefault="00EF7481" w:rsidP="006C4827">
            <w:pPr>
              <w:spacing w:after="0"/>
            </w:pPr>
            <w:r>
              <w:t xml:space="preserve">NIAID </w:t>
            </w:r>
            <w:proofErr w:type="spellStart"/>
            <w:r>
              <w:t>Represenative</w:t>
            </w:r>
            <w:proofErr w:type="spellEnd"/>
          </w:p>
        </w:tc>
        <w:tc>
          <w:tcPr>
            <w:tcW w:w="1397" w:type="dxa"/>
          </w:tcPr>
          <w:p w14:paraId="36C3C6DD" w14:textId="77777777" w:rsidR="004B6814" w:rsidRPr="0071487C" w:rsidRDefault="004B6814" w:rsidP="001154FB">
            <w:pPr>
              <w:spacing w:after="0"/>
            </w:pPr>
          </w:p>
        </w:tc>
        <w:tc>
          <w:tcPr>
            <w:tcW w:w="3162" w:type="dxa"/>
            <w:tcBorders>
              <w:top w:val="single" w:sz="4" w:space="0" w:color="auto"/>
              <w:bottom w:val="single" w:sz="4" w:space="0" w:color="auto"/>
            </w:tcBorders>
          </w:tcPr>
          <w:p w14:paraId="0FB0D2F2" w14:textId="77777777" w:rsidR="004B6814" w:rsidRPr="0071487C" w:rsidRDefault="004B6814" w:rsidP="001154FB">
            <w:pPr>
              <w:spacing w:after="0"/>
            </w:pPr>
            <w:r w:rsidRPr="0071487C">
              <w:t>Date</w:t>
            </w:r>
          </w:p>
        </w:tc>
      </w:tr>
    </w:tbl>
    <w:p w14:paraId="083CA68B" w14:textId="1683E937" w:rsidR="00EF7481" w:rsidRPr="0071487C" w:rsidRDefault="00EF7481" w:rsidP="00EF7481">
      <w:pPr>
        <w:spacing w:after="0"/>
      </w:pPr>
      <w:proofErr w:type="spellStart"/>
      <w:r>
        <w:t>Appril</w:t>
      </w:r>
      <w:proofErr w:type="spellEnd"/>
      <w:r>
        <w:t xml:space="preserve"> Brys, Ph.D.</w:t>
      </w:r>
      <w:r w:rsidRPr="00EF7481">
        <w:t xml:space="preserve"> </w:t>
      </w:r>
      <w:r>
        <w:tab/>
      </w:r>
      <w:r>
        <w:tab/>
      </w:r>
      <w:r>
        <w:tab/>
      </w:r>
      <w:r>
        <w:tab/>
      </w:r>
      <w:r>
        <w:tab/>
      </w:r>
      <w:r>
        <w:tab/>
      </w:r>
      <w:r>
        <w:tab/>
      </w:r>
      <w:r w:rsidRPr="0071487C">
        <w:t>Date</w:t>
      </w:r>
    </w:p>
    <w:p w14:paraId="45C83804" w14:textId="3DE9E888" w:rsidR="00291947" w:rsidRDefault="00EF7481" w:rsidP="00EF7481">
      <w:pPr>
        <w:spacing w:after="0"/>
        <w:sectPr w:rsidR="00291947" w:rsidSect="00857BDE">
          <w:footerReference w:type="default" r:id="rId11"/>
          <w:pgSz w:w="12240" w:h="15840"/>
          <w:pgMar w:top="1440" w:right="1440" w:bottom="1440" w:left="1440" w:header="720" w:footer="720" w:gutter="0"/>
          <w:cols w:space="720"/>
          <w:titlePg/>
          <w:docGrid w:linePitch="360"/>
        </w:sectPr>
      </w:pPr>
      <w:r>
        <w:t xml:space="preserve">BARDA </w:t>
      </w:r>
      <w:proofErr w:type="spellStart"/>
      <w:r>
        <w:t>Represenative</w:t>
      </w:r>
      <w:proofErr w:type="spellEnd"/>
    </w:p>
    <w:p w14:paraId="2D19C48D" w14:textId="77777777" w:rsidR="00291947" w:rsidRDefault="00291947" w:rsidP="1DC7B1E2">
      <w:pPr>
        <w:pStyle w:val="Heading0"/>
      </w:pPr>
      <w:bookmarkStart w:id="2" w:name="_Toc26242714"/>
      <w:bookmarkStart w:id="3" w:name="_Toc26242963"/>
      <w:bookmarkStart w:id="4" w:name="_Toc26243090"/>
      <w:bookmarkStart w:id="5" w:name="_Toc60811571"/>
      <w:r>
        <w:lastRenderedPageBreak/>
        <w:t>Table of Contents</w:t>
      </w:r>
      <w:bookmarkEnd w:id="2"/>
      <w:bookmarkEnd w:id="3"/>
      <w:bookmarkEnd w:id="4"/>
      <w:bookmarkEnd w:id="5"/>
    </w:p>
    <w:sdt>
      <w:sdtPr>
        <w:rPr>
          <w:rFonts w:ascii="Times New Roman" w:eastAsiaTheme="minorHAnsi" w:hAnsi="Times New Roman" w:cs="Times New Roman"/>
          <w:color w:val="auto"/>
          <w:sz w:val="24"/>
          <w:szCs w:val="28"/>
        </w:rPr>
        <w:id w:val="-1640263610"/>
        <w:docPartObj>
          <w:docPartGallery w:val="Table of Contents"/>
          <w:docPartUnique/>
        </w:docPartObj>
      </w:sdtPr>
      <w:sdtEndPr>
        <w:rPr>
          <w:b/>
          <w:bCs/>
          <w:noProof/>
        </w:rPr>
      </w:sdtEndPr>
      <w:sdtContent>
        <w:p w14:paraId="5096198E" w14:textId="77777777" w:rsidR="00DE653D" w:rsidRDefault="00DE653D" w:rsidP="63D7B13A">
          <w:pPr>
            <w:pStyle w:val="TOCHeading"/>
          </w:pPr>
        </w:p>
        <w:p w14:paraId="5BF7445F" w14:textId="67EEF812" w:rsidR="007A72D9" w:rsidRDefault="00DE653D">
          <w:pPr>
            <w:pStyle w:val="TOC1"/>
            <w:rPr>
              <w:rFonts w:asciiTheme="minorHAnsi" w:eastAsiaTheme="minorEastAsia" w:hAnsiTheme="minorHAnsi" w:cstheme="minorBidi"/>
              <w:noProof/>
              <w:sz w:val="22"/>
              <w:szCs w:val="22"/>
              <w:lang w:eastAsia="ja-JP"/>
            </w:rPr>
          </w:pPr>
          <w:r>
            <w:fldChar w:fldCharType="begin"/>
          </w:r>
          <w:r>
            <w:instrText xml:space="preserve"> TOC \o "1-3" \h \z \u </w:instrText>
          </w:r>
          <w:r>
            <w:fldChar w:fldCharType="separate"/>
          </w:r>
          <w:hyperlink w:anchor="_Toc60811572" w:history="1">
            <w:r w:rsidR="007A72D9" w:rsidRPr="63D7B13A">
              <w:rPr>
                <w:rStyle w:val="Hyperlink"/>
                <w:noProof/>
              </w:rPr>
              <w:t>1.</w:t>
            </w:r>
            <w:r w:rsidR="007A72D9">
              <w:rPr>
                <w:rFonts w:asciiTheme="minorHAnsi" w:eastAsiaTheme="minorEastAsia" w:hAnsiTheme="minorHAnsi" w:cstheme="minorBidi"/>
                <w:noProof/>
                <w:sz w:val="22"/>
                <w:szCs w:val="22"/>
                <w:lang w:eastAsia="ja-JP"/>
              </w:rPr>
              <w:tab/>
            </w:r>
            <w:r w:rsidR="007A72D9" w:rsidRPr="00CD3EF6">
              <w:rPr>
                <w:rStyle w:val="Hyperlink"/>
                <w:noProof/>
              </w:rPr>
              <w:t>STATISTICAL ANALYSIS PLAN</w:t>
            </w:r>
            <w:r w:rsidR="007A72D9">
              <w:rPr>
                <w:noProof/>
                <w:webHidden/>
              </w:rPr>
              <w:tab/>
            </w:r>
            <w:r w:rsidR="007A72D9" w:rsidRPr="63D7B13A">
              <w:rPr>
                <w:noProof/>
              </w:rPr>
              <w:fldChar w:fldCharType="begin"/>
            </w:r>
            <w:r w:rsidR="007A72D9" w:rsidRPr="63D7B13A">
              <w:rPr>
                <w:noProof/>
              </w:rPr>
              <w:instrText xml:space="preserve"> PAGEREF _Toc60811572 \h </w:instrText>
            </w:r>
            <w:r w:rsidR="007A72D9" w:rsidRPr="63D7B13A">
              <w:rPr>
                <w:noProof/>
              </w:rPr>
            </w:r>
            <w:r w:rsidR="007A72D9" w:rsidRPr="63D7B13A">
              <w:rPr>
                <w:noProof/>
              </w:rPr>
              <w:fldChar w:fldCharType="separate"/>
            </w:r>
            <w:r w:rsidR="007A72D9">
              <w:rPr>
                <w:noProof/>
                <w:webHidden/>
              </w:rPr>
              <w:t>5</w:t>
            </w:r>
            <w:r w:rsidR="007A72D9" w:rsidRPr="63D7B13A">
              <w:rPr>
                <w:noProof/>
              </w:rPr>
              <w:fldChar w:fldCharType="end"/>
            </w:r>
          </w:hyperlink>
        </w:p>
        <w:p w14:paraId="3806DE0F" w14:textId="0F7ED61B" w:rsidR="007A72D9" w:rsidRDefault="000522B7">
          <w:pPr>
            <w:pStyle w:val="TOC1"/>
            <w:rPr>
              <w:rFonts w:asciiTheme="minorHAnsi" w:eastAsiaTheme="minorEastAsia" w:hAnsiTheme="minorHAnsi" w:cstheme="minorBidi"/>
              <w:noProof/>
              <w:sz w:val="22"/>
              <w:szCs w:val="22"/>
              <w:lang w:eastAsia="ja-JP"/>
            </w:rPr>
          </w:pPr>
          <w:hyperlink w:anchor="_Toc60811573" w:history="1">
            <w:r w:rsidR="007A72D9" w:rsidRPr="63D7B13A">
              <w:rPr>
                <w:rStyle w:val="Hyperlink"/>
                <w:noProof/>
              </w:rPr>
              <w:t>2.</w:t>
            </w:r>
            <w:r w:rsidR="007A72D9">
              <w:rPr>
                <w:rFonts w:asciiTheme="minorHAnsi" w:eastAsiaTheme="minorEastAsia" w:hAnsiTheme="minorHAnsi" w:cstheme="minorBidi"/>
                <w:noProof/>
                <w:sz w:val="22"/>
                <w:szCs w:val="22"/>
                <w:lang w:eastAsia="ja-JP"/>
              </w:rPr>
              <w:tab/>
            </w:r>
            <w:r w:rsidR="007A72D9" w:rsidRPr="00CD3EF6">
              <w:rPr>
                <w:rStyle w:val="Hyperlink"/>
                <w:noProof/>
              </w:rPr>
              <w:t>OBJECTIVES</w:t>
            </w:r>
            <w:r w:rsidR="007A72D9">
              <w:rPr>
                <w:noProof/>
                <w:webHidden/>
              </w:rPr>
              <w:tab/>
            </w:r>
            <w:r w:rsidR="007A72D9" w:rsidRPr="63D7B13A">
              <w:rPr>
                <w:noProof/>
              </w:rPr>
              <w:fldChar w:fldCharType="begin"/>
            </w:r>
            <w:r w:rsidR="007A72D9" w:rsidRPr="63D7B13A">
              <w:rPr>
                <w:noProof/>
              </w:rPr>
              <w:instrText xml:space="preserve"> PAGEREF _Toc60811573 \h </w:instrText>
            </w:r>
            <w:r w:rsidR="007A72D9" w:rsidRPr="63D7B13A">
              <w:rPr>
                <w:noProof/>
              </w:rPr>
            </w:r>
            <w:r w:rsidR="007A72D9" w:rsidRPr="63D7B13A">
              <w:rPr>
                <w:noProof/>
              </w:rPr>
              <w:fldChar w:fldCharType="separate"/>
            </w:r>
            <w:r w:rsidR="007A72D9">
              <w:rPr>
                <w:noProof/>
                <w:webHidden/>
              </w:rPr>
              <w:t>5</w:t>
            </w:r>
            <w:r w:rsidR="007A72D9" w:rsidRPr="63D7B13A">
              <w:rPr>
                <w:noProof/>
              </w:rPr>
              <w:fldChar w:fldCharType="end"/>
            </w:r>
          </w:hyperlink>
        </w:p>
        <w:p w14:paraId="5C0AA8C8" w14:textId="663575A2" w:rsidR="007A72D9" w:rsidRDefault="000522B7">
          <w:pPr>
            <w:pStyle w:val="TOC1"/>
            <w:rPr>
              <w:rFonts w:asciiTheme="minorHAnsi" w:eastAsiaTheme="minorEastAsia" w:hAnsiTheme="minorHAnsi" w:cstheme="minorBidi"/>
              <w:noProof/>
              <w:sz w:val="22"/>
              <w:szCs w:val="22"/>
              <w:lang w:eastAsia="ja-JP"/>
            </w:rPr>
          </w:pPr>
          <w:hyperlink w:anchor="_Toc60811575" w:history="1">
            <w:r w:rsidR="007A72D9" w:rsidRPr="63D7B13A">
              <w:rPr>
                <w:rStyle w:val="Hyperlink"/>
                <w:noProof/>
              </w:rPr>
              <w:t>3.</w:t>
            </w:r>
            <w:r w:rsidR="007A72D9">
              <w:rPr>
                <w:rFonts w:asciiTheme="minorHAnsi" w:eastAsiaTheme="minorEastAsia" w:hAnsiTheme="minorHAnsi" w:cstheme="minorBidi"/>
                <w:noProof/>
                <w:sz w:val="22"/>
                <w:szCs w:val="22"/>
                <w:lang w:eastAsia="ja-JP"/>
              </w:rPr>
              <w:tab/>
            </w:r>
            <w:r w:rsidR="00A15311">
              <w:rPr>
                <w:rStyle w:val="Hyperlink"/>
                <w:noProof/>
              </w:rPr>
              <w:t>INTRODUCTION</w:t>
            </w:r>
            <w:r w:rsidR="007A72D9">
              <w:rPr>
                <w:noProof/>
                <w:webHidden/>
              </w:rPr>
              <w:tab/>
            </w:r>
            <w:r w:rsidR="007A72D9" w:rsidRPr="63D7B13A">
              <w:rPr>
                <w:noProof/>
              </w:rPr>
              <w:fldChar w:fldCharType="begin"/>
            </w:r>
            <w:r w:rsidR="007A72D9" w:rsidRPr="63D7B13A">
              <w:rPr>
                <w:noProof/>
              </w:rPr>
              <w:instrText xml:space="preserve"> PAGEREF _Toc60811575 \h </w:instrText>
            </w:r>
            <w:r w:rsidR="007A72D9" w:rsidRPr="63D7B13A">
              <w:rPr>
                <w:noProof/>
              </w:rPr>
            </w:r>
            <w:r w:rsidR="007A72D9" w:rsidRPr="63D7B13A">
              <w:rPr>
                <w:noProof/>
              </w:rPr>
              <w:fldChar w:fldCharType="separate"/>
            </w:r>
            <w:r w:rsidR="007A72D9">
              <w:rPr>
                <w:noProof/>
                <w:webHidden/>
              </w:rPr>
              <w:t>5</w:t>
            </w:r>
            <w:r w:rsidR="007A72D9" w:rsidRPr="63D7B13A">
              <w:rPr>
                <w:noProof/>
              </w:rPr>
              <w:fldChar w:fldCharType="end"/>
            </w:r>
          </w:hyperlink>
        </w:p>
        <w:p w14:paraId="41F3E4B6" w14:textId="38AD8D7F" w:rsidR="007A72D9" w:rsidRDefault="000522B7">
          <w:pPr>
            <w:pStyle w:val="TOC1"/>
            <w:rPr>
              <w:rFonts w:asciiTheme="minorHAnsi" w:eastAsiaTheme="minorEastAsia" w:hAnsiTheme="minorHAnsi" w:cstheme="minorBidi"/>
              <w:noProof/>
              <w:sz w:val="22"/>
              <w:szCs w:val="22"/>
              <w:lang w:eastAsia="ja-JP"/>
            </w:rPr>
          </w:pPr>
          <w:hyperlink w:anchor="_Toc60811585" w:history="1">
            <w:r w:rsidR="007A72D9" w:rsidRPr="63D7B13A">
              <w:rPr>
                <w:rStyle w:val="Hyperlink"/>
                <w:noProof/>
              </w:rPr>
              <w:t>4.</w:t>
            </w:r>
            <w:r w:rsidR="007A72D9">
              <w:rPr>
                <w:rFonts w:asciiTheme="minorHAnsi" w:eastAsiaTheme="minorEastAsia" w:hAnsiTheme="minorHAnsi" w:cstheme="minorBidi"/>
                <w:noProof/>
                <w:sz w:val="22"/>
                <w:szCs w:val="22"/>
                <w:lang w:eastAsia="ja-JP"/>
              </w:rPr>
              <w:tab/>
            </w:r>
            <w:r w:rsidR="007A72D9" w:rsidRPr="00CD3EF6">
              <w:rPr>
                <w:rStyle w:val="Hyperlink"/>
                <w:noProof/>
              </w:rPr>
              <w:t>TEST SYSTEM</w:t>
            </w:r>
            <w:r w:rsidR="007A72D9">
              <w:rPr>
                <w:noProof/>
                <w:webHidden/>
              </w:rPr>
              <w:tab/>
            </w:r>
            <w:r w:rsidR="007A72D9" w:rsidRPr="63D7B13A">
              <w:rPr>
                <w:noProof/>
              </w:rPr>
              <w:fldChar w:fldCharType="begin"/>
            </w:r>
            <w:r w:rsidR="007A72D9" w:rsidRPr="63D7B13A">
              <w:rPr>
                <w:noProof/>
              </w:rPr>
              <w:instrText xml:space="preserve"> PAGEREF _Toc60811585 \h </w:instrText>
            </w:r>
            <w:r w:rsidR="007A72D9" w:rsidRPr="63D7B13A">
              <w:rPr>
                <w:noProof/>
              </w:rPr>
            </w:r>
            <w:r w:rsidR="007A72D9" w:rsidRPr="63D7B13A">
              <w:rPr>
                <w:noProof/>
              </w:rPr>
              <w:fldChar w:fldCharType="separate"/>
            </w:r>
            <w:r w:rsidR="007A72D9">
              <w:rPr>
                <w:noProof/>
                <w:webHidden/>
              </w:rPr>
              <w:t>10</w:t>
            </w:r>
            <w:r w:rsidR="007A72D9" w:rsidRPr="63D7B13A">
              <w:rPr>
                <w:noProof/>
              </w:rPr>
              <w:fldChar w:fldCharType="end"/>
            </w:r>
          </w:hyperlink>
        </w:p>
        <w:p w14:paraId="449A01AB" w14:textId="1227EAC2" w:rsidR="007A72D9" w:rsidRDefault="000522B7">
          <w:pPr>
            <w:pStyle w:val="TOC1"/>
            <w:rPr>
              <w:rFonts w:asciiTheme="minorHAnsi" w:eastAsiaTheme="minorEastAsia" w:hAnsiTheme="minorHAnsi" w:cstheme="minorBidi"/>
              <w:noProof/>
              <w:sz w:val="22"/>
              <w:szCs w:val="22"/>
              <w:lang w:eastAsia="ja-JP"/>
            </w:rPr>
          </w:pPr>
          <w:hyperlink w:anchor="_Toc60811586" w:history="1">
            <w:r w:rsidR="007A72D9" w:rsidRPr="63D7B13A">
              <w:rPr>
                <w:rStyle w:val="Hyperlink"/>
                <w:noProof/>
              </w:rPr>
              <w:t>5.</w:t>
            </w:r>
            <w:r w:rsidR="007A72D9">
              <w:rPr>
                <w:rFonts w:asciiTheme="minorHAnsi" w:eastAsiaTheme="minorEastAsia" w:hAnsiTheme="minorHAnsi" w:cstheme="minorBidi"/>
                <w:noProof/>
                <w:sz w:val="22"/>
                <w:szCs w:val="22"/>
                <w:lang w:eastAsia="ja-JP"/>
              </w:rPr>
              <w:tab/>
            </w:r>
            <w:r w:rsidR="007A72D9" w:rsidRPr="00CD3EF6">
              <w:rPr>
                <w:rStyle w:val="Hyperlink"/>
                <w:noProof/>
              </w:rPr>
              <w:t>STUDY DESIGN</w:t>
            </w:r>
            <w:r w:rsidR="007A72D9">
              <w:rPr>
                <w:noProof/>
                <w:webHidden/>
              </w:rPr>
              <w:tab/>
            </w:r>
            <w:r w:rsidR="007A72D9" w:rsidRPr="63D7B13A">
              <w:rPr>
                <w:noProof/>
              </w:rPr>
              <w:fldChar w:fldCharType="begin"/>
            </w:r>
            <w:r w:rsidR="007A72D9" w:rsidRPr="63D7B13A">
              <w:rPr>
                <w:noProof/>
              </w:rPr>
              <w:instrText xml:space="preserve"> PAGEREF _Toc60811586 \h </w:instrText>
            </w:r>
            <w:r w:rsidR="007A72D9" w:rsidRPr="63D7B13A">
              <w:rPr>
                <w:noProof/>
              </w:rPr>
            </w:r>
            <w:r w:rsidR="007A72D9" w:rsidRPr="63D7B13A">
              <w:rPr>
                <w:noProof/>
              </w:rPr>
              <w:fldChar w:fldCharType="separate"/>
            </w:r>
            <w:r w:rsidR="007A72D9">
              <w:rPr>
                <w:noProof/>
                <w:webHidden/>
              </w:rPr>
              <w:t>11</w:t>
            </w:r>
            <w:r w:rsidR="007A72D9" w:rsidRPr="63D7B13A">
              <w:rPr>
                <w:noProof/>
              </w:rPr>
              <w:fldChar w:fldCharType="end"/>
            </w:r>
          </w:hyperlink>
        </w:p>
        <w:p w14:paraId="41460152" w14:textId="68C70C09" w:rsidR="007A72D9" w:rsidRDefault="000522B7">
          <w:pPr>
            <w:pStyle w:val="TOC1"/>
            <w:rPr>
              <w:rFonts w:asciiTheme="minorHAnsi" w:eastAsiaTheme="minorEastAsia" w:hAnsiTheme="minorHAnsi" w:cstheme="minorBidi"/>
              <w:noProof/>
              <w:sz w:val="22"/>
              <w:szCs w:val="22"/>
              <w:lang w:eastAsia="ja-JP"/>
            </w:rPr>
          </w:pPr>
          <w:hyperlink w:anchor="_Toc60811590" w:history="1">
            <w:r w:rsidR="007A72D9" w:rsidRPr="63D7B13A">
              <w:rPr>
                <w:rStyle w:val="Hyperlink"/>
                <w:noProof/>
              </w:rPr>
              <w:t>6.</w:t>
            </w:r>
            <w:r w:rsidR="007A72D9">
              <w:rPr>
                <w:rFonts w:asciiTheme="minorHAnsi" w:eastAsiaTheme="minorEastAsia" w:hAnsiTheme="minorHAnsi" w:cstheme="minorBidi"/>
                <w:noProof/>
                <w:sz w:val="22"/>
                <w:szCs w:val="22"/>
                <w:lang w:eastAsia="ja-JP"/>
              </w:rPr>
              <w:tab/>
            </w:r>
            <w:r w:rsidR="00A15311">
              <w:rPr>
                <w:rStyle w:val="Hyperlink"/>
                <w:noProof/>
              </w:rPr>
              <w:t>STATISTICAL CONSIDERATIONS</w:t>
            </w:r>
            <w:r w:rsidR="007A72D9">
              <w:rPr>
                <w:noProof/>
                <w:webHidden/>
              </w:rPr>
              <w:tab/>
            </w:r>
            <w:r w:rsidR="007A72D9" w:rsidRPr="63D7B13A">
              <w:rPr>
                <w:noProof/>
              </w:rPr>
              <w:fldChar w:fldCharType="begin"/>
            </w:r>
            <w:r w:rsidR="007A72D9" w:rsidRPr="63D7B13A">
              <w:rPr>
                <w:noProof/>
              </w:rPr>
              <w:instrText xml:space="preserve"> PAGEREF _Toc60811590 \h </w:instrText>
            </w:r>
            <w:r w:rsidR="007A72D9" w:rsidRPr="63D7B13A">
              <w:rPr>
                <w:noProof/>
              </w:rPr>
            </w:r>
            <w:r w:rsidR="007A72D9" w:rsidRPr="63D7B13A">
              <w:rPr>
                <w:noProof/>
              </w:rPr>
              <w:fldChar w:fldCharType="separate"/>
            </w:r>
            <w:r w:rsidR="007A72D9">
              <w:rPr>
                <w:noProof/>
                <w:webHidden/>
              </w:rPr>
              <w:t>27</w:t>
            </w:r>
            <w:r w:rsidR="007A72D9" w:rsidRPr="63D7B13A">
              <w:rPr>
                <w:noProof/>
              </w:rPr>
              <w:fldChar w:fldCharType="end"/>
            </w:r>
          </w:hyperlink>
        </w:p>
        <w:p w14:paraId="15367D1A" w14:textId="17311CF6" w:rsidR="007A72D9" w:rsidRDefault="000522B7">
          <w:pPr>
            <w:pStyle w:val="TOC1"/>
            <w:rPr>
              <w:rFonts w:asciiTheme="minorHAnsi" w:eastAsiaTheme="minorEastAsia" w:hAnsiTheme="minorHAnsi" w:cstheme="minorBidi"/>
              <w:noProof/>
              <w:sz w:val="22"/>
              <w:szCs w:val="22"/>
              <w:lang w:eastAsia="ja-JP"/>
            </w:rPr>
          </w:pPr>
          <w:hyperlink w:anchor="_Toc60811607" w:history="1">
            <w:r w:rsidR="007A72D9" w:rsidRPr="63D7B13A">
              <w:rPr>
                <w:rStyle w:val="Hyperlink"/>
                <w:noProof/>
              </w:rPr>
              <w:t>7.</w:t>
            </w:r>
            <w:r w:rsidR="007A72D9">
              <w:rPr>
                <w:rFonts w:asciiTheme="minorHAnsi" w:eastAsiaTheme="minorEastAsia" w:hAnsiTheme="minorHAnsi" w:cstheme="minorBidi"/>
                <w:noProof/>
                <w:sz w:val="22"/>
                <w:szCs w:val="22"/>
                <w:lang w:eastAsia="ja-JP"/>
              </w:rPr>
              <w:tab/>
            </w:r>
            <w:r w:rsidR="007A72D9" w:rsidRPr="00CD3EF6">
              <w:rPr>
                <w:rStyle w:val="Hyperlink"/>
                <w:noProof/>
              </w:rPr>
              <w:t>REFERENCES</w:t>
            </w:r>
            <w:r w:rsidR="007A72D9">
              <w:rPr>
                <w:noProof/>
                <w:webHidden/>
              </w:rPr>
              <w:tab/>
            </w:r>
            <w:r w:rsidR="007A72D9" w:rsidRPr="63D7B13A">
              <w:rPr>
                <w:noProof/>
              </w:rPr>
              <w:fldChar w:fldCharType="begin"/>
            </w:r>
            <w:r w:rsidR="007A72D9" w:rsidRPr="63D7B13A">
              <w:rPr>
                <w:noProof/>
              </w:rPr>
              <w:instrText xml:space="preserve"> PAGEREF _Toc60811607 \h </w:instrText>
            </w:r>
            <w:r w:rsidR="007A72D9" w:rsidRPr="63D7B13A">
              <w:rPr>
                <w:noProof/>
              </w:rPr>
            </w:r>
            <w:r w:rsidR="007A72D9" w:rsidRPr="63D7B13A">
              <w:rPr>
                <w:noProof/>
              </w:rPr>
              <w:fldChar w:fldCharType="separate"/>
            </w:r>
            <w:r w:rsidR="007A72D9">
              <w:rPr>
                <w:noProof/>
                <w:webHidden/>
              </w:rPr>
              <w:t>33</w:t>
            </w:r>
            <w:r w:rsidR="007A72D9" w:rsidRPr="63D7B13A">
              <w:rPr>
                <w:noProof/>
              </w:rPr>
              <w:fldChar w:fldCharType="end"/>
            </w:r>
          </w:hyperlink>
        </w:p>
        <w:p w14:paraId="6476E69B" w14:textId="15030463" w:rsidR="00DE653D" w:rsidRDefault="00DE653D">
          <w:pPr>
            <w:rPr>
              <w:b/>
              <w:bCs/>
              <w:noProof/>
            </w:rPr>
          </w:pPr>
          <w:r>
            <w:rPr>
              <w:b/>
              <w:bCs/>
              <w:noProof/>
            </w:rPr>
            <w:fldChar w:fldCharType="end"/>
          </w:r>
        </w:p>
      </w:sdtContent>
    </w:sdt>
    <w:p w14:paraId="4079B2B5" w14:textId="77777777" w:rsidR="00A63E0E" w:rsidRDefault="00A63E0E">
      <w:pPr>
        <w:rPr>
          <w:b/>
          <w:bCs/>
          <w:noProof/>
        </w:rPr>
      </w:pPr>
    </w:p>
    <w:p w14:paraId="17C9A0E6" w14:textId="60225A2C" w:rsidR="00861925" w:rsidRDefault="00861925">
      <w:pPr>
        <w:spacing w:after="160" w:line="259" w:lineRule="auto"/>
      </w:pPr>
      <w:r>
        <w:br w:type="page"/>
      </w:r>
    </w:p>
    <w:p w14:paraId="20EA2B3E" w14:textId="77777777" w:rsidR="00A63E0E" w:rsidRDefault="00A63E0E"/>
    <w:p w14:paraId="2F43D63C" w14:textId="43126909" w:rsidR="00291947" w:rsidRDefault="001C098D" w:rsidP="001154FB">
      <w:pPr>
        <w:spacing w:after="0"/>
      </w:pPr>
      <w:r>
        <w:t>Changes to Version 2:</w:t>
      </w:r>
    </w:p>
    <w:p w14:paraId="789B7A04" w14:textId="77777777" w:rsidR="001C098D" w:rsidRDefault="001C098D" w:rsidP="001C098D">
      <w:pPr>
        <w:pStyle w:val="ListParagraph"/>
        <w:numPr>
          <w:ilvl w:val="0"/>
          <w:numId w:val="7"/>
        </w:numPr>
        <w:spacing w:after="0"/>
      </w:pPr>
      <w:r>
        <w:t xml:space="preserve">In Section 3.3.2, we add the clarifying sentence: “AUC will be calculated using </w:t>
      </w:r>
      <w:proofErr w:type="gramStart"/>
      <w:r>
        <w:t>log(</w:t>
      </w:r>
      <w:proofErr w:type="gramEnd"/>
      <w:r>
        <w:t>viral load).”</w:t>
      </w:r>
    </w:p>
    <w:p w14:paraId="4B0AB260" w14:textId="0A15F27C" w:rsidR="001C098D" w:rsidRDefault="001C098D" w:rsidP="001C098D">
      <w:pPr>
        <w:pStyle w:val="ListParagraph"/>
        <w:numPr>
          <w:ilvl w:val="0"/>
          <w:numId w:val="7"/>
        </w:numPr>
        <w:spacing w:after="0"/>
      </w:pPr>
      <w:r>
        <w:t xml:space="preserve">In Section 6.4, we revise the models included and the R squared statistics used in the </w:t>
      </w:r>
      <w:proofErr w:type="gramStart"/>
      <w:r>
        <w:t>cross validation</w:t>
      </w:r>
      <w:proofErr w:type="gramEnd"/>
      <w:r>
        <w:t xml:space="preserve"> process.</w:t>
      </w:r>
      <w:r w:rsidR="002E7F64">
        <w:t xml:space="preserve"> We also added language to discard substantial non-monotonic models if necessary.</w:t>
      </w:r>
      <w:r>
        <w:t xml:space="preserve"> These changes are motivated by simulations (not included).</w:t>
      </w:r>
    </w:p>
    <w:p w14:paraId="1EC15E66" w14:textId="04B01BCF" w:rsidR="001C098D" w:rsidRDefault="002E7F64" w:rsidP="000522B7">
      <w:pPr>
        <w:pStyle w:val="ListParagraph"/>
        <w:numPr>
          <w:ilvl w:val="0"/>
          <w:numId w:val="7"/>
        </w:numPr>
        <w:spacing w:after="0"/>
      </w:pPr>
      <w:r>
        <w:t>In Sections 3.2, 3.3, and 3.3.2, we added language that “values below the limit of detection will be replaced with half the limit of detection”.</w:t>
      </w:r>
    </w:p>
    <w:p w14:paraId="08C567B9" w14:textId="77777777" w:rsidR="001C098D" w:rsidRDefault="001C098D" w:rsidP="001154FB">
      <w:pPr>
        <w:spacing w:after="0"/>
      </w:pPr>
    </w:p>
    <w:p w14:paraId="2D2E548C" w14:textId="6FF8BC7D" w:rsidR="00861925" w:rsidRDefault="00861925">
      <w:pPr>
        <w:spacing w:after="160" w:line="259" w:lineRule="auto"/>
      </w:pPr>
      <w:r>
        <w:br w:type="page"/>
      </w:r>
    </w:p>
    <w:p w14:paraId="3463F315" w14:textId="77777777" w:rsidR="00861925" w:rsidRDefault="00861925" w:rsidP="001154FB">
      <w:pPr>
        <w:spacing w:after="0"/>
        <w:sectPr w:rsidR="00861925" w:rsidSect="00857BDE">
          <w:pgSz w:w="12240" w:h="15840"/>
          <w:pgMar w:top="1440" w:right="1440" w:bottom="1440" w:left="1440" w:header="720" w:footer="720" w:gutter="0"/>
          <w:cols w:space="720"/>
          <w:titlePg/>
          <w:docGrid w:linePitch="360"/>
        </w:sectPr>
      </w:pPr>
    </w:p>
    <w:p w14:paraId="656E5327" w14:textId="77777777" w:rsidR="004B6814" w:rsidRDefault="004B6814" w:rsidP="001154FB">
      <w:pPr>
        <w:spacing w:after="0"/>
      </w:pPr>
    </w:p>
    <w:p w14:paraId="5478E645" w14:textId="77777777" w:rsidR="00200CA1" w:rsidRPr="005A1B0C" w:rsidRDefault="00200CA1" w:rsidP="0090743D">
      <w:pPr>
        <w:spacing w:after="0"/>
        <w:jc w:val="center"/>
        <w:rPr>
          <w:b/>
          <w:bCs/>
        </w:rPr>
      </w:pPr>
      <w:r w:rsidRPr="005A1B0C">
        <w:rPr>
          <w:b/>
          <w:bCs/>
        </w:rPr>
        <w:t>Statistical Analysis Plan For</w:t>
      </w:r>
    </w:p>
    <w:p w14:paraId="5ED5AFBE" w14:textId="46C4058F" w:rsidR="001C098D" w:rsidRPr="005A1B0C" w:rsidRDefault="57036AE2" w:rsidP="001C098D">
      <w:pPr>
        <w:spacing w:after="0"/>
        <w:jc w:val="center"/>
        <w:rPr>
          <w:b/>
          <w:bCs/>
        </w:rPr>
      </w:pPr>
      <w:r w:rsidRPr="032B93E0">
        <w:rPr>
          <w:b/>
          <w:bCs/>
        </w:rPr>
        <w:t>Assessing Correlates of Protection in Rhesus Macaques Administered Various Vaccine Candidates Designed to Protect Against SARS-CoV-2 Infection</w:t>
      </w:r>
    </w:p>
    <w:p w14:paraId="121AA018" w14:textId="77777777" w:rsidR="00FE39EB" w:rsidRDefault="45E6F5A1" w:rsidP="001154FB">
      <w:pPr>
        <w:pStyle w:val="Heading1"/>
        <w:rPr>
          <w:color w:val="000000" w:themeColor="text1"/>
        </w:rPr>
      </w:pPr>
      <w:bookmarkStart w:id="6" w:name="_Toc26242281"/>
      <w:bookmarkStart w:id="7" w:name="_Toc60811572"/>
      <w:r w:rsidRPr="032B93E0">
        <w:t>STATISTICAL ANALYSIS PLAN</w:t>
      </w:r>
      <w:bookmarkEnd w:id="6"/>
      <w:bookmarkEnd w:id="7"/>
    </w:p>
    <w:p w14:paraId="227C7C88" w14:textId="02B366CF" w:rsidR="00FE39EB" w:rsidRPr="00BD2A0C" w:rsidRDefault="45E6F5A1" w:rsidP="032B93E0">
      <w:pPr>
        <w:spacing w:after="0"/>
      </w:pPr>
      <w:r>
        <w:t>T</w:t>
      </w:r>
      <w:r w:rsidR="7E13DEBA">
        <w:t>his</w:t>
      </w:r>
      <w:r>
        <w:t xml:space="preserve"> statistical analysis plan </w:t>
      </w:r>
      <w:r w:rsidR="2E979166">
        <w:t xml:space="preserve">(SAP) </w:t>
      </w:r>
      <w:r w:rsidR="1884F491">
        <w:t xml:space="preserve">is </w:t>
      </w:r>
      <w:r w:rsidR="7E13DEBA">
        <w:t>based on</w:t>
      </w:r>
      <w:r w:rsidR="5CBB1517">
        <w:t xml:space="preserve"> </w:t>
      </w:r>
      <w:r w:rsidR="7E13DEBA">
        <w:t>the study design</w:t>
      </w:r>
      <w:r w:rsidR="017EE0C8">
        <w:t xml:space="preserve"> as described in </w:t>
      </w:r>
      <w:r w:rsidR="17526276">
        <w:t xml:space="preserve">Battelle </w:t>
      </w:r>
      <w:r w:rsidR="017EE0C8">
        <w:t xml:space="preserve">Study </w:t>
      </w:r>
      <w:r w:rsidR="53E7BD13">
        <w:t xml:space="preserve">Number B06068 </w:t>
      </w:r>
      <w:r w:rsidR="50890686">
        <w:t>“</w:t>
      </w:r>
      <w:r w:rsidR="53E7BD13">
        <w:t>Assessment of Protection Against SARS-CoV-2 Infection in Rhesus Macaques Immunized with Vaccine Candidates</w:t>
      </w:r>
      <w:r w:rsidR="7A3F8AF3">
        <w:t>”</w:t>
      </w:r>
      <w:r w:rsidR="5CBB1517">
        <w:t>.</w:t>
      </w:r>
    </w:p>
    <w:p w14:paraId="1CC22FA5" w14:textId="77777777" w:rsidR="00200CA1" w:rsidRPr="00FF3D92" w:rsidRDefault="29FB397F" w:rsidP="001154FB">
      <w:pPr>
        <w:pStyle w:val="Heading1"/>
        <w:rPr>
          <w:color w:val="000000" w:themeColor="text1"/>
        </w:rPr>
      </w:pPr>
      <w:bookmarkStart w:id="8" w:name="_Ref514407740"/>
      <w:bookmarkStart w:id="9" w:name="_Toc21525870"/>
      <w:bookmarkStart w:id="10" w:name="_Toc26242282"/>
      <w:bookmarkStart w:id="11" w:name="_Toc60811573"/>
      <w:r w:rsidRPr="032B93E0">
        <w:t>O</w:t>
      </w:r>
      <w:r w:rsidR="6F0D594A" w:rsidRPr="032B93E0">
        <w:t>BJECTIVES</w:t>
      </w:r>
      <w:bookmarkEnd w:id="8"/>
      <w:bookmarkEnd w:id="9"/>
      <w:bookmarkEnd w:id="10"/>
      <w:bookmarkEnd w:id="11"/>
    </w:p>
    <w:p w14:paraId="2F5E6C6A" w14:textId="377BD403" w:rsidR="00BD2A0C" w:rsidRPr="00FA64E8" w:rsidRDefault="29DF3149" w:rsidP="032B93E0">
      <w:pPr>
        <w:spacing w:after="160" w:line="259" w:lineRule="auto"/>
      </w:pPr>
      <w:bookmarkStart w:id="12" w:name="_Toc21525871"/>
      <w:r>
        <w:t>The overall objective of this study is to explore immune correlates in NHPs across different vaccines with different doses within each vaccine.  The primary analyses will use</w:t>
      </w:r>
      <w:r w:rsidR="13016835">
        <w:t xml:space="preserve"> humoral</w:t>
      </w:r>
      <w:r w:rsidR="0046592C">
        <w:t xml:space="preserve"> </w:t>
      </w:r>
      <w:bookmarkStart w:id="13" w:name="_Hlk62217761"/>
      <w:r w:rsidR="0046592C">
        <w:t>antibody</w:t>
      </w:r>
      <w:r w:rsidR="13016835">
        <w:t xml:space="preserve"> </w:t>
      </w:r>
      <w:bookmarkEnd w:id="13"/>
      <w:r w:rsidR="13016835">
        <w:t>immune responses</w:t>
      </w:r>
      <w:r>
        <w:t xml:space="preserve"> measured at the </w:t>
      </w:r>
      <w:r w:rsidR="228C5C2A">
        <w:t>projected peak immune day (</w:t>
      </w:r>
      <w:r>
        <w:t>PID</w:t>
      </w:r>
      <w:r w:rsidR="228C5C2A">
        <w:t>)</w:t>
      </w:r>
      <w:r>
        <w:t xml:space="preserve"> and at the day of challenge </w:t>
      </w:r>
      <w:r w:rsidR="00D6137F">
        <w:t xml:space="preserve">as markers </w:t>
      </w:r>
      <w:r>
        <w:t xml:space="preserve">to predict </w:t>
      </w:r>
      <w:r w:rsidR="00004A18">
        <w:t>infection outcome</w:t>
      </w:r>
      <w:r>
        <w:t xml:space="preserve"> post-challenge. </w:t>
      </w:r>
      <w:r w:rsidR="005758BE">
        <w:t xml:space="preserve">Secondary analyses will additionally include cellular immune markers. </w:t>
      </w:r>
      <w:r w:rsidR="0B6E16A0">
        <w:t>A</w:t>
      </w:r>
      <w:r>
        <w:t xml:space="preserve">nalyses </w:t>
      </w:r>
      <w:r w:rsidR="0B6E16A0">
        <w:t xml:space="preserve">will </w:t>
      </w:r>
      <w:r>
        <w:t>explor</w:t>
      </w:r>
      <w:r w:rsidR="0B6E16A0">
        <w:t>e</w:t>
      </w:r>
      <w:r>
        <w:t xml:space="preserve"> how vaccine dose and </w:t>
      </w:r>
      <w:r w:rsidR="40D58196">
        <w:t>platform</w:t>
      </w:r>
      <w:r>
        <w:t xml:space="preserve"> affect </w:t>
      </w:r>
      <w:r w:rsidR="00D6137F">
        <w:t xml:space="preserve">those </w:t>
      </w:r>
      <w:r>
        <w:t>predict</w:t>
      </w:r>
      <w:r w:rsidR="00D6137F">
        <w:t>ions</w:t>
      </w:r>
      <w:r>
        <w:t xml:space="preserve">. </w:t>
      </w:r>
    </w:p>
    <w:p w14:paraId="7506BC97" w14:textId="10B9FB40" w:rsidR="00034AD7" w:rsidRDefault="29DF3149" w:rsidP="032B93E0">
      <w:pPr>
        <w:pStyle w:val="Heading1"/>
        <w:numPr>
          <w:ilvl w:val="0"/>
          <w:numId w:val="0"/>
        </w:numPr>
        <w:spacing w:after="160" w:line="259" w:lineRule="auto"/>
        <w:rPr>
          <w:b w:val="0"/>
        </w:rPr>
      </w:pPr>
      <w:bookmarkStart w:id="14" w:name="_Toc60811574"/>
      <w:bookmarkStart w:id="15" w:name="_Toc26242283"/>
      <w:r w:rsidRPr="27B4A244">
        <w:rPr>
          <w:rFonts w:cs="Times New Roman"/>
          <w:b w:val="0"/>
        </w:rPr>
        <w:t>A combination of correlates of risk (</w:t>
      </w:r>
      <w:proofErr w:type="spellStart"/>
      <w:r w:rsidRPr="27B4A244">
        <w:rPr>
          <w:rFonts w:cs="Times New Roman"/>
          <w:b w:val="0"/>
        </w:rPr>
        <w:t>CoR</w:t>
      </w:r>
      <w:proofErr w:type="spellEnd"/>
      <w:r w:rsidRPr="27B4A244">
        <w:rPr>
          <w:rFonts w:cs="Times New Roman"/>
          <w:b w:val="0"/>
        </w:rPr>
        <w:t xml:space="preserve">) and correlates of protection (CoP) analyses will be employed. </w:t>
      </w:r>
      <w:r w:rsidR="5AFD14C0" w:rsidRPr="27B4A244">
        <w:rPr>
          <w:rFonts w:cs="Times New Roman"/>
          <w:b w:val="0"/>
        </w:rPr>
        <w:t xml:space="preserve">The objective will be to </w:t>
      </w:r>
      <w:r w:rsidR="003D3578">
        <w:rPr>
          <w:rFonts w:cs="Times New Roman"/>
          <w:b w:val="0"/>
        </w:rPr>
        <w:t xml:space="preserve">test markers to see if they are </w:t>
      </w:r>
      <w:proofErr w:type="spellStart"/>
      <w:r w:rsidR="003D3578">
        <w:rPr>
          <w:rFonts w:cs="Times New Roman"/>
          <w:b w:val="0"/>
        </w:rPr>
        <w:t>CoR</w:t>
      </w:r>
      <w:proofErr w:type="spellEnd"/>
      <w:r w:rsidR="003D3578">
        <w:rPr>
          <w:rFonts w:cs="Times New Roman"/>
          <w:b w:val="0"/>
        </w:rPr>
        <w:t xml:space="preserve"> or </w:t>
      </w:r>
      <w:proofErr w:type="spellStart"/>
      <w:r w:rsidR="003D3578">
        <w:rPr>
          <w:rFonts w:cs="Times New Roman"/>
          <w:b w:val="0"/>
        </w:rPr>
        <w:t>CoP.</w:t>
      </w:r>
      <w:proofErr w:type="spellEnd"/>
      <w:r w:rsidR="003D3578">
        <w:rPr>
          <w:rFonts w:cs="Times New Roman"/>
          <w:b w:val="0"/>
        </w:rPr>
        <w:t xml:space="preserve"> The </w:t>
      </w:r>
      <w:r w:rsidR="0046592C">
        <w:rPr>
          <w:rFonts w:cs="Times New Roman"/>
          <w:b w:val="0"/>
        </w:rPr>
        <w:t xml:space="preserve">markers </w:t>
      </w:r>
      <w:r w:rsidR="0046592C" w:rsidRPr="27B4A244">
        <w:rPr>
          <w:rFonts w:cs="Times New Roman"/>
          <w:b w:val="0"/>
        </w:rPr>
        <w:t>encompass</w:t>
      </w:r>
      <w:r w:rsidRPr="27B4A244">
        <w:rPr>
          <w:rFonts w:cs="Times New Roman"/>
          <w:b w:val="0"/>
        </w:rPr>
        <w:t xml:space="preserve"> both humoral </w:t>
      </w:r>
      <w:r w:rsidR="0046592C" w:rsidRPr="0046592C">
        <w:rPr>
          <w:rFonts w:cs="Times New Roman"/>
          <w:b w:val="0"/>
        </w:rPr>
        <w:t xml:space="preserve">antibody </w:t>
      </w:r>
      <w:r w:rsidRPr="27B4A244">
        <w:rPr>
          <w:rFonts w:cs="Times New Roman"/>
          <w:b w:val="0"/>
        </w:rPr>
        <w:t xml:space="preserve">and cellular immune response </w:t>
      </w:r>
      <w:r w:rsidR="5AFD14C0" w:rsidRPr="27B4A244">
        <w:rPr>
          <w:rFonts w:cs="Times New Roman"/>
          <w:b w:val="0"/>
        </w:rPr>
        <w:t xml:space="preserve">by use of </w:t>
      </w:r>
      <w:r w:rsidRPr="27B4A244">
        <w:rPr>
          <w:rFonts w:cs="Times New Roman"/>
          <w:b w:val="0"/>
        </w:rPr>
        <w:t xml:space="preserve">virus neutralizing antibody assays, binding antibody assays, </w:t>
      </w:r>
      <w:r w:rsidR="5AFD14C0" w:rsidRPr="27B4A244">
        <w:rPr>
          <w:rFonts w:cs="Times New Roman"/>
          <w:b w:val="0"/>
        </w:rPr>
        <w:t>and/</w:t>
      </w:r>
      <w:r w:rsidRPr="27B4A244">
        <w:rPr>
          <w:rFonts w:cs="Times New Roman"/>
          <w:b w:val="0"/>
        </w:rPr>
        <w:t xml:space="preserve">or T cell measurements. Optimally, </w:t>
      </w:r>
      <w:r w:rsidR="003D3578">
        <w:rPr>
          <w:rFonts w:cs="Times New Roman"/>
          <w:b w:val="0"/>
        </w:rPr>
        <w:t>markers</w:t>
      </w:r>
      <w:r w:rsidRPr="27B4A244">
        <w:rPr>
          <w:rFonts w:cs="Times New Roman"/>
          <w:b w:val="0"/>
        </w:rPr>
        <w:t xml:space="preserve"> will be reliably measured using a validated assay</w:t>
      </w:r>
      <w:r w:rsidR="228C5C2A" w:rsidRPr="27B4A244">
        <w:rPr>
          <w:rFonts w:cs="Times New Roman"/>
          <w:b w:val="0"/>
        </w:rPr>
        <w:t>(s)</w:t>
      </w:r>
      <w:r w:rsidRPr="27B4A244">
        <w:rPr>
          <w:rFonts w:cs="Times New Roman"/>
          <w:b w:val="0"/>
        </w:rPr>
        <w:t xml:space="preserve">, demonstrate  dose response to the vaccine(s), be present in humoral </w:t>
      </w:r>
      <w:r w:rsidR="228C5C2A" w:rsidRPr="27B4A244">
        <w:rPr>
          <w:rFonts w:cs="Times New Roman"/>
          <w:b w:val="0"/>
        </w:rPr>
        <w:t>and/</w:t>
      </w:r>
      <w:r w:rsidRPr="27B4A244">
        <w:rPr>
          <w:rFonts w:cs="Times New Roman"/>
          <w:b w:val="0"/>
        </w:rPr>
        <w:t>or</w:t>
      </w:r>
      <w:r w:rsidR="228C5C2A" w:rsidRPr="27B4A244">
        <w:rPr>
          <w:rFonts w:cs="Times New Roman"/>
          <w:b w:val="0"/>
        </w:rPr>
        <w:t xml:space="preserve"> </w:t>
      </w:r>
      <w:r w:rsidRPr="27B4A244">
        <w:rPr>
          <w:rFonts w:cs="Times New Roman"/>
          <w:b w:val="0"/>
        </w:rPr>
        <w:t xml:space="preserve">cellular samples </w:t>
      </w:r>
      <w:r w:rsidR="0B6E16A0" w:rsidRPr="27B4A244">
        <w:rPr>
          <w:rFonts w:cs="Times New Roman"/>
          <w:b w:val="0"/>
        </w:rPr>
        <w:t xml:space="preserve">obtained </w:t>
      </w:r>
      <w:r w:rsidRPr="27B4A244">
        <w:rPr>
          <w:rFonts w:cs="Times New Roman"/>
          <w:b w:val="0"/>
        </w:rPr>
        <w:t xml:space="preserve">from </w:t>
      </w:r>
      <w:r w:rsidR="00C73B8E">
        <w:rPr>
          <w:rFonts w:cs="Times New Roman"/>
          <w:b w:val="0"/>
        </w:rPr>
        <w:t>vaccinated</w:t>
      </w:r>
      <w:r w:rsidR="00C73B8E" w:rsidRPr="27B4A244">
        <w:rPr>
          <w:rFonts w:cs="Times New Roman"/>
          <w:b w:val="0"/>
        </w:rPr>
        <w:t xml:space="preserve"> </w:t>
      </w:r>
      <w:r w:rsidR="00F34279">
        <w:rPr>
          <w:rFonts w:cs="Times New Roman"/>
          <w:b w:val="0"/>
        </w:rPr>
        <w:t>trial participants</w:t>
      </w:r>
      <w:r w:rsidRPr="27B4A244">
        <w:rPr>
          <w:rFonts w:cs="Times New Roman"/>
          <w:b w:val="0"/>
        </w:rPr>
        <w:t xml:space="preserve">, and strongly correlate with the main </w:t>
      </w:r>
      <w:r w:rsidR="123BB907" w:rsidRPr="27B4A244">
        <w:rPr>
          <w:rFonts w:cs="Times New Roman"/>
          <w:b w:val="0"/>
        </w:rPr>
        <w:t xml:space="preserve">efficacy </w:t>
      </w:r>
      <w:r w:rsidRPr="27B4A244">
        <w:rPr>
          <w:rFonts w:cs="Times New Roman"/>
          <w:b w:val="0"/>
        </w:rPr>
        <w:t>outcome</w:t>
      </w:r>
      <w:r w:rsidR="2B20B927" w:rsidRPr="27B4A244">
        <w:rPr>
          <w:rFonts w:cs="Times New Roman"/>
          <w:b w:val="0"/>
        </w:rPr>
        <w:t xml:space="preserve"> </w:t>
      </w:r>
      <w:r w:rsidR="4343E5C9" w:rsidRPr="27B4A244">
        <w:rPr>
          <w:rFonts w:cs="Times New Roman"/>
          <w:b w:val="0"/>
        </w:rPr>
        <w:t>(</w:t>
      </w:r>
      <w:r w:rsidR="1D726D4E">
        <w:rPr>
          <w:b w:val="0"/>
        </w:rPr>
        <w:t xml:space="preserve">viral load in the bronchioalveolar lavage (BAL) fluid and nasal swabs by genomic and </w:t>
      </w:r>
      <w:proofErr w:type="spellStart"/>
      <w:r w:rsidR="1D726D4E">
        <w:rPr>
          <w:b w:val="0"/>
        </w:rPr>
        <w:t>subgenomic</w:t>
      </w:r>
      <w:proofErr w:type="spellEnd"/>
      <w:r w:rsidR="1D726D4E">
        <w:rPr>
          <w:b w:val="0"/>
        </w:rPr>
        <w:t xml:space="preserve"> RNA using RT-qPCR</w:t>
      </w:r>
      <w:r w:rsidR="080BF00E">
        <w:rPr>
          <w:b w:val="0"/>
        </w:rPr>
        <w:t>)</w:t>
      </w:r>
      <w:r w:rsidR="1D726D4E">
        <w:rPr>
          <w:b w:val="0"/>
        </w:rPr>
        <w:t xml:space="preserve">.  </w:t>
      </w:r>
      <w:bookmarkEnd w:id="14"/>
    </w:p>
    <w:p w14:paraId="50B753A2" w14:textId="638A0351" w:rsidR="00BD2A0C" w:rsidRDefault="29DF3149" w:rsidP="00034AD7">
      <w:pPr>
        <w:pStyle w:val="Heading1"/>
        <w:rPr>
          <w:color w:val="000000" w:themeColor="text1"/>
        </w:rPr>
      </w:pPr>
      <w:bookmarkStart w:id="16" w:name="_Toc60811575"/>
      <w:r w:rsidRPr="032B93E0">
        <w:t>I</w:t>
      </w:r>
      <w:bookmarkEnd w:id="16"/>
      <w:r w:rsidR="008F2DC4">
        <w:t>NTRODUCTION</w:t>
      </w:r>
    </w:p>
    <w:p w14:paraId="24C44F8A" w14:textId="686D9895" w:rsidR="00BD2A0C" w:rsidRPr="008C5903" w:rsidRDefault="43D2FF2A" w:rsidP="032B93E0">
      <w:pPr>
        <w:rPr>
          <w:b/>
          <w:bCs/>
        </w:rPr>
      </w:pPr>
      <w:r w:rsidRPr="032B93E0">
        <w:rPr>
          <w:b/>
          <w:bCs/>
        </w:rPr>
        <w:t>3</w:t>
      </w:r>
      <w:r w:rsidR="480BC29F" w:rsidRPr="032B93E0">
        <w:rPr>
          <w:b/>
          <w:bCs/>
        </w:rPr>
        <w:t>.1 Study Rationale</w:t>
      </w:r>
      <w:bookmarkStart w:id="17" w:name="_Hlk60139571"/>
      <w:bookmarkEnd w:id="17"/>
    </w:p>
    <w:p w14:paraId="23A60CA0" w14:textId="49E8815E" w:rsidR="00BD2A0C" w:rsidRPr="008C5903" w:rsidRDefault="3401FCCA" w:rsidP="032B93E0">
      <w:r>
        <w:t xml:space="preserve">Four </w:t>
      </w:r>
      <w:r w:rsidR="40E409EE">
        <w:t>v</w:t>
      </w:r>
      <w:r w:rsidR="4928D9DF">
        <w:t xml:space="preserve">accines for SARS-CoV-2 are being tested </w:t>
      </w:r>
      <w:r w:rsidR="64BC29A1">
        <w:t xml:space="preserve">in the United States federal response (previously </w:t>
      </w:r>
      <w:r w:rsidR="4928D9DF">
        <w:t>Operation Warp Speed (OWS)</w:t>
      </w:r>
      <w:r w:rsidR="00E91C13">
        <w:t>)</w:t>
      </w:r>
      <w:r w:rsidR="4928D9DF">
        <w:t xml:space="preserve">.  Each </w:t>
      </w:r>
      <w:r w:rsidR="40CA52B7">
        <w:t>vaccine candidate has</w:t>
      </w:r>
      <w:r w:rsidR="4928D9DF">
        <w:t xml:space="preserve"> undergone testing in animal models and clinical trials.  Data from Phase III clinical trials will be evaluated using a combination of correlates of risk (</w:t>
      </w:r>
      <w:proofErr w:type="spellStart"/>
      <w:r w:rsidR="4928D9DF">
        <w:t>CoR</w:t>
      </w:r>
      <w:proofErr w:type="spellEnd"/>
      <w:r w:rsidR="4928D9DF">
        <w:t xml:space="preserve">) and correlates of protection (CoP) analyses. This document describes the statistical analysis plan for a study of immune correlates for non-human primates (NHPs) using </w:t>
      </w:r>
      <w:r w:rsidR="180996A7">
        <w:t>four</w:t>
      </w:r>
      <w:r w:rsidR="4928D9DF">
        <w:t xml:space="preserve"> vaccines within the </w:t>
      </w:r>
      <w:r w:rsidR="6650AA0E">
        <w:t>Federal Response</w:t>
      </w:r>
      <w:r w:rsidR="4928D9DF">
        <w:t xml:space="preserve"> purview.</w:t>
      </w:r>
    </w:p>
    <w:p w14:paraId="01F01BEA" w14:textId="794C098B" w:rsidR="00BD2A0C" w:rsidRPr="008C5903" w:rsidRDefault="29DF3149" w:rsidP="032B93E0">
      <w:r>
        <w:t>In the standard terminology a correlates of risk is a variable</w:t>
      </w:r>
      <w:r w:rsidR="0071149A">
        <w:t xml:space="preserve"> or biomarker</w:t>
      </w:r>
      <w:r>
        <w:t xml:space="preserve"> associated with the risk of a disease or measure of disease severity (Qin, et al 2007), and a correlate of protection is a correlate of risk where additional assumptions and data </w:t>
      </w:r>
      <w:r w:rsidR="62C8CEF5">
        <w:t xml:space="preserve">are added </w:t>
      </w:r>
      <w:r>
        <w:t xml:space="preserve">to make statements about the </w:t>
      </w:r>
      <w:r w:rsidR="0071149A">
        <w:t xml:space="preserve">causal effect of the biomarker on protection </w:t>
      </w:r>
      <w:r>
        <w:t xml:space="preserve">(Plotkin and Gilbert, 2012).  </w:t>
      </w:r>
      <w:r w:rsidR="6D112A92">
        <w:t>T</w:t>
      </w:r>
      <w:r>
        <w:t xml:space="preserve">his </w:t>
      </w:r>
      <w:r w:rsidR="5C3FD6E7">
        <w:t>analysis</w:t>
      </w:r>
      <w:r w:rsidR="67B695E1">
        <w:t xml:space="preserve"> </w:t>
      </w:r>
      <w:r>
        <w:t xml:space="preserve">will </w:t>
      </w:r>
      <w:r w:rsidR="098ED110">
        <w:t>primarily</w:t>
      </w:r>
      <w:r>
        <w:t xml:space="preserve"> be concerned with associations, so in general the term </w:t>
      </w:r>
      <w:proofErr w:type="spellStart"/>
      <w:r>
        <w:t>CoR</w:t>
      </w:r>
      <w:proofErr w:type="spellEnd"/>
      <w:r w:rsidR="66F81C22">
        <w:t xml:space="preserve"> will be </w:t>
      </w:r>
      <w:r w:rsidR="00E622E1">
        <w:t>used</w:t>
      </w:r>
      <w:r>
        <w:t xml:space="preserve">, even though </w:t>
      </w:r>
      <w:r>
        <w:lastRenderedPageBreak/>
        <w:t xml:space="preserve">the combination of the many analyses described in this SAP may be used to make a case that any particular </w:t>
      </w:r>
      <w:proofErr w:type="spellStart"/>
      <w:r>
        <w:t>CoR</w:t>
      </w:r>
      <w:proofErr w:type="spellEnd"/>
      <w:r>
        <w:t xml:space="preserve"> is a </w:t>
      </w:r>
      <w:proofErr w:type="spellStart"/>
      <w:r>
        <w:t>CoP.</w:t>
      </w:r>
      <w:proofErr w:type="spellEnd"/>
      <w:r>
        <w:t xml:space="preserve"> </w:t>
      </w:r>
    </w:p>
    <w:p w14:paraId="736B7FB3" w14:textId="48274748" w:rsidR="00BD2A0C" w:rsidRPr="008C5903" w:rsidRDefault="29DF3149" w:rsidP="032B93E0">
      <w:r>
        <w:t xml:space="preserve">For this study a </w:t>
      </w:r>
      <w:proofErr w:type="spellStart"/>
      <w:r>
        <w:t>CoR</w:t>
      </w:r>
      <w:proofErr w:type="spellEnd"/>
      <w:r>
        <w:t xml:space="preserve"> is a </w:t>
      </w:r>
      <w:r w:rsidR="00DB0E79">
        <w:t>bio</w:t>
      </w:r>
      <w:r w:rsidR="003D3578">
        <w:t xml:space="preserve">marker </w:t>
      </w:r>
      <w:r>
        <w:t xml:space="preserve">measured post-vaccination that can be used to predict a disease outcome from SARS-CoV-2 challenge.  A </w:t>
      </w:r>
      <w:proofErr w:type="spellStart"/>
      <w:r>
        <w:t>CoR</w:t>
      </w:r>
      <w:proofErr w:type="spellEnd"/>
      <w:r>
        <w:t xml:space="preserve"> study in NHPs is one piece of information that may be used to help bridge the protection in NHPs to protection in humans. There is scientific value to this multi</w:t>
      </w:r>
      <w:r w:rsidR="76CD72DD">
        <w:t>-</w:t>
      </w:r>
      <w:r>
        <w:t>vaccine NHP study that is not provided by other studies including the following:</w:t>
      </w:r>
    </w:p>
    <w:p w14:paraId="7E0EEFDC" w14:textId="66ED9103" w:rsidR="00BD2A0C" w:rsidRPr="008C5903" w:rsidRDefault="29DF3149" w:rsidP="008F2DC4">
      <w:pPr>
        <w:numPr>
          <w:ilvl w:val="0"/>
          <w:numId w:val="6"/>
        </w:numPr>
        <w:spacing w:after="160" w:line="259" w:lineRule="auto"/>
        <w:contextualSpacing/>
        <w:rPr>
          <w:color w:val="000000" w:themeColor="text1"/>
        </w:rPr>
      </w:pPr>
      <w:r>
        <w:t>Although each company has done (or may do) their own dose-down studies in NHPs to test for a correlate of protection using their own vaccine, the number of animals tested by any one company is small. This study will add to previous dose-down stud</w:t>
      </w:r>
      <w:r w:rsidR="3CA3CB81">
        <w:t>ies</w:t>
      </w:r>
      <w:r>
        <w:t xml:space="preserve">. In addition, by </w:t>
      </w:r>
      <w:r w:rsidR="00EE21D6">
        <w:t>including vaccines</w:t>
      </w:r>
      <w:r>
        <w:t xml:space="preserve"> from several companies</w:t>
      </w:r>
      <w:r w:rsidR="00EE21D6">
        <w:t xml:space="preserve"> in one study</w:t>
      </w:r>
      <w:r>
        <w:t xml:space="preserve">, a more complete picture of the effect of the vaccines on the NHPs may be possible. </w:t>
      </w:r>
    </w:p>
    <w:p w14:paraId="1E14C92E" w14:textId="13DEC042" w:rsidR="00BD2A0C" w:rsidRPr="008C5903" w:rsidRDefault="29DF3149" w:rsidP="008F2DC4">
      <w:pPr>
        <w:numPr>
          <w:ilvl w:val="0"/>
          <w:numId w:val="6"/>
        </w:numPr>
        <w:spacing w:after="160" w:line="259" w:lineRule="auto"/>
        <w:contextualSpacing/>
        <w:rPr>
          <w:color w:val="000000" w:themeColor="text1"/>
        </w:rPr>
      </w:pPr>
      <w:r>
        <w:t xml:space="preserve">Because all </w:t>
      </w:r>
      <w:r w:rsidR="0547C4D1">
        <w:t>the</w:t>
      </w:r>
      <w:r>
        <w:t xml:space="preserve"> vaccines are based on inducing an immunological effect (either directly or indirectly) </w:t>
      </w:r>
      <w:r w:rsidR="007B942A">
        <w:t>to</w:t>
      </w:r>
      <w:r>
        <w:t xml:space="preserve"> the spike protein of the SARS-CoV-2 virus, it is possible that one correlate may </w:t>
      </w:r>
      <w:r w:rsidR="13B5EA14">
        <w:t>be identified</w:t>
      </w:r>
      <w:r>
        <w:t xml:space="preserve"> across different vaccine types and/or platforms. For example, </w:t>
      </w:r>
      <w:proofErr w:type="spellStart"/>
      <w:r>
        <w:t>pseudovirus</w:t>
      </w:r>
      <w:proofErr w:type="spellEnd"/>
      <w:r>
        <w:t xml:space="preserve"> neutralizing antibody titers measured at the predicted peak immunologic day (PID) may be used as a </w:t>
      </w:r>
      <w:proofErr w:type="spellStart"/>
      <w:r>
        <w:t>Co</w:t>
      </w:r>
      <w:r w:rsidR="00EE21D6">
        <w:t>R</w:t>
      </w:r>
      <w:proofErr w:type="spellEnd"/>
      <w:r>
        <w:t xml:space="preserve"> for each vaccine even if those PID occur at different time points with respect to the last immunization. Because of the similarities between vaccines, </w:t>
      </w:r>
      <w:r w:rsidR="00EE21D6">
        <w:t xml:space="preserve">a single marker may act as a </w:t>
      </w:r>
      <w:proofErr w:type="spellStart"/>
      <w:r w:rsidR="00EE21D6">
        <w:t>CoR</w:t>
      </w:r>
      <w:proofErr w:type="spellEnd"/>
      <w:r w:rsidR="00EE21D6">
        <w:t xml:space="preserve"> for all four vaccines.  </w:t>
      </w:r>
    </w:p>
    <w:p w14:paraId="1E769FBD" w14:textId="6557E6AE" w:rsidR="00BD2A0C" w:rsidRPr="008C5903" w:rsidRDefault="29DF3149" w:rsidP="008F2DC4">
      <w:pPr>
        <w:numPr>
          <w:ilvl w:val="0"/>
          <w:numId w:val="6"/>
        </w:numPr>
        <w:spacing w:after="160" w:line="259" w:lineRule="auto"/>
        <w:contextualSpacing/>
        <w:rPr>
          <w:color w:val="000000" w:themeColor="text1"/>
        </w:rPr>
      </w:pPr>
      <w:r>
        <w:t xml:space="preserve">Although randomized Phase III trials </w:t>
      </w:r>
      <w:r w:rsidR="15E7FFFF">
        <w:t>include</w:t>
      </w:r>
      <w:r>
        <w:t xml:space="preserve"> over 30,000 individuals each, the number of cases used in determining efficacy will be relatively small (approximately 150), and if the vaccine shows high efficacy</w:t>
      </w:r>
      <w:r w:rsidR="09A65281">
        <w:t>,</w:t>
      </w:r>
      <w:r>
        <w:t xml:space="preserve"> the number of cases that received the full regimen of the vaccine will be much smaller (with a 90% vaccine efficacy, a 1:1 randomization, and 150 total events, about 14 cases </w:t>
      </w:r>
      <w:r w:rsidR="00EE21D6">
        <w:t xml:space="preserve">are expected </w:t>
      </w:r>
      <w:r>
        <w:t xml:space="preserve">in the vaccine group). Further, there will be subpopulations that will not be included in the first studies in humans (e.g., children, pregnant women), or will not be included in large numbers (e.g., certain populations of high-risk individuals).  </w:t>
      </w:r>
      <w:r w:rsidR="00DB0E79">
        <w:t xml:space="preserve">Additionally, there is a high dose in the phase III trials which results in high antibody </w:t>
      </w:r>
      <w:proofErr w:type="gramStart"/>
      <w:r w:rsidR="00DB0E79">
        <w:t>responses,  which</w:t>
      </w:r>
      <w:proofErr w:type="gramEnd"/>
      <w:r w:rsidR="00DB0E79">
        <w:t xml:space="preserve"> limit the range of antibody and hinder the ability to identify a correlation with acquisition of disease. Thus,</w:t>
      </w:r>
      <w:r>
        <w:t xml:space="preserve"> although the randomized clinical trials are the gold standard, in order to expand the populations to receive the vaccine, it will be useful to have an immune correlate to predict efficacy in these other populations.  Although there will be correlates analyses from the Phase III data, the NHP study may add valuable information that can inform the human correlates analyses. </w:t>
      </w:r>
      <w:r w:rsidR="00C73B8E">
        <w:t>With the recent emergence of COVID variants of concern with sufficient mutation in the spike protein to evade neutralization, it may be necessary in the near future to rapidly add variant sequences to the vaccine (either as multi-strain vaccines or new single-strain ones). A correlate of protection may allow licensing of new variant vaccines based on immunogenicity rather than efficacy trials, which would be a much faster pathway.</w:t>
      </w:r>
    </w:p>
    <w:p w14:paraId="5DA0D2EC" w14:textId="3E8847C2" w:rsidR="00BD2A0C" w:rsidRPr="008C5903" w:rsidRDefault="29DF3149" w:rsidP="008F2DC4">
      <w:pPr>
        <w:pStyle w:val="ListParagraph"/>
        <w:numPr>
          <w:ilvl w:val="0"/>
          <w:numId w:val="6"/>
        </w:numPr>
        <w:spacing w:after="160" w:line="259" w:lineRule="auto"/>
        <w:rPr>
          <w:color w:val="000000" w:themeColor="text1"/>
        </w:rPr>
      </w:pPr>
      <w:r>
        <w:t xml:space="preserve">There are limitations to the Phase III data.  There </w:t>
      </w:r>
      <w:r w:rsidR="6277078B">
        <w:t>are</w:t>
      </w:r>
      <w:r>
        <w:t xml:space="preserve"> limited data in the Phase III data on the time </w:t>
      </w:r>
      <w:r w:rsidR="4836F962">
        <w:t>of</w:t>
      </w:r>
      <w:r>
        <w:t xml:space="preserve"> infection, whereas this NHP study is a challenge study where the time of </w:t>
      </w:r>
      <w:r>
        <w:lastRenderedPageBreak/>
        <w:t xml:space="preserve">infection is known.  The Phase III data have all the experimental vaccinated individuals per trial receiving the same dose, and then getting exposed to infection (or not) through natural exposure. Thus, in Phase III trials the exposures occur at many different times relative to vaccination, so that if the </w:t>
      </w:r>
      <w:r w:rsidR="00EE21D6">
        <w:t>immune markers</w:t>
      </w:r>
      <w:r>
        <w:t xml:space="preserve"> decrease over time the amount of </w:t>
      </w:r>
      <w:r w:rsidR="00EE21D6">
        <w:t xml:space="preserve">marker </w:t>
      </w:r>
      <w:r>
        <w:t>present at exposure will differ as well.  Since Phase III trial</w:t>
      </w:r>
      <w:r w:rsidR="000621DD">
        <w:t xml:space="preserve"> </w:t>
      </w:r>
      <w:r w:rsidR="00566715">
        <w:t xml:space="preserve">primary </w:t>
      </w:r>
      <w:r w:rsidR="000621DD">
        <w:t>response</w:t>
      </w:r>
      <w:r w:rsidR="002C1F23">
        <w:t>s are</w:t>
      </w:r>
      <w:r w:rsidR="00566715">
        <w:t xml:space="preserve"> COVID-19 disease through</w:t>
      </w:r>
      <w:r w:rsidR="000621DD">
        <w:t xml:space="preserve"> a</w:t>
      </w:r>
      <w:r>
        <w:t xml:space="preserve"> natural infection process</w:t>
      </w:r>
      <w:r w:rsidR="000621DD">
        <w:t xml:space="preserve">, that process may be related to other unmeasured (and perhaps unknown) </w:t>
      </w:r>
      <w:r w:rsidR="006328AB">
        <w:t xml:space="preserve">confounding </w:t>
      </w:r>
      <w:r w:rsidR="000621DD">
        <w:t xml:space="preserve">factors </w:t>
      </w:r>
      <w:r w:rsidR="006328AB">
        <w:t xml:space="preserve">(‘confounders’) </w:t>
      </w:r>
      <w:r w:rsidR="000621DD">
        <w:t xml:space="preserve">that are also related to the marker values (i.e., it </w:t>
      </w:r>
      <w:r>
        <w:t>may introduce unmeasured confounding</w:t>
      </w:r>
      <w:r w:rsidR="0F8D74DF">
        <w:t xml:space="preserve"> factors</w:t>
      </w:r>
      <w:r w:rsidR="000621DD">
        <w:t xml:space="preserve">), which can invalidate simple causal interpretations of the marker/infection relationship. </w:t>
      </w:r>
      <w:r>
        <w:t xml:space="preserve"> </w:t>
      </w:r>
      <w:r w:rsidR="000621DD">
        <w:t>Further, natural infection will</w:t>
      </w:r>
      <w:r>
        <w:t xml:space="preserve"> have greater variability than a controlled laboratory experiment. In contrast, this NHP study will be in a controlled environment, so that assumptions about no unmeasured confounding </w:t>
      </w:r>
      <w:r w:rsidR="3823A2D8">
        <w:t xml:space="preserve">factors </w:t>
      </w:r>
      <w:r w:rsidR="006328AB">
        <w:t xml:space="preserve">are </w:t>
      </w:r>
      <w:r>
        <w:t xml:space="preserve">necessary for the </w:t>
      </w:r>
      <w:r w:rsidR="000621DD">
        <w:t xml:space="preserve">causal interpretation of correlates of protection from the </w:t>
      </w:r>
      <w:r>
        <w:t>Phase III study may not be needed. Further the NHP study will have several different vaccine doses (</w:t>
      </w:r>
      <w:r w:rsidR="00E622E1">
        <w:t>e.g</w:t>
      </w:r>
      <w:r>
        <w:t xml:space="preserve">., the clinical dose and several dilutions), allowing for more variability in the </w:t>
      </w:r>
      <w:proofErr w:type="spellStart"/>
      <w:r>
        <w:t>CoR</w:t>
      </w:r>
      <w:proofErr w:type="spellEnd"/>
      <w:r>
        <w:t xml:space="preserve"> which will be helpful in estimating the </w:t>
      </w:r>
      <w:proofErr w:type="spellStart"/>
      <w:r>
        <w:t>CoR</w:t>
      </w:r>
      <w:proofErr w:type="spellEnd"/>
      <w:r>
        <w:t xml:space="preserve"> associations, especially for outcomes where the full dose provides complete protection. </w:t>
      </w:r>
    </w:p>
    <w:p w14:paraId="599126D2" w14:textId="356912D5" w:rsidR="00BD2A0C" w:rsidRPr="008C5903" w:rsidRDefault="29DF3149" w:rsidP="008F2DC4">
      <w:pPr>
        <w:pStyle w:val="ListParagraph"/>
        <w:numPr>
          <w:ilvl w:val="0"/>
          <w:numId w:val="6"/>
        </w:numPr>
        <w:spacing w:after="160" w:line="259" w:lineRule="auto"/>
        <w:rPr>
          <w:color w:val="000000" w:themeColor="text1"/>
        </w:rPr>
      </w:pPr>
      <w:r>
        <w:t xml:space="preserve">If there are robust associations that hold across different vaccines, and those associations are apparent in human studies as well, this will provide more confidence in the usefulness of that correlate in predicting responses in subpopulations of humans where there is less data (e.g., pregnant women), or in  vaccines </w:t>
      </w:r>
      <w:r w:rsidR="4FBEC3D5">
        <w:t xml:space="preserve">of similar platforms </w:t>
      </w:r>
      <w:r>
        <w:t>with less direct evidence of efficacy.</w:t>
      </w:r>
    </w:p>
    <w:p w14:paraId="7C0CAFE2" w14:textId="31790F45" w:rsidR="2FEE8E75" w:rsidRDefault="2FEE8E75" w:rsidP="008F2DC4">
      <w:pPr>
        <w:pStyle w:val="ListParagraph"/>
        <w:numPr>
          <w:ilvl w:val="0"/>
          <w:numId w:val="6"/>
        </w:numPr>
        <w:spacing w:after="160" w:line="259" w:lineRule="auto"/>
        <w:rPr>
          <w:color w:val="000000" w:themeColor="text1"/>
        </w:rPr>
      </w:pPr>
      <w:r>
        <w:t>At the VRBPAC meetings with the FDA on Pfizer and Moderna vaccine</w:t>
      </w:r>
      <w:r w:rsidR="2E2532B3">
        <w:t xml:space="preserve"> candidates</w:t>
      </w:r>
      <w:r w:rsidR="00487F63">
        <w:t>’</w:t>
      </w:r>
      <w:r w:rsidR="250866B2">
        <w:t xml:space="preserve"> approval</w:t>
      </w:r>
      <w:r w:rsidR="00487F63">
        <w:t>s</w:t>
      </w:r>
      <w:r w:rsidR="250866B2">
        <w:t xml:space="preserve"> for EUA</w:t>
      </w:r>
      <w:r w:rsidR="2E2532B3">
        <w:t>, questions about correlates of prot</w:t>
      </w:r>
      <w:r w:rsidR="60811D3E">
        <w:t>ection were raised by the public and members of VRBPAC committee.</w:t>
      </w:r>
      <w:r w:rsidR="11510CF5">
        <w:t xml:space="preserve"> This GLP NHP study </w:t>
      </w:r>
      <w:r w:rsidR="706C513C">
        <w:t>may</w:t>
      </w:r>
      <w:r w:rsidR="11510CF5">
        <w:t xml:space="preserve"> potentially address such questio</w:t>
      </w:r>
      <w:r w:rsidR="04C9A1F5">
        <w:t>ns.</w:t>
      </w:r>
    </w:p>
    <w:p w14:paraId="6CCE6262" w14:textId="7ACE7874" w:rsidR="275E3538" w:rsidRDefault="275E3538" w:rsidP="032B93E0">
      <w:pPr>
        <w:spacing w:after="160" w:line="259" w:lineRule="auto"/>
        <w:rPr>
          <w:b/>
          <w:bCs/>
        </w:rPr>
      </w:pPr>
      <w:r w:rsidRPr="032B93E0">
        <w:rPr>
          <w:b/>
          <w:bCs/>
        </w:rPr>
        <w:t>3.2 Purported Correlates of Risk</w:t>
      </w:r>
    </w:p>
    <w:p w14:paraId="06365A81" w14:textId="523D0EE1" w:rsidR="1CB7AB01" w:rsidRDefault="1CB7AB01" w:rsidP="27B4A244">
      <w:pPr>
        <w:spacing w:line="257" w:lineRule="auto"/>
        <w:rPr>
          <w:rFonts w:eastAsia="Times New Roman"/>
        </w:rPr>
      </w:pPr>
      <w:r w:rsidRPr="27B4A244">
        <w:rPr>
          <w:rFonts w:eastAsia="Times New Roman"/>
        </w:rPr>
        <w:t xml:space="preserve">For </w:t>
      </w:r>
      <w:r w:rsidR="000621DD">
        <w:rPr>
          <w:rFonts w:eastAsia="Times New Roman"/>
        </w:rPr>
        <w:t xml:space="preserve">markers that may be </w:t>
      </w:r>
      <w:r w:rsidRPr="27B4A244">
        <w:rPr>
          <w:rFonts w:eastAsia="Times New Roman"/>
        </w:rPr>
        <w:t xml:space="preserve">possible </w:t>
      </w:r>
      <w:proofErr w:type="spellStart"/>
      <w:r w:rsidRPr="27B4A244">
        <w:rPr>
          <w:rFonts w:eastAsia="Times New Roman"/>
        </w:rPr>
        <w:t>CoR</w:t>
      </w:r>
      <w:r w:rsidR="00403947">
        <w:rPr>
          <w:rFonts w:eastAsia="Times New Roman"/>
        </w:rPr>
        <w:t>s</w:t>
      </w:r>
      <w:proofErr w:type="spellEnd"/>
      <w:r w:rsidRPr="27B4A244">
        <w:rPr>
          <w:rFonts w:eastAsia="Times New Roman"/>
        </w:rPr>
        <w:t xml:space="preserve"> we look for several properties. First, </w:t>
      </w:r>
      <w:r w:rsidR="000621DD">
        <w:rPr>
          <w:rFonts w:eastAsia="Times New Roman"/>
        </w:rPr>
        <w:t>there</w:t>
      </w:r>
      <w:r w:rsidR="000A0284">
        <w:rPr>
          <w:rFonts w:eastAsia="Times New Roman"/>
        </w:rPr>
        <w:t xml:space="preserve"> is</w:t>
      </w:r>
      <w:r w:rsidR="000621DD">
        <w:rPr>
          <w:rFonts w:eastAsia="Times New Roman"/>
        </w:rPr>
        <w:t xml:space="preserve"> </w:t>
      </w:r>
      <w:r w:rsidRPr="27B4A244">
        <w:rPr>
          <w:rFonts w:eastAsia="Times New Roman"/>
        </w:rPr>
        <w:t xml:space="preserve">a plausible biological mechanism of protection </w:t>
      </w:r>
      <w:r w:rsidR="000621DD">
        <w:rPr>
          <w:rFonts w:eastAsia="Times New Roman"/>
        </w:rPr>
        <w:t xml:space="preserve">for the marker </w:t>
      </w:r>
      <w:r w:rsidRPr="27B4A244">
        <w:rPr>
          <w:rFonts w:eastAsia="Times New Roman"/>
        </w:rPr>
        <w:t>present in both the animal model and in humans (so that it might be a mechanistic correlate of protection [</w:t>
      </w:r>
      <w:proofErr w:type="spellStart"/>
      <w:r w:rsidRPr="27B4A244">
        <w:rPr>
          <w:rFonts w:eastAsia="Times New Roman"/>
        </w:rPr>
        <w:t>mCoP</w:t>
      </w:r>
      <w:proofErr w:type="spellEnd"/>
      <w:r w:rsidRPr="27B4A244">
        <w:rPr>
          <w:rFonts w:eastAsia="Times New Roman"/>
        </w:rPr>
        <w:t xml:space="preserve">]), or </w:t>
      </w:r>
      <w:r w:rsidR="000A0284">
        <w:rPr>
          <w:rFonts w:eastAsia="Times New Roman"/>
        </w:rPr>
        <w:t>the marker may be a</w:t>
      </w:r>
      <w:r w:rsidRPr="27B4A244">
        <w:rPr>
          <w:rFonts w:eastAsia="Times New Roman"/>
        </w:rPr>
        <w:t xml:space="preserve"> surrogate that is strongly correlated with such a mechanistic CoP,  </w:t>
      </w:r>
      <w:r w:rsidR="000A0284">
        <w:rPr>
          <w:rFonts w:eastAsia="Times New Roman"/>
        </w:rPr>
        <w:t xml:space="preserve">such that it </w:t>
      </w:r>
      <w:r w:rsidRPr="27B4A244">
        <w:rPr>
          <w:rFonts w:eastAsia="Times New Roman"/>
        </w:rPr>
        <w:t xml:space="preserve">that might serve as a </w:t>
      </w:r>
      <w:proofErr w:type="spellStart"/>
      <w:r w:rsidRPr="27B4A244">
        <w:rPr>
          <w:rFonts w:eastAsia="Times New Roman"/>
        </w:rPr>
        <w:t>nonmechanistic</w:t>
      </w:r>
      <w:proofErr w:type="spellEnd"/>
      <w:r w:rsidRPr="27B4A244">
        <w:rPr>
          <w:rFonts w:eastAsia="Times New Roman"/>
        </w:rPr>
        <w:t xml:space="preserve"> CoP (</w:t>
      </w:r>
      <w:proofErr w:type="spellStart"/>
      <w:r w:rsidRPr="27B4A244">
        <w:rPr>
          <w:rFonts w:eastAsia="Times New Roman"/>
        </w:rPr>
        <w:t>nCoP</w:t>
      </w:r>
      <w:proofErr w:type="spellEnd"/>
      <w:r w:rsidRPr="27B4A244">
        <w:rPr>
          <w:rFonts w:eastAsia="Times New Roman"/>
        </w:rPr>
        <w:t>). Because of this property, assays to determine immune correlates were selected to measure both the humoral and cellular immune response</w:t>
      </w:r>
      <w:r w:rsidR="3CDBE5C7" w:rsidRPr="27B4A244">
        <w:rPr>
          <w:rFonts w:eastAsia="Times New Roman"/>
        </w:rPr>
        <w:t>,</w:t>
      </w:r>
      <w:r w:rsidRPr="27B4A244">
        <w:rPr>
          <w:rFonts w:eastAsia="Times New Roman"/>
        </w:rPr>
        <w:t xml:space="preserve"> including virus neutralizing antibody assays, binding antibody assays, or T cell measurements.   Second, the possible </w:t>
      </w:r>
      <w:proofErr w:type="spellStart"/>
      <w:r w:rsidRPr="27B4A244">
        <w:rPr>
          <w:rFonts w:eastAsia="Times New Roman"/>
        </w:rPr>
        <w:t>CoR</w:t>
      </w:r>
      <w:proofErr w:type="spellEnd"/>
      <w:r w:rsidRPr="27B4A244">
        <w:rPr>
          <w:rFonts w:eastAsia="Times New Roman"/>
        </w:rPr>
        <w:t xml:space="preserve"> should be reliably measured using a validated assay.  Third, possible </w:t>
      </w:r>
      <w:proofErr w:type="spellStart"/>
      <w:r w:rsidRPr="27B4A244">
        <w:rPr>
          <w:rFonts w:eastAsia="Times New Roman"/>
        </w:rPr>
        <w:t>CoR</w:t>
      </w:r>
      <w:proofErr w:type="spellEnd"/>
      <w:r w:rsidRPr="27B4A244">
        <w:rPr>
          <w:rFonts w:eastAsia="Times New Roman"/>
        </w:rPr>
        <w:t xml:space="preserve"> should demonstrate a dose response to the vaccine</w:t>
      </w:r>
      <w:r w:rsidR="00237C0E">
        <w:rPr>
          <w:rFonts w:eastAsia="Times New Roman"/>
        </w:rPr>
        <w:t>.</w:t>
      </w:r>
      <w:r w:rsidRPr="27B4A244">
        <w:rPr>
          <w:rFonts w:eastAsia="Times New Roman"/>
        </w:rPr>
        <w:t xml:space="preserve"> Finally, and perhaps most importantly, the possible </w:t>
      </w:r>
      <w:proofErr w:type="spellStart"/>
      <w:r w:rsidRPr="27B4A244">
        <w:rPr>
          <w:rFonts w:eastAsia="Times New Roman"/>
        </w:rPr>
        <w:t>CoR</w:t>
      </w:r>
      <w:proofErr w:type="spellEnd"/>
      <w:r w:rsidRPr="27B4A244">
        <w:rPr>
          <w:rFonts w:eastAsia="Times New Roman"/>
        </w:rPr>
        <w:t xml:space="preserve"> should strongly correlate (or inversely correlate) with the main outcome (see Section 6). </w:t>
      </w:r>
    </w:p>
    <w:p w14:paraId="6095E887" w14:textId="28FBD23A" w:rsidR="1CB7AB01" w:rsidRDefault="00E622E1" w:rsidP="27B4A244">
      <w:pPr>
        <w:spacing w:line="257" w:lineRule="auto"/>
        <w:rPr>
          <w:rFonts w:eastAsia="Times New Roman"/>
        </w:rPr>
      </w:pPr>
      <w:r>
        <w:rPr>
          <w:rFonts w:eastAsia="Times New Roman"/>
        </w:rPr>
        <w:t>Markers that are</w:t>
      </w:r>
      <w:r w:rsidR="1CB7AB01" w:rsidRPr="27B4A244">
        <w:rPr>
          <w:rFonts w:eastAsia="Times New Roman"/>
        </w:rPr>
        <w:t xml:space="preserve"> possible </w:t>
      </w:r>
      <w:proofErr w:type="spellStart"/>
      <w:r w:rsidR="1CB7AB01" w:rsidRPr="27B4A244">
        <w:rPr>
          <w:rFonts w:eastAsia="Times New Roman"/>
        </w:rPr>
        <w:t>CoR</w:t>
      </w:r>
      <w:r>
        <w:rPr>
          <w:rFonts w:eastAsia="Times New Roman"/>
        </w:rPr>
        <w:t>s</w:t>
      </w:r>
      <w:proofErr w:type="spellEnd"/>
      <w:r w:rsidR="1CB7AB01" w:rsidRPr="27B4A244">
        <w:rPr>
          <w:rFonts w:eastAsia="Times New Roman"/>
        </w:rPr>
        <w:t xml:space="preserve"> in order of preference are discussed below, although </w:t>
      </w:r>
      <w:r w:rsidR="000A0284">
        <w:rPr>
          <w:rFonts w:eastAsia="Times New Roman"/>
        </w:rPr>
        <w:t>many</w:t>
      </w:r>
      <w:r w:rsidR="1CB7AB01" w:rsidRPr="27B4A244">
        <w:rPr>
          <w:rFonts w:eastAsia="Times New Roman"/>
        </w:rPr>
        <w:t xml:space="preserve"> possible immune correlates will be explored, including combinations of different markers.  For each possible immune correlate, there may be multiple assays. </w:t>
      </w:r>
    </w:p>
    <w:p w14:paraId="6247A430" w14:textId="77777777" w:rsidR="002E7F64" w:rsidRDefault="1CB7AB01" w:rsidP="000522B7">
      <w:pPr>
        <w:spacing w:line="257" w:lineRule="auto"/>
        <w:rPr>
          <w:rFonts w:eastAsia="Times New Roman"/>
        </w:rPr>
      </w:pPr>
      <w:r w:rsidRPr="27B4A244">
        <w:rPr>
          <w:rFonts w:eastAsia="Times New Roman"/>
        </w:rPr>
        <w:lastRenderedPageBreak/>
        <w:t xml:space="preserve">The primary analyses will be based on samples collected at </w:t>
      </w:r>
      <w:r w:rsidR="000A0284">
        <w:rPr>
          <w:rFonts w:eastAsia="Times New Roman"/>
        </w:rPr>
        <w:t xml:space="preserve">both </w:t>
      </w:r>
      <w:r w:rsidRPr="27B4A244">
        <w:rPr>
          <w:rFonts w:eastAsia="Times New Roman"/>
        </w:rPr>
        <w:t>the peak immunological day</w:t>
      </w:r>
      <w:r w:rsidR="000A0284">
        <w:rPr>
          <w:rFonts w:eastAsia="Times New Roman"/>
        </w:rPr>
        <w:t xml:space="preserve"> (two week</w:t>
      </w:r>
      <w:r w:rsidR="00403947">
        <w:rPr>
          <w:rFonts w:eastAsia="Times New Roman"/>
        </w:rPr>
        <w:t>s</w:t>
      </w:r>
      <w:r w:rsidR="000A0284">
        <w:rPr>
          <w:rFonts w:eastAsia="Times New Roman"/>
        </w:rPr>
        <w:t xml:space="preserve"> prior to challenge) and the day of challenge</w:t>
      </w:r>
      <w:r w:rsidR="00403947">
        <w:rPr>
          <w:rFonts w:eastAsia="Times New Roman"/>
        </w:rPr>
        <w:t xml:space="preserve">.  The peak immunological day (PID) will be different for different vaccinations, but </w:t>
      </w:r>
      <w:r w:rsidR="00E43C83">
        <w:rPr>
          <w:rFonts w:eastAsia="Times New Roman"/>
        </w:rPr>
        <w:t xml:space="preserve">for all animals </w:t>
      </w:r>
      <w:r w:rsidR="00403947">
        <w:rPr>
          <w:rFonts w:eastAsia="Times New Roman"/>
        </w:rPr>
        <w:t>the challenge day will always be 2 weeks after PID</w:t>
      </w:r>
      <w:r w:rsidR="00487F63">
        <w:rPr>
          <w:rFonts w:eastAsia="Times New Roman"/>
        </w:rPr>
        <w:t xml:space="preserve"> (</w:t>
      </w:r>
      <w:r w:rsidR="00403947">
        <w:rPr>
          <w:rFonts w:eastAsia="Times New Roman"/>
        </w:rPr>
        <w:t>see Table 1</w:t>
      </w:r>
      <w:r w:rsidR="000A0284">
        <w:rPr>
          <w:rFonts w:eastAsia="Times New Roman"/>
        </w:rPr>
        <w:t xml:space="preserve">). </w:t>
      </w:r>
      <w:r w:rsidRPr="27B4A244">
        <w:rPr>
          <w:rFonts w:eastAsia="Times New Roman"/>
        </w:rPr>
        <w:t xml:space="preserve">Future durability studies will be needed to explore how durable the vaccine effects are and </w:t>
      </w:r>
      <w:r w:rsidR="1B1983C5" w:rsidRPr="27B4A244">
        <w:rPr>
          <w:rFonts w:eastAsia="Times New Roman"/>
        </w:rPr>
        <w:t xml:space="preserve">to </w:t>
      </w:r>
      <w:r w:rsidRPr="27B4A244">
        <w:rPr>
          <w:rFonts w:eastAsia="Times New Roman"/>
        </w:rPr>
        <w:t xml:space="preserve">explore </w:t>
      </w:r>
      <w:proofErr w:type="spellStart"/>
      <w:r w:rsidRPr="27B4A244">
        <w:rPr>
          <w:rFonts w:eastAsia="Times New Roman"/>
        </w:rPr>
        <w:t>CoRs</w:t>
      </w:r>
      <w:proofErr w:type="spellEnd"/>
      <w:r w:rsidRPr="27B4A244">
        <w:rPr>
          <w:rFonts w:eastAsia="Times New Roman"/>
        </w:rPr>
        <w:t xml:space="preserve"> in that situation.</w:t>
      </w:r>
      <w:r w:rsidR="002E7F64">
        <w:rPr>
          <w:rFonts w:eastAsia="Times New Roman"/>
        </w:rPr>
        <w:t xml:space="preserve"> </w:t>
      </w:r>
      <w:r w:rsidR="002E7F64" w:rsidRPr="27B4A244">
        <w:rPr>
          <w:rFonts w:eastAsia="Times New Roman"/>
        </w:rPr>
        <w:t xml:space="preserve">Values below the limit of detection will be replaced with half the limit of detection.  </w:t>
      </w:r>
    </w:p>
    <w:p w14:paraId="38CF9B66" w14:textId="7172A591" w:rsidR="1CB7AB01" w:rsidRDefault="002E7F64" w:rsidP="27B4A244">
      <w:pPr>
        <w:spacing w:line="257" w:lineRule="auto"/>
        <w:rPr>
          <w:rFonts w:eastAsia="Times New Roman"/>
        </w:rPr>
      </w:pPr>
      <w:r>
        <w:rPr>
          <w:rFonts w:eastAsia="Times New Roman"/>
        </w:rPr>
        <w:t xml:space="preserve"> </w:t>
      </w:r>
    </w:p>
    <w:p w14:paraId="4E59E4B7" w14:textId="22316FA8" w:rsidR="1FA61476" w:rsidRDefault="1FA61476" w:rsidP="032B93E0">
      <w:pPr>
        <w:pStyle w:val="Heading3"/>
        <w:ind w:firstLine="720"/>
        <w:rPr>
          <w:rFonts w:ascii="Times New Roman" w:eastAsia="Times New Roman" w:hAnsi="Times New Roman" w:cs="Times New Roman"/>
          <w:b/>
          <w:bCs/>
          <w:color w:val="auto"/>
        </w:rPr>
      </w:pPr>
      <w:bookmarkStart w:id="18" w:name="_Toc60811576"/>
      <w:r w:rsidRPr="032B93E0">
        <w:rPr>
          <w:rFonts w:ascii="Times New Roman" w:eastAsia="Times New Roman" w:hAnsi="Times New Roman" w:cs="Times New Roman"/>
          <w:b/>
          <w:bCs/>
          <w:color w:val="auto"/>
        </w:rPr>
        <w:t>3.2.1        SARS-CoV-2 IgG using ELISA</w:t>
      </w:r>
      <w:bookmarkEnd w:id="18"/>
    </w:p>
    <w:p w14:paraId="1489088C" w14:textId="3548919D" w:rsidR="1FA61476" w:rsidRDefault="1FA61476" w:rsidP="032B93E0">
      <w:pPr>
        <w:spacing w:line="257" w:lineRule="auto"/>
        <w:ind w:left="720"/>
        <w:rPr>
          <w:rFonts w:eastAsia="Times New Roman"/>
          <w:szCs w:val="24"/>
        </w:rPr>
      </w:pPr>
      <w:r w:rsidRPr="032B93E0">
        <w:rPr>
          <w:rFonts w:eastAsia="Times New Roman"/>
          <w:szCs w:val="24"/>
        </w:rPr>
        <w:t xml:space="preserve">There are several possible ways to measure SARS-CoV-2 antibodies using ELISA: </w:t>
      </w:r>
      <w:r w:rsidR="00C73B8E">
        <w:rPr>
          <w:rFonts w:eastAsia="Times New Roman"/>
          <w:szCs w:val="24"/>
        </w:rPr>
        <w:t>full length Spike protein (</w:t>
      </w:r>
      <w:r w:rsidRPr="032B93E0">
        <w:rPr>
          <w:rFonts w:eastAsia="Times New Roman"/>
          <w:szCs w:val="24"/>
        </w:rPr>
        <w:t>S-2P</w:t>
      </w:r>
      <w:r w:rsidR="00C73B8E">
        <w:rPr>
          <w:rFonts w:eastAsia="Times New Roman"/>
          <w:szCs w:val="24"/>
        </w:rPr>
        <w:t>)</w:t>
      </w:r>
      <w:r w:rsidRPr="032B93E0">
        <w:rPr>
          <w:rFonts w:eastAsia="Times New Roman"/>
          <w:szCs w:val="24"/>
        </w:rPr>
        <w:t xml:space="preserve">-specific and </w:t>
      </w:r>
      <w:r w:rsidR="00C73B8E">
        <w:rPr>
          <w:rFonts w:eastAsia="Times New Roman"/>
          <w:szCs w:val="24"/>
        </w:rPr>
        <w:t>Receptor Binding Domain (</w:t>
      </w:r>
      <w:r w:rsidR="00C73B8E" w:rsidRPr="032B93E0">
        <w:rPr>
          <w:rFonts w:eastAsia="Times New Roman"/>
          <w:szCs w:val="24"/>
        </w:rPr>
        <w:t>RBD</w:t>
      </w:r>
      <w:r w:rsidR="00C73B8E">
        <w:rPr>
          <w:rFonts w:eastAsia="Times New Roman"/>
          <w:szCs w:val="24"/>
        </w:rPr>
        <w:t>)-specific</w:t>
      </w:r>
      <w:r w:rsidR="779F591D" w:rsidRPr="032B93E0">
        <w:rPr>
          <w:rFonts w:eastAsia="Times New Roman"/>
          <w:szCs w:val="24"/>
        </w:rPr>
        <w:t>.</w:t>
      </w:r>
    </w:p>
    <w:p w14:paraId="1A75768F" w14:textId="05388881" w:rsidR="0C03EBDF" w:rsidRDefault="0C03EBDF" w:rsidP="032B93E0">
      <w:pPr>
        <w:pStyle w:val="Heading3"/>
        <w:ind w:firstLine="720"/>
        <w:rPr>
          <w:rFonts w:ascii="Times New Roman" w:eastAsia="Times New Roman" w:hAnsi="Times New Roman" w:cs="Times New Roman"/>
          <w:b/>
          <w:bCs/>
          <w:color w:val="auto"/>
        </w:rPr>
      </w:pPr>
      <w:bookmarkStart w:id="19" w:name="_Toc60811577"/>
      <w:r w:rsidRPr="27B4A244">
        <w:rPr>
          <w:rFonts w:ascii="Times New Roman" w:eastAsia="Times New Roman" w:hAnsi="Times New Roman" w:cs="Times New Roman"/>
          <w:b/>
          <w:bCs/>
          <w:color w:val="auto"/>
        </w:rPr>
        <w:t xml:space="preserve">3.2.2        </w:t>
      </w:r>
      <w:proofErr w:type="spellStart"/>
      <w:r w:rsidRPr="27B4A244">
        <w:rPr>
          <w:rFonts w:ascii="Times New Roman" w:eastAsia="Times New Roman" w:hAnsi="Times New Roman" w:cs="Times New Roman"/>
          <w:b/>
          <w:bCs/>
          <w:color w:val="auto"/>
        </w:rPr>
        <w:t>Pseudovirus</w:t>
      </w:r>
      <w:proofErr w:type="spellEnd"/>
      <w:r w:rsidRPr="27B4A244">
        <w:rPr>
          <w:rFonts w:ascii="Times New Roman" w:eastAsia="Times New Roman" w:hAnsi="Times New Roman" w:cs="Times New Roman"/>
          <w:b/>
          <w:bCs/>
          <w:color w:val="auto"/>
        </w:rPr>
        <w:t xml:space="preserve"> </w:t>
      </w:r>
      <w:r w:rsidR="261AA2BF" w:rsidRPr="27B4A244">
        <w:rPr>
          <w:rFonts w:ascii="Times New Roman" w:eastAsia="Times New Roman" w:hAnsi="Times New Roman" w:cs="Times New Roman"/>
          <w:b/>
          <w:bCs/>
          <w:color w:val="auto"/>
        </w:rPr>
        <w:t>N</w:t>
      </w:r>
      <w:r w:rsidRPr="27B4A244">
        <w:rPr>
          <w:rFonts w:ascii="Times New Roman" w:eastAsia="Times New Roman" w:hAnsi="Times New Roman" w:cs="Times New Roman"/>
          <w:b/>
          <w:bCs/>
          <w:color w:val="auto"/>
        </w:rPr>
        <w:t xml:space="preserve">eutralizing </w:t>
      </w:r>
      <w:r w:rsidR="05F13965" w:rsidRPr="27B4A244">
        <w:rPr>
          <w:rFonts w:ascii="Times New Roman" w:eastAsia="Times New Roman" w:hAnsi="Times New Roman" w:cs="Times New Roman"/>
          <w:b/>
          <w:bCs/>
          <w:color w:val="auto"/>
        </w:rPr>
        <w:t>A</w:t>
      </w:r>
      <w:r w:rsidRPr="27B4A244">
        <w:rPr>
          <w:rFonts w:ascii="Times New Roman" w:eastAsia="Times New Roman" w:hAnsi="Times New Roman" w:cs="Times New Roman"/>
          <w:b/>
          <w:bCs/>
          <w:color w:val="auto"/>
        </w:rPr>
        <w:t xml:space="preserve">ssay </w:t>
      </w:r>
      <w:bookmarkEnd w:id="19"/>
    </w:p>
    <w:p w14:paraId="15D02405" w14:textId="5FBCCE50" w:rsidR="0C03EBDF" w:rsidRDefault="0C03EBDF" w:rsidP="27B4A244">
      <w:pPr>
        <w:spacing w:line="257" w:lineRule="auto"/>
        <w:ind w:left="720"/>
        <w:rPr>
          <w:rFonts w:eastAsia="Times New Roman"/>
        </w:rPr>
      </w:pPr>
      <w:r w:rsidRPr="27B4A244">
        <w:rPr>
          <w:rFonts w:eastAsia="Times New Roman"/>
        </w:rPr>
        <w:t xml:space="preserve">This </w:t>
      </w:r>
      <w:r w:rsidR="005A3987">
        <w:rPr>
          <w:rFonts w:eastAsia="Times New Roman"/>
        </w:rPr>
        <w:t>assay has been used</w:t>
      </w:r>
      <w:r w:rsidRPr="27B4A244">
        <w:rPr>
          <w:rFonts w:eastAsia="Times New Roman"/>
        </w:rPr>
        <w:t xml:space="preserve"> in several studies (Mercado, et al</w:t>
      </w:r>
      <w:r w:rsidR="00487F63">
        <w:rPr>
          <w:rFonts w:eastAsia="Times New Roman"/>
        </w:rPr>
        <w:t>.</w:t>
      </w:r>
      <w:r w:rsidRPr="27B4A244">
        <w:rPr>
          <w:rFonts w:eastAsia="Times New Roman"/>
        </w:rPr>
        <w:t>, 2020, Fig. 2; Corbett, et al</w:t>
      </w:r>
      <w:r w:rsidR="00487F63">
        <w:rPr>
          <w:rFonts w:eastAsia="Times New Roman"/>
        </w:rPr>
        <w:t>.</w:t>
      </w:r>
      <w:r w:rsidRPr="27B4A244">
        <w:rPr>
          <w:rFonts w:eastAsia="Times New Roman"/>
        </w:rPr>
        <w:t xml:space="preserve">, 2020, Fig. 1D).  It has a </w:t>
      </w:r>
      <w:r w:rsidR="7C26B86E" w:rsidRPr="27B4A244">
        <w:rPr>
          <w:rFonts w:eastAsia="Times New Roman"/>
        </w:rPr>
        <w:t>noticeable</w:t>
      </w:r>
      <w:r w:rsidRPr="27B4A244">
        <w:rPr>
          <w:rFonts w:eastAsia="Times New Roman"/>
        </w:rPr>
        <w:t xml:space="preserve"> dose response to at least one vaccine, and is present in human convalescent sera (Corbett, et al</w:t>
      </w:r>
      <w:r w:rsidR="00487F63">
        <w:rPr>
          <w:rFonts w:eastAsia="Times New Roman"/>
        </w:rPr>
        <w:t>.</w:t>
      </w:r>
      <w:r w:rsidRPr="27B4A244">
        <w:rPr>
          <w:rFonts w:eastAsia="Times New Roman"/>
        </w:rPr>
        <w:t xml:space="preserve">, 2020, Fig. 1D).  </w:t>
      </w:r>
    </w:p>
    <w:p w14:paraId="13E148E2" w14:textId="190A45C6" w:rsidR="2B8501DF" w:rsidRDefault="2B8501DF" w:rsidP="032B93E0">
      <w:pPr>
        <w:pStyle w:val="Heading3"/>
        <w:ind w:firstLine="720"/>
        <w:rPr>
          <w:rFonts w:ascii="Times New Roman" w:eastAsia="Times New Roman" w:hAnsi="Times New Roman" w:cs="Times New Roman"/>
          <w:b/>
          <w:bCs/>
          <w:color w:val="auto"/>
        </w:rPr>
      </w:pPr>
      <w:bookmarkStart w:id="20" w:name="_Toc60811578"/>
      <w:r w:rsidRPr="27B4A244">
        <w:rPr>
          <w:rFonts w:ascii="Times New Roman" w:eastAsia="Times New Roman" w:hAnsi="Times New Roman" w:cs="Times New Roman"/>
          <w:b/>
          <w:bCs/>
          <w:color w:val="auto"/>
        </w:rPr>
        <w:t xml:space="preserve">3.2.3        </w:t>
      </w:r>
      <w:r w:rsidR="3F942B98" w:rsidRPr="27B4A244">
        <w:rPr>
          <w:rFonts w:ascii="Times New Roman" w:eastAsia="Times New Roman" w:hAnsi="Times New Roman" w:cs="Times New Roman"/>
          <w:b/>
          <w:bCs/>
          <w:color w:val="auto"/>
        </w:rPr>
        <w:t>Wild-type</w:t>
      </w:r>
      <w:r w:rsidRPr="27B4A244">
        <w:rPr>
          <w:rFonts w:ascii="Times New Roman" w:eastAsia="Times New Roman" w:hAnsi="Times New Roman" w:cs="Times New Roman"/>
          <w:b/>
          <w:bCs/>
          <w:color w:val="auto"/>
        </w:rPr>
        <w:t xml:space="preserve"> </w:t>
      </w:r>
      <w:r w:rsidR="3E961F26" w:rsidRPr="27B4A244">
        <w:rPr>
          <w:rFonts w:ascii="Times New Roman" w:eastAsia="Times New Roman" w:hAnsi="Times New Roman" w:cs="Times New Roman"/>
          <w:b/>
          <w:bCs/>
          <w:color w:val="auto"/>
        </w:rPr>
        <w:t>V</w:t>
      </w:r>
      <w:r w:rsidRPr="27B4A244">
        <w:rPr>
          <w:rFonts w:ascii="Times New Roman" w:eastAsia="Times New Roman" w:hAnsi="Times New Roman" w:cs="Times New Roman"/>
          <w:b/>
          <w:bCs/>
          <w:color w:val="auto"/>
        </w:rPr>
        <w:t xml:space="preserve">irus </w:t>
      </w:r>
      <w:r w:rsidR="55F4DE3C" w:rsidRPr="27B4A244">
        <w:rPr>
          <w:rFonts w:ascii="Times New Roman" w:eastAsia="Times New Roman" w:hAnsi="Times New Roman" w:cs="Times New Roman"/>
          <w:b/>
          <w:bCs/>
          <w:color w:val="auto"/>
        </w:rPr>
        <w:t>N</w:t>
      </w:r>
      <w:r w:rsidRPr="27B4A244">
        <w:rPr>
          <w:rFonts w:ascii="Times New Roman" w:eastAsia="Times New Roman" w:hAnsi="Times New Roman" w:cs="Times New Roman"/>
          <w:b/>
          <w:bCs/>
          <w:color w:val="auto"/>
        </w:rPr>
        <w:t xml:space="preserve">eutralization </w:t>
      </w:r>
      <w:r w:rsidR="3AD5AF2B" w:rsidRPr="27B4A244">
        <w:rPr>
          <w:rFonts w:ascii="Times New Roman" w:eastAsia="Times New Roman" w:hAnsi="Times New Roman" w:cs="Times New Roman"/>
          <w:b/>
          <w:bCs/>
          <w:color w:val="auto"/>
        </w:rPr>
        <w:t>A</w:t>
      </w:r>
      <w:r w:rsidRPr="27B4A244">
        <w:rPr>
          <w:rFonts w:ascii="Times New Roman" w:eastAsia="Times New Roman" w:hAnsi="Times New Roman" w:cs="Times New Roman"/>
          <w:b/>
          <w:bCs/>
          <w:color w:val="auto"/>
        </w:rPr>
        <w:t>ssay</w:t>
      </w:r>
      <w:bookmarkEnd w:id="20"/>
    </w:p>
    <w:p w14:paraId="03B70708" w14:textId="2EC22F8D" w:rsidR="2B8501DF" w:rsidRDefault="2B8501DF" w:rsidP="27B4A244">
      <w:pPr>
        <w:spacing w:line="257" w:lineRule="auto"/>
        <w:ind w:left="720"/>
        <w:rPr>
          <w:rFonts w:eastAsia="Times New Roman"/>
        </w:rPr>
      </w:pPr>
      <w:r w:rsidRPr="27B4A244">
        <w:rPr>
          <w:rFonts w:eastAsia="Times New Roman"/>
        </w:rPr>
        <w:t xml:space="preserve">The </w:t>
      </w:r>
      <w:r w:rsidR="5B427F06" w:rsidRPr="27B4A244">
        <w:rPr>
          <w:rFonts w:eastAsia="Times New Roman"/>
        </w:rPr>
        <w:t xml:space="preserve">wild-type </w:t>
      </w:r>
      <w:r w:rsidRPr="27B4A244">
        <w:rPr>
          <w:rFonts w:eastAsia="Times New Roman"/>
        </w:rPr>
        <w:t xml:space="preserve">virus neutralization assay </w:t>
      </w:r>
      <w:r w:rsidR="61069123" w:rsidRPr="27B4A244">
        <w:rPr>
          <w:rFonts w:eastAsia="Times New Roman"/>
        </w:rPr>
        <w:t>correlates well with</w:t>
      </w:r>
      <w:r w:rsidRPr="27B4A244">
        <w:rPr>
          <w:rFonts w:eastAsia="Times New Roman"/>
        </w:rPr>
        <w:t xml:space="preserve"> the pseudo-virus neutralization assay</w:t>
      </w:r>
      <w:r w:rsidR="00487F63">
        <w:rPr>
          <w:rFonts w:eastAsia="Times New Roman"/>
        </w:rPr>
        <w:t xml:space="preserve"> </w:t>
      </w:r>
      <w:r w:rsidR="3D3E3E1A" w:rsidRPr="27B4A244">
        <w:rPr>
          <w:rFonts w:eastAsia="Times New Roman"/>
        </w:rPr>
        <w:t>(</w:t>
      </w:r>
      <w:r w:rsidRPr="27B4A244">
        <w:rPr>
          <w:rFonts w:eastAsia="Times New Roman"/>
        </w:rPr>
        <w:t>Mercado, et al</w:t>
      </w:r>
      <w:r w:rsidR="00487F63">
        <w:rPr>
          <w:rFonts w:eastAsia="Times New Roman"/>
        </w:rPr>
        <w:t>.</w:t>
      </w:r>
      <w:r w:rsidRPr="27B4A244">
        <w:rPr>
          <w:rFonts w:eastAsia="Times New Roman"/>
        </w:rPr>
        <w:t xml:space="preserve">, 2020, Extended Fig. 1).  </w:t>
      </w:r>
    </w:p>
    <w:p w14:paraId="337F2E91" w14:textId="0102DA50" w:rsidR="3CC49659" w:rsidRDefault="3CC49659" w:rsidP="032B93E0">
      <w:pPr>
        <w:pStyle w:val="Heading3"/>
        <w:ind w:firstLine="720"/>
        <w:rPr>
          <w:rFonts w:ascii="Times New Roman" w:eastAsia="Times New Roman" w:hAnsi="Times New Roman" w:cs="Times New Roman"/>
          <w:b/>
          <w:bCs/>
          <w:color w:val="auto"/>
        </w:rPr>
      </w:pPr>
      <w:bookmarkStart w:id="21" w:name="_Toc60811579"/>
      <w:r w:rsidRPr="27B4A244">
        <w:rPr>
          <w:rFonts w:ascii="Times New Roman" w:eastAsia="Times New Roman" w:hAnsi="Times New Roman" w:cs="Times New Roman"/>
          <w:b/>
          <w:bCs/>
          <w:color w:val="auto"/>
        </w:rPr>
        <w:t xml:space="preserve">3.2.4        </w:t>
      </w:r>
      <w:r w:rsidR="000F1E49">
        <w:rPr>
          <w:rFonts w:ascii="Times New Roman" w:eastAsia="Times New Roman" w:hAnsi="Times New Roman" w:cs="Times New Roman"/>
          <w:b/>
          <w:bCs/>
          <w:color w:val="auto"/>
        </w:rPr>
        <w:t xml:space="preserve">Cell Mediated Immune </w:t>
      </w:r>
      <w:r w:rsidR="07CC448B" w:rsidRPr="27B4A244">
        <w:rPr>
          <w:rFonts w:ascii="Times New Roman" w:eastAsia="Times New Roman" w:hAnsi="Times New Roman" w:cs="Times New Roman"/>
          <w:b/>
          <w:bCs/>
          <w:color w:val="auto"/>
        </w:rPr>
        <w:t>R</w:t>
      </w:r>
      <w:r w:rsidRPr="27B4A244">
        <w:rPr>
          <w:rFonts w:ascii="Times New Roman" w:eastAsia="Times New Roman" w:hAnsi="Times New Roman" w:cs="Times New Roman"/>
          <w:b/>
          <w:bCs/>
          <w:color w:val="auto"/>
        </w:rPr>
        <w:t>esponses</w:t>
      </w:r>
      <w:bookmarkEnd w:id="21"/>
    </w:p>
    <w:p w14:paraId="6CB262AB" w14:textId="6DE6272A" w:rsidR="3CC49659" w:rsidRDefault="3CC49659" w:rsidP="27B4A244">
      <w:pPr>
        <w:spacing w:line="257" w:lineRule="auto"/>
        <w:ind w:left="720"/>
        <w:rPr>
          <w:rFonts w:eastAsia="Times New Roman"/>
        </w:rPr>
      </w:pPr>
      <w:r w:rsidRPr="27B4A244">
        <w:rPr>
          <w:rFonts w:eastAsia="Times New Roman"/>
        </w:rPr>
        <w:t>Although we expect that the best immune correlates will be among the first three</w:t>
      </w:r>
      <w:r w:rsidR="00110B0B">
        <w:rPr>
          <w:rFonts w:eastAsia="Times New Roman"/>
        </w:rPr>
        <w:t xml:space="preserve"> </w:t>
      </w:r>
      <w:r w:rsidR="000F1E49">
        <w:rPr>
          <w:rFonts w:eastAsia="Times New Roman"/>
        </w:rPr>
        <w:t xml:space="preserve">assays </w:t>
      </w:r>
      <w:r w:rsidR="69339241" w:rsidRPr="27B4A244">
        <w:rPr>
          <w:rFonts w:eastAsia="Times New Roman"/>
        </w:rPr>
        <w:t>described above</w:t>
      </w:r>
      <w:r w:rsidRPr="27B4A244">
        <w:rPr>
          <w:rFonts w:eastAsia="Times New Roman"/>
        </w:rPr>
        <w:t xml:space="preserve">, it is possible that there is some added benefit from T cell responses. </w:t>
      </w:r>
      <w:r w:rsidR="008F2DC4">
        <w:rPr>
          <w:rFonts w:eastAsia="Times New Roman"/>
        </w:rPr>
        <w:br/>
      </w:r>
    </w:p>
    <w:p w14:paraId="48045F32" w14:textId="27BF2CF3" w:rsidR="0C93A68D" w:rsidRDefault="0C93A68D" w:rsidP="032B93E0">
      <w:pPr>
        <w:pStyle w:val="Heading2"/>
        <w:rPr>
          <w:rFonts w:ascii="Times New Roman" w:eastAsia="Times New Roman" w:hAnsi="Times New Roman" w:cs="Times New Roman"/>
          <w:b/>
          <w:bCs/>
          <w:color w:val="auto"/>
          <w:sz w:val="24"/>
          <w:szCs w:val="24"/>
        </w:rPr>
      </w:pPr>
      <w:bookmarkStart w:id="22" w:name="_Toc60811580"/>
      <w:r w:rsidRPr="63D7B13A">
        <w:rPr>
          <w:rFonts w:ascii="Times New Roman" w:eastAsia="Times New Roman" w:hAnsi="Times New Roman" w:cs="Times New Roman"/>
          <w:b/>
          <w:bCs/>
          <w:color w:val="auto"/>
          <w:sz w:val="24"/>
          <w:szCs w:val="24"/>
        </w:rPr>
        <w:t>3.</w:t>
      </w:r>
      <w:r w:rsidR="5239918C" w:rsidRPr="63D7B13A">
        <w:rPr>
          <w:rFonts w:ascii="Times New Roman" w:eastAsia="Times New Roman" w:hAnsi="Times New Roman" w:cs="Times New Roman"/>
          <w:b/>
          <w:bCs/>
          <w:color w:val="auto"/>
          <w:sz w:val="24"/>
          <w:szCs w:val="24"/>
        </w:rPr>
        <w:t>3</w:t>
      </w:r>
      <w:r w:rsidRPr="63D7B13A">
        <w:rPr>
          <w:rFonts w:ascii="Times New Roman" w:eastAsia="Times New Roman" w:hAnsi="Times New Roman" w:cs="Times New Roman"/>
          <w:b/>
          <w:bCs/>
          <w:color w:val="auto"/>
          <w:sz w:val="24"/>
          <w:szCs w:val="24"/>
        </w:rPr>
        <w:t xml:space="preserve">         Possible Challenge </w:t>
      </w:r>
      <w:r w:rsidR="00004A18">
        <w:rPr>
          <w:rFonts w:ascii="Times New Roman" w:eastAsia="Times New Roman" w:hAnsi="Times New Roman" w:cs="Times New Roman"/>
          <w:b/>
          <w:bCs/>
          <w:color w:val="auto"/>
          <w:sz w:val="24"/>
          <w:szCs w:val="24"/>
        </w:rPr>
        <w:t>Outcome</w:t>
      </w:r>
      <w:bookmarkEnd w:id="22"/>
    </w:p>
    <w:p w14:paraId="37EF6094" w14:textId="4CED0C2D" w:rsidR="0C93A68D" w:rsidRDefault="0C93A68D" w:rsidP="27B4A244">
      <w:pPr>
        <w:spacing w:line="257" w:lineRule="auto"/>
        <w:rPr>
          <w:rFonts w:eastAsia="Times New Roman"/>
        </w:rPr>
      </w:pPr>
      <w:r w:rsidRPr="27B4A244">
        <w:rPr>
          <w:rFonts w:eastAsia="Times New Roman"/>
        </w:rPr>
        <w:t>Different outcomes will be investigated.  For an outcome several properties are desirable.  First, the outcome should have a close relationship to an important biological process in human COVID-19 disease, therefore</w:t>
      </w:r>
      <w:r w:rsidR="23D2B991" w:rsidRPr="27B4A244">
        <w:rPr>
          <w:rFonts w:eastAsia="Times New Roman"/>
        </w:rPr>
        <w:t>,</w:t>
      </w:r>
      <w:r w:rsidRPr="27B4A244">
        <w:rPr>
          <w:rFonts w:eastAsia="Times New Roman"/>
        </w:rPr>
        <w:t xml:space="preserve"> SARS-CoV-2 viral load in the upper and lower respiratory tract. Second, the outcome should have a strong dose-response relationship with the vaccine, so that higher doses of the vaccine suggest better protection from COVD-19 disease. Third, there should be a large variability in the responses.  For example, if all doses of a vaccine reduce an outcome to undetectable limits, that does not allow for sufficient variability to model the vaccine response among animals that received the same dose.  </w:t>
      </w:r>
    </w:p>
    <w:p w14:paraId="20F5DBDB" w14:textId="7BCC5EFB" w:rsidR="0C93A68D" w:rsidRDefault="7425096A" w:rsidP="002E7F64">
      <w:pPr>
        <w:spacing w:line="257" w:lineRule="auto"/>
        <w:rPr>
          <w:rFonts w:eastAsia="Times New Roman"/>
        </w:rPr>
      </w:pPr>
      <w:r w:rsidRPr="714B3603">
        <w:rPr>
          <w:rFonts w:eastAsia="Times New Roman"/>
        </w:rPr>
        <w:t xml:space="preserve">The main outcomes will be measures of viral load in the bronchioalveolar lavage (BAL) fluid and nasal swabs by genomic and </w:t>
      </w:r>
      <w:proofErr w:type="spellStart"/>
      <w:r w:rsidRPr="714B3603">
        <w:rPr>
          <w:rFonts w:eastAsia="Times New Roman"/>
        </w:rPr>
        <w:t>subgenomic</w:t>
      </w:r>
      <w:proofErr w:type="spellEnd"/>
      <w:r w:rsidRPr="714B3603">
        <w:rPr>
          <w:rFonts w:eastAsia="Times New Roman"/>
        </w:rPr>
        <w:t xml:space="preserve"> RNA using RT-qPCR.  For the outcome, the sections are based on three decisions: (1) where to take the sample: nasal swab versus BAL; (2) how to summarize the signal: day 2 post-challenge or area under the curve; and (3) whether to dichotomize: </w:t>
      </w:r>
      <w:proofErr w:type="gramStart"/>
      <w:r w:rsidRPr="714B3603">
        <w:rPr>
          <w:rFonts w:eastAsia="Times New Roman"/>
        </w:rPr>
        <w:t>log(</w:t>
      </w:r>
      <w:proofErr w:type="gramEnd"/>
      <w:r w:rsidRPr="714B3603">
        <w:rPr>
          <w:rFonts w:eastAsia="Times New Roman"/>
        </w:rPr>
        <w:t>viral load)</w:t>
      </w:r>
      <w:r w:rsidR="002E7F64">
        <w:rPr>
          <w:rFonts w:eastAsia="Times New Roman"/>
        </w:rPr>
        <w:t xml:space="preserve"> </w:t>
      </w:r>
      <w:r w:rsidRPr="714B3603">
        <w:rPr>
          <w:rFonts w:eastAsia="Times New Roman"/>
        </w:rPr>
        <w:t>versus a binary signal.</w:t>
      </w:r>
      <w:r w:rsidR="002E7F64">
        <w:rPr>
          <w:rFonts w:eastAsia="Times New Roman"/>
        </w:rPr>
        <w:t xml:space="preserve"> When using the log transformation and viral load </w:t>
      </w:r>
      <w:r w:rsidR="002E7F64">
        <w:t>measurements are below the limit of detection, they will be replaced with half the limit of detection here and throughout all analyses.</w:t>
      </w:r>
      <w:r w:rsidR="002E7F64" w:rsidRPr="714B3603">
        <w:rPr>
          <w:rFonts w:eastAsia="Times New Roman"/>
        </w:rPr>
        <w:t xml:space="preserve"> </w:t>
      </w:r>
      <w:r w:rsidRPr="714B3603">
        <w:rPr>
          <w:rFonts w:eastAsia="Times New Roman"/>
        </w:rPr>
        <w:t xml:space="preserve">Because this is exploratory, all </w:t>
      </w:r>
      <w:r w:rsidR="52528479" w:rsidRPr="714B3603">
        <w:rPr>
          <w:rFonts w:eastAsia="Times New Roman"/>
        </w:rPr>
        <w:t xml:space="preserve">these </w:t>
      </w:r>
      <w:r w:rsidRPr="714B3603">
        <w:rPr>
          <w:rFonts w:eastAsia="Times New Roman"/>
        </w:rPr>
        <w:t>measures of viral load</w:t>
      </w:r>
      <w:r w:rsidR="63B9FF93" w:rsidRPr="714B3603">
        <w:rPr>
          <w:rFonts w:eastAsia="Times New Roman"/>
        </w:rPr>
        <w:t xml:space="preserve"> will be examined</w:t>
      </w:r>
      <w:r w:rsidRPr="714B3603">
        <w:rPr>
          <w:rFonts w:eastAsia="Times New Roman"/>
        </w:rPr>
        <w:t>.</w:t>
      </w:r>
    </w:p>
    <w:p w14:paraId="5FCFD83A" w14:textId="727AF428" w:rsidR="01C1D8D5" w:rsidRDefault="01C1D8D5" w:rsidP="27B4A244">
      <w:pPr>
        <w:spacing w:line="257" w:lineRule="auto"/>
        <w:ind w:firstLine="720"/>
        <w:rPr>
          <w:rFonts w:eastAsia="Times New Roman"/>
          <w:b/>
          <w:bCs/>
        </w:rPr>
      </w:pPr>
      <w:r w:rsidRPr="27B4A244">
        <w:rPr>
          <w:rFonts w:eastAsia="Times New Roman"/>
          <w:b/>
          <w:bCs/>
        </w:rPr>
        <w:lastRenderedPageBreak/>
        <w:t>3.</w:t>
      </w:r>
      <w:r w:rsidR="5677106E" w:rsidRPr="27B4A244">
        <w:rPr>
          <w:rFonts w:eastAsia="Times New Roman"/>
          <w:b/>
          <w:bCs/>
        </w:rPr>
        <w:t>3</w:t>
      </w:r>
      <w:r w:rsidRPr="27B4A244">
        <w:rPr>
          <w:rFonts w:eastAsia="Times New Roman"/>
          <w:b/>
          <w:bCs/>
        </w:rPr>
        <w:t>.</w:t>
      </w:r>
      <w:r w:rsidR="281E81D4" w:rsidRPr="27B4A244">
        <w:rPr>
          <w:rFonts w:eastAsia="Times New Roman"/>
          <w:b/>
          <w:bCs/>
        </w:rPr>
        <w:t>1</w:t>
      </w:r>
      <w:r w:rsidR="00FB7AC7">
        <w:rPr>
          <w:rFonts w:eastAsia="Times New Roman"/>
          <w:b/>
          <w:bCs/>
        </w:rPr>
        <w:t xml:space="preserve"> </w:t>
      </w:r>
      <w:r w:rsidRPr="27B4A244">
        <w:rPr>
          <w:rFonts w:eastAsia="Times New Roman"/>
          <w:b/>
          <w:bCs/>
        </w:rPr>
        <w:t xml:space="preserve">Nasal </w:t>
      </w:r>
      <w:r w:rsidR="31DF6B43" w:rsidRPr="27B4A244">
        <w:rPr>
          <w:rFonts w:eastAsia="Times New Roman"/>
          <w:b/>
          <w:bCs/>
        </w:rPr>
        <w:t>S</w:t>
      </w:r>
      <w:r w:rsidRPr="27B4A244">
        <w:rPr>
          <w:rFonts w:eastAsia="Times New Roman"/>
          <w:b/>
          <w:bCs/>
        </w:rPr>
        <w:t xml:space="preserve">wab </w:t>
      </w:r>
      <w:r w:rsidR="7FDB8138" w:rsidRPr="27B4A244">
        <w:rPr>
          <w:rFonts w:eastAsia="Times New Roman"/>
          <w:b/>
          <w:bCs/>
        </w:rPr>
        <w:t>and</w:t>
      </w:r>
      <w:r w:rsidRPr="27B4A244">
        <w:rPr>
          <w:rFonts w:eastAsia="Times New Roman"/>
          <w:b/>
          <w:bCs/>
        </w:rPr>
        <w:t xml:space="preserve"> </w:t>
      </w:r>
      <w:r w:rsidR="5B24AED9" w:rsidRPr="27B4A244">
        <w:rPr>
          <w:rFonts w:eastAsia="Times New Roman"/>
          <w:b/>
          <w:bCs/>
        </w:rPr>
        <w:t>B</w:t>
      </w:r>
      <w:r w:rsidRPr="27B4A244">
        <w:rPr>
          <w:rFonts w:eastAsia="Times New Roman"/>
          <w:b/>
          <w:bCs/>
        </w:rPr>
        <w:t xml:space="preserve">ronchoalveolar </w:t>
      </w:r>
      <w:r w:rsidR="70041032" w:rsidRPr="27B4A244">
        <w:rPr>
          <w:rFonts w:eastAsia="Times New Roman"/>
          <w:b/>
          <w:bCs/>
        </w:rPr>
        <w:t>L</w:t>
      </w:r>
      <w:r w:rsidRPr="27B4A244">
        <w:rPr>
          <w:rFonts w:eastAsia="Times New Roman"/>
          <w:b/>
          <w:bCs/>
        </w:rPr>
        <w:t xml:space="preserve">avage (BAL) </w:t>
      </w:r>
    </w:p>
    <w:p w14:paraId="11F95B88" w14:textId="685AA3E0" w:rsidR="01C1D8D5" w:rsidRDefault="4AF40AAD" w:rsidP="27B4A244">
      <w:pPr>
        <w:spacing w:line="257" w:lineRule="auto"/>
        <w:ind w:left="720"/>
        <w:rPr>
          <w:rFonts w:eastAsia="Times New Roman"/>
        </w:rPr>
      </w:pPr>
      <w:r w:rsidRPr="27B4A244">
        <w:rPr>
          <w:rFonts w:eastAsia="Times New Roman"/>
        </w:rPr>
        <w:t>N</w:t>
      </w:r>
      <w:r w:rsidR="01C1D8D5" w:rsidRPr="27B4A244">
        <w:rPr>
          <w:rFonts w:eastAsia="Times New Roman"/>
        </w:rPr>
        <w:t xml:space="preserve">asal swab </w:t>
      </w:r>
      <w:r w:rsidR="73E03739" w:rsidRPr="27B4A244">
        <w:rPr>
          <w:rFonts w:eastAsia="Times New Roman"/>
        </w:rPr>
        <w:t xml:space="preserve">samples are </w:t>
      </w:r>
      <w:r w:rsidR="01C1D8D5" w:rsidRPr="27B4A244">
        <w:rPr>
          <w:rFonts w:eastAsia="Times New Roman"/>
        </w:rPr>
        <w:t>represent</w:t>
      </w:r>
      <w:r w:rsidR="7163880B" w:rsidRPr="27B4A244">
        <w:rPr>
          <w:rFonts w:eastAsia="Times New Roman"/>
        </w:rPr>
        <w:t xml:space="preserve">ative of </w:t>
      </w:r>
      <w:r w:rsidR="01C1D8D5" w:rsidRPr="27B4A244">
        <w:rPr>
          <w:rFonts w:eastAsia="Times New Roman"/>
        </w:rPr>
        <w:t>upper respiratory tract</w:t>
      </w:r>
      <w:r w:rsidR="5C5F65C0" w:rsidRPr="27B4A244">
        <w:rPr>
          <w:rFonts w:eastAsia="Times New Roman"/>
        </w:rPr>
        <w:t xml:space="preserve"> </w:t>
      </w:r>
      <w:r w:rsidR="00682AC9" w:rsidRPr="27B4A244">
        <w:rPr>
          <w:rFonts w:eastAsia="Times New Roman"/>
        </w:rPr>
        <w:t>infection, which</w:t>
      </w:r>
      <w:r w:rsidR="01C1D8D5" w:rsidRPr="27B4A244">
        <w:rPr>
          <w:rFonts w:eastAsia="Times New Roman"/>
        </w:rPr>
        <w:t xml:space="preserve"> is biologically close to a measure of transmission since the primary mode of natural transmission appears to be from respiratory droplets emitted from an infected individual.  The nasal swab has an apparent advantage over the alternative measure, bronchoalveolar lavage, because in NHP the nasal swab has more variable responses that appear to be related to vaccine dose (see Corbett, </w:t>
      </w:r>
      <w:r w:rsidR="00487F63">
        <w:rPr>
          <w:rFonts w:eastAsia="Times New Roman"/>
        </w:rPr>
        <w:t>et al.,</w:t>
      </w:r>
      <w:r w:rsidR="01C1D8D5" w:rsidRPr="27B4A244">
        <w:rPr>
          <w:rFonts w:eastAsia="Times New Roman"/>
        </w:rPr>
        <w:t xml:space="preserve"> 2020, Figure 3), although in some cases it appears to have a less variable response (see Guebre-Xabier, </w:t>
      </w:r>
      <w:r w:rsidR="00487F63">
        <w:rPr>
          <w:rFonts w:eastAsia="Times New Roman"/>
        </w:rPr>
        <w:t>et al.,</w:t>
      </w:r>
      <w:r w:rsidR="01C1D8D5" w:rsidRPr="27B4A244">
        <w:rPr>
          <w:rFonts w:eastAsia="Times New Roman"/>
        </w:rPr>
        <w:t xml:space="preserve"> 2020, Figure 1). </w:t>
      </w:r>
    </w:p>
    <w:p w14:paraId="136464D9" w14:textId="5CE5147F" w:rsidR="01C1D8D5" w:rsidRDefault="01C1D8D5" w:rsidP="27B4A244">
      <w:pPr>
        <w:spacing w:line="257" w:lineRule="auto"/>
        <w:ind w:left="720"/>
        <w:rPr>
          <w:rFonts w:eastAsia="Times New Roman"/>
        </w:rPr>
      </w:pPr>
      <w:r w:rsidRPr="160908E8">
        <w:rPr>
          <w:rFonts w:eastAsia="Times New Roman"/>
        </w:rPr>
        <w:t>Since severe human COVID</w:t>
      </w:r>
      <w:r w:rsidR="1FA82F36" w:rsidRPr="160908E8">
        <w:rPr>
          <w:rFonts w:eastAsia="Times New Roman"/>
        </w:rPr>
        <w:t>-19</w:t>
      </w:r>
      <w:r w:rsidRPr="160908E8">
        <w:rPr>
          <w:rFonts w:eastAsia="Times New Roman"/>
        </w:rPr>
        <w:t xml:space="preserve"> disease is often associated with respiratory distress, in some ways BAL is a better </w:t>
      </w:r>
      <w:r w:rsidR="006B456F" w:rsidRPr="160908E8">
        <w:rPr>
          <w:rFonts w:eastAsia="Times New Roman"/>
        </w:rPr>
        <w:t xml:space="preserve">sample </w:t>
      </w:r>
      <w:r w:rsidRPr="160908E8">
        <w:rPr>
          <w:rFonts w:eastAsia="Times New Roman"/>
        </w:rPr>
        <w:t xml:space="preserve">than the nasal swab.  The main issue with the BAL is that in several cases the vaccines are closer to near complete suppression of the BAL viral load compared to the nasal swab (see e.g., Corbett, </w:t>
      </w:r>
      <w:r w:rsidR="00487F63" w:rsidRPr="160908E8">
        <w:rPr>
          <w:rFonts w:eastAsia="Times New Roman"/>
        </w:rPr>
        <w:t>et al.,</w:t>
      </w:r>
      <w:r w:rsidRPr="160908E8">
        <w:rPr>
          <w:rFonts w:eastAsia="Times New Roman"/>
        </w:rPr>
        <w:t xml:space="preserve"> 2020, Figure 3,</w:t>
      </w:r>
      <w:r w:rsidR="7C8611C8" w:rsidRPr="160908E8">
        <w:rPr>
          <w:rFonts w:eastAsia="Times New Roman"/>
        </w:rPr>
        <w:t xml:space="preserve"> and</w:t>
      </w:r>
      <w:r w:rsidRPr="160908E8">
        <w:rPr>
          <w:rFonts w:eastAsia="Times New Roman"/>
        </w:rPr>
        <w:t xml:space="preserve"> Mercado, </w:t>
      </w:r>
      <w:r w:rsidR="00487F63" w:rsidRPr="160908E8">
        <w:rPr>
          <w:rFonts w:eastAsia="Times New Roman"/>
        </w:rPr>
        <w:t>et al.,</w:t>
      </w:r>
      <w:r w:rsidRPr="160908E8">
        <w:rPr>
          <w:rFonts w:eastAsia="Times New Roman"/>
        </w:rPr>
        <w:t xml:space="preserve"> 2020, Figure 4).  </w:t>
      </w:r>
      <w:r w:rsidR="006D1D66">
        <w:rPr>
          <w:rFonts w:eastAsia="Times New Roman"/>
        </w:rPr>
        <w:t>One advantage of this study is that there will be several dilutions of the standard vaccine dosages, so that it is likely that some dilutions will not have the complete suppression issue</w:t>
      </w:r>
      <w:r w:rsidRPr="160908E8">
        <w:rPr>
          <w:rFonts w:eastAsia="Times New Roman"/>
        </w:rPr>
        <w:t>.</w:t>
      </w:r>
    </w:p>
    <w:p w14:paraId="401F8799" w14:textId="71F5A98D" w:rsidR="669E244D" w:rsidRDefault="669E244D" w:rsidP="27B4A244">
      <w:pPr>
        <w:spacing w:line="257" w:lineRule="auto"/>
        <w:ind w:firstLine="720"/>
        <w:rPr>
          <w:rFonts w:eastAsia="Times New Roman"/>
        </w:rPr>
      </w:pPr>
      <w:r w:rsidRPr="27B4A244">
        <w:rPr>
          <w:rFonts w:eastAsia="Times New Roman"/>
          <w:b/>
          <w:bCs/>
        </w:rPr>
        <w:t>3.</w:t>
      </w:r>
      <w:r w:rsidR="61264BAF" w:rsidRPr="27B4A244">
        <w:rPr>
          <w:rFonts w:eastAsia="Times New Roman"/>
          <w:b/>
          <w:bCs/>
        </w:rPr>
        <w:t>3</w:t>
      </w:r>
      <w:r w:rsidRPr="27B4A244">
        <w:rPr>
          <w:rFonts w:eastAsia="Times New Roman"/>
          <w:b/>
          <w:bCs/>
        </w:rPr>
        <w:t>.</w:t>
      </w:r>
      <w:r w:rsidR="0DC1480E" w:rsidRPr="27B4A244">
        <w:rPr>
          <w:rFonts w:eastAsia="Times New Roman"/>
          <w:b/>
          <w:bCs/>
        </w:rPr>
        <w:t>2</w:t>
      </w:r>
      <w:r w:rsidR="00FB7AC7">
        <w:rPr>
          <w:rFonts w:eastAsia="Times New Roman"/>
          <w:b/>
          <w:bCs/>
        </w:rPr>
        <w:t xml:space="preserve"> </w:t>
      </w:r>
      <w:r w:rsidR="762186B2" w:rsidRPr="27B4A244">
        <w:rPr>
          <w:rFonts w:eastAsia="Times New Roman"/>
          <w:b/>
          <w:bCs/>
        </w:rPr>
        <w:t>Measure at Day 2 post-challenge or Area Under the Curve (AUC)</w:t>
      </w:r>
    </w:p>
    <w:p w14:paraId="64622D3B" w14:textId="09039360" w:rsidR="762186B2" w:rsidRDefault="762186B2" w:rsidP="27B4A244">
      <w:pPr>
        <w:spacing w:line="257" w:lineRule="auto"/>
        <w:ind w:left="720"/>
        <w:rPr>
          <w:rFonts w:eastAsia="Times New Roman"/>
        </w:rPr>
      </w:pPr>
      <w:r w:rsidRPr="27B4A244">
        <w:rPr>
          <w:rFonts w:eastAsia="Times New Roman"/>
        </w:rPr>
        <w:t>Day 2 post-challenge will be the primary endpoint</w:t>
      </w:r>
      <w:r w:rsidR="18F4D199" w:rsidRPr="27B4A244">
        <w:rPr>
          <w:rFonts w:eastAsia="Times New Roman"/>
        </w:rPr>
        <w:t>,</w:t>
      </w:r>
      <w:r w:rsidRPr="27B4A244">
        <w:rPr>
          <w:rFonts w:eastAsia="Times New Roman"/>
        </w:rPr>
        <w:t xml:space="preserve"> because that day appears to have the most variable responses (see Corbett, </w:t>
      </w:r>
      <w:r w:rsidR="00487F63">
        <w:rPr>
          <w:rFonts w:eastAsia="Times New Roman"/>
        </w:rPr>
        <w:t>et al.,</w:t>
      </w:r>
      <w:r w:rsidRPr="27B4A244">
        <w:rPr>
          <w:rFonts w:eastAsia="Times New Roman"/>
        </w:rPr>
        <w:t xml:space="preserve"> 2020, Figure 3). An alternative measurement is the peak value after challenge (see e.g., Mercado, </w:t>
      </w:r>
      <w:r w:rsidR="00487F63">
        <w:rPr>
          <w:rFonts w:eastAsia="Times New Roman"/>
        </w:rPr>
        <w:t>et al.,</w:t>
      </w:r>
      <w:r w:rsidRPr="27B4A244">
        <w:rPr>
          <w:rFonts w:eastAsia="Times New Roman"/>
        </w:rPr>
        <w:t xml:space="preserve"> 2020, Figure 5); however, day 2 </w:t>
      </w:r>
      <w:r w:rsidR="2F433138" w:rsidRPr="27B4A244">
        <w:rPr>
          <w:rFonts w:eastAsia="Times New Roman"/>
        </w:rPr>
        <w:t>approximates</w:t>
      </w:r>
      <w:r w:rsidR="00D15A23">
        <w:rPr>
          <w:rFonts w:eastAsia="Times New Roman"/>
        </w:rPr>
        <w:t xml:space="preserve"> the peak value </w:t>
      </w:r>
      <w:r w:rsidRPr="27B4A244">
        <w:rPr>
          <w:rFonts w:eastAsia="Times New Roman"/>
        </w:rPr>
        <w:t xml:space="preserve">(see e.g., Mercado, </w:t>
      </w:r>
      <w:r w:rsidR="00487F63">
        <w:rPr>
          <w:rFonts w:eastAsia="Times New Roman"/>
        </w:rPr>
        <w:t>et al.,</w:t>
      </w:r>
      <w:r w:rsidRPr="27B4A244">
        <w:rPr>
          <w:rFonts w:eastAsia="Times New Roman"/>
        </w:rPr>
        <w:t xml:space="preserve"> 2020, Figure 4). </w:t>
      </w:r>
      <w:r w:rsidR="006B456F" w:rsidRPr="27B4A244">
        <w:rPr>
          <w:rFonts w:eastAsia="Times New Roman"/>
        </w:rPr>
        <w:t>So,</w:t>
      </w:r>
      <w:r w:rsidRPr="27B4A244">
        <w:rPr>
          <w:rFonts w:eastAsia="Times New Roman"/>
        </w:rPr>
        <w:t xml:space="preserve"> for simplicity, day 2 post-challenge </w:t>
      </w:r>
      <w:r w:rsidR="4A1D1803" w:rsidRPr="27B4A244">
        <w:rPr>
          <w:rFonts w:eastAsia="Times New Roman"/>
          <w:color w:val="000000" w:themeColor="text1"/>
          <w:szCs w:val="24"/>
        </w:rPr>
        <w:t xml:space="preserve">will be </w:t>
      </w:r>
      <w:r w:rsidR="006B456F" w:rsidRPr="27B4A244">
        <w:rPr>
          <w:rFonts w:eastAsia="Times New Roman"/>
          <w:color w:val="000000" w:themeColor="text1"/>
          <w:szCs w:val="24"/>
        </w:rPr>
        <w:t>evaluated</w:t>
      </w:r>
      <w:r w:rsidR="006B456F" w:rsidRPr="27B4A244">
        <w:rPr>
          <w:rFonts w:eastAsia="Times New Roman"/>
        </w:rPr>
        <w:t>.</w:t>
      </w:r>
      <w:r w:rsidRPr="27B4A244">
        <w:rPr>
          <w:rFonts w:eastAsia="Times New Roman"/>
        </w:rPr>
        <w:t xml:space="preserve"> </w:t>
      </w:r>
    </w:p>
    <w:p w14:paraId="47B24250" w14:textId="1F1BB3CA" w:rsidR="762186B2" w:rsidRDefault="762186B2" w:rsidP="27B4A244">
      <w:pPr>
        <w:spacing w:line="257" w:lineRule="auto"/>
        <w:ind w:left="720"/>
        <w:rPr>
          <w:rFonts w:eastAsia="Times New Roman"/>
        </w:rPr>
      </w:pPr>
      <w:r w:rsidRPr="27B4A244">
        <w:rPr>
          <w:rFonts w:eastAsia="Times New Roman"/>
        </w:rPr>
        <w:t>To reduce variability, all viral measurements post-</w:t>
      </w:r>
      <w:r w:rsidR="006B456F" w:rsidRPr="27B4A244">
        <w:rPr>
          <w:rFonts w:eastAsia="Times New Roman"/>
        </w:rPr>
        <w:t>challenge will</w:t>
      </w:r>
      <w:r w:rsidR="007026EE">
        <w:rPr>
          <w:rFonts w:eastAsia="Times New Roman"/>
        </w:rPr>
        <w:t xml:space="preserve"> be summarized</w:t>
      </w:r>
      <w:r w:rsidRPr="27B4A244">
        <w:rPr>
          <w:rFonts w:eastAsia="Times New Roman"/>
        </w:rPr>
        <w:t xml:space="preserve"> within each animal</w:t>
      </w:r>
      <w:r w:rsidR="4D715D93" w:rsidRPr="27B4A244">
        <w:rPr>
          <w:rFonts w:eastAsia="Times New Roman"/>
        </w:rPr>
        <w:t xml:space="preserve"> using</w:t>
      </w:r>
      <w:r w:rsidRPr="27B4A244">
        <w:rPr>
          <w:rFonts w:eastAsia="Times New Roman"/>
        </w:rPr>
        <w:t xml:space="preserve"> area under the curve (AUC), </w:t>
      </w:r>
      <w:r w:rsidR="007026EE">
        <w:rPr>
          <w:rFonts w:eastAsia="Times New Roman"/>
        </w:rPr>
        <w:t>a</w:t>
      </w:r>
      <w:r w:rsidRPr="27B4A244">
        <w:rPr>
          <w:rFonts w:eastAsia="Times New Roman"/>
        </w:rPr>
        <w:t xml:space="preserve"> measur</w:t>
      </w:r>
      <w:r w:rsidR="007026EE">
        <w:rPr>
          <w:rFonts w:eastAsia="Times New Roman"/>
        </w:rPr>
        <w:t>e of</w:t>
      </w:r>
      <w:r w:rsidRPr="27B4A244">
        <w:rPr>
          <w:rFonts w:eastAsia="Times New Roman"/>
        </w:rPr>
        <w:t xml:space="preserve"> the </w:t>
      </w:r>
      <w:r w:rsidR="007026EE">
        <w:rPr>
          <w:rFonts w:eastAsia="Times New Roman"/>
        </w:rPr>
        <w:t>amount</w:t>
      </w:r>
      <w:r w:rsidRPr="27B4A244">
        <w:rPr>
          <w:rFonts w:eastAsia="Times New Roman"/>
        </w:rPr>
        <w:t xml:space="preserve"> of viral load </w:t>
      </w:r>
      <w:r w:rsidR="00E90EBD">
        <w:rPr>
          <w:rFonts w:eastAsia="Times New Roman"/>
        </w:rPr>
        <w:t xml:space="preserve">present </w:t>
      </w:r>
      <w:r w:rsidRPr="27B4A244">
        <w:rPr>
          <w:rFonts w:eastAsia="Times New Roman"/>
        </w:rPr>
        <w:t xml:space="preserve">over time. </w:t>
      </w:r>
      <w:r w:rsidR="003A6DDA">
        <w:t xml:space="preserve">AUC will be calculated using </w:t>
      </w:r>
      <w:proofErr w:type="gramStart"/>
      <w:r w:rsidR="003A6DDA">
        <w:t>log(</w:t>
      </w:r>
      <w:proofErr w:type="gramEnd"/>
      <w:r w:rsidR="003A6DDA">
        <w:t>viral load)</w:t>
      </w:r>
      <w:r w:rsidR="002E7F64">
        <w:t>, with viral load measurements below the limit of detection replaced with half the limit of detection</w:t>
      </w:r>
      <w:r w:rsidR="003A6DDA">
        <w:t>.</w:t>
      </w:r>
    </w:p>
    <w:p w14:paraId="41B61B74" w14:textId="284D66C9" w:rsidR="3802B6E0" w:rsidRDefault="3802B6E0" w:rsidP="27B4A244">
      <w:pPr>
        <w:spacing w:line="257" w:lineRule="auto"/>
        <w:ind w:firstLine="720"/>
        <w:rPr>
          <w:rFonts w:eastAsia="Times New Roman"/>
          <w:b/>
          <w:bCs/>
        </w:rPr>
      </w:pPr>
      <w:r w:rsidRPr="27B4A244">
        <w:rPr>
          <w:rFonts w:eastAsia="Times New Roman"/>
          <w:b/>
          <w:bCs/>
        </w:rPr>
        <w:t>3.3.3</w:t>
      </w:r>
      <w:r w:rsidR="00B37FF3">
        <w:rPr>
          <w:rFonts w:eastAsia="Times New Roman"/>
          <w:b/>
          <w:bCs/>
        </w:rPr>
        <w:t xml:space="preserve"> </w:t>
      </w:r>
      <w:r w:rsidRPr="27B4A244">
        <w:rPr>
          <w:rFonts w:eastAsia="Times New Roman"/>
          <w:b/>
          <w:bCs/>
        </w:rPr>
        <w:t>Whether and How to Dichotomize the Outcome Measurement</w:t>
      </w:r>
    </w:p>
    <w:p w14:paraId="51A57C1D" w14:textId="16989F06" w:rsidR="3802B6E0" w:rsidRDefault="3802B6E0" w:rsidP="27B4A244">
      <w:pPr>
        <w:spacing w:line="257" w:lineRule="auto"/>
        <w:ind w:left="720"/>
        <w:rPr>
          <w:rFonts w:eastAsia="Times New Roman"/>
        </w:rPr>
      </w:pPr>
      <w:r w:rsidRPr="27B4A244">
        <w:rPr>
          <w:rFonts w:eastAsia="Times New Roman"/>
        </w:rPr>
        <w:t xml:space="preserve">It is standard to measure viral load on a log scale. </w:t>
      </w:r>
      <w:r w:rsidR="4401AC9D" w:rsidRPr="27B4A244">
        <w:rPr>
          <w:rFonts w:eastAsia="Times New Roman"/>
        </w:rPr>
        <w:t>V</w:t>
      </w:r>
      <w:r w:rsidRPr="27B4A244">
        <w:rPr>
          <w:rFonts w:eastAsia="Times New Roman"/>
        </w:rPr>
        <w:t xml:space="preserve">alues below the limit of detection will be replaced with half the limit of detection.  </w:t>
      </w:r>
    </w:p>
    <w:p w14:paraId="447197C8" w14:textId="317975B6" w:rsidR="3802B6E0" w:rsidRDefault="3802B6E0" w:rsidP="27B4A244">
      <w:pPr>
        <w:spacing w:line="257" w:lineRule="auto"/>
        <w:ind w:left="720"/>
        <w:rPr>
          <w:rFonts w:eastAsia="Times New Roman"/>
        </w:rPr>
      </w:pPr>
      <w:r w:rsidRPr="27B4A244">
        <w:rPr>
          <w:rFonts w:eastAsia="Times New Roman"/>
        </w:rPr>
        <w:t>If a large proportion of the responses are below the limit of detection, then another approach is a binary response:  above the limit of detection (plus/minus).  Although there is less differentiation among animals than the log viral count, this binary method alleviates the need to define an arbitrary log viral load value for values less than the limit of detection.  Further, the binary response (pos/neg) is suitable when there is a large proportion of the response that are undetectable.</w:t>
      </w:r>
      <w:r w:rsidR="008F2DC4">
        <w:rPr>
          <w:rFonts w:eastAsia="Times New Roman"/>
        </w:rPr>
        <w:br/>
      </w:r>
    </w:p>
    <w:p w14:paraId="7F0732BB" w14:textId="77777777" w:rsidR="004612BE" w:rsidRDefault="004612BE" w:rsidP="004612BE">
      <w:pPr>
        <w:rPr>
          <w:rFonts w:eastAsia="Times New Roman"/>
          <w:b/>
          <w:bCs/>
        </w:rPr>
      </w:pPr>
    </w:p>
    <w:p w14:paraId="6C3F2B82" w14:textId="77777777" w:rsidR="004612BE" w:rsidRDefault="004612BE" w:rsidP="004612BE">
      <w:pPr>
        <w:rPr>
          <w:rFonts w:eastAsia="Times New Roman"/>
          <w:b/>
          <w:bCs/>
        </w:rPr>
      </w:pPr>
    </w:p>
    <w:p w14:paraId="7C2DAF05" w14:textId="77777777" w:rsidR="004612BE" w:rsidRDefault="004612BE" w:rsidP="004612BE">
      <w:pPr>
        <w:rPr>
          <w:rFonts w:eastAsia="Times New Roman"/>
          <w:b/>
          <w:bCs/>
        </w:rPr>
      </w:pPr>
    </w:p>
    <w:p w14:paraId="434D67C5" w14:textId="77777777" w:rsidR="004612BE" w:rsidRDefault="004612BE" w:rsidP="004612BE">
      <w:pPr>
        <w:rPr>
          <w:rFonts w:eastAsia="Times New Roman"/>
          <w:b/>
          <w:bCs/>
        </w:rPr>
      </w:pPr>
    </w:p>
    <w:p w14:paraId="18F8CEA1" w14:textId="77777777" w:rsidR="004612BE" w:rsidRDefault="004612BE" w:rsidP="004612BE">
      <w:pPr>
        <w:rPr>
          <w:rFonts w:eastAsia="Times New Roman"/>
          <w:b/>
          <w:bCs/>
        </w:rPr>
      </w:pPr>
    </w:p>
    <w:p w14:paraId="4BB0783F" w14:textId="0B92C769" w:rsidR="004612BE" w:rsidRDefault="7A431E41" w:rsidP="004612BE">
      <w:pPr>
        <w:rPr>
          <w:rFonts w:eastAsia="Times New Roman"/>
          <w:b/>
          <w:bCs/>
        </w:rPr>
      </w:pPr>
      <w:r w:rsidRPr="63D7B13A">
        <w:rPr>
          <w:rFonts w:eastAsia="Times New Roman"/>
          <w:b/>
          <w:bCs/>
        </w:rPr>
        <w:t>3.4 Study Design Considerations</w:t>
      </w:r>
      <w:bookmarkStart w:id="23" w:name="_Toc60811581"/>
    </w:p>
    <w:p w14:paraId="00063305" w14:textId="02427C8A" w:rsidR="00E43C83" w:rsidRPr="004612BE" w:rsidRDefault="4EE45A1A" w:rsidP="004612BE">
      <w:pPr>
        <w:rPr>
          <w:rFonts w:eastAsia="Times New Roman"/>
          <w:b/>
          <w:bCs/>
          <w:szCs w:val="24"/>
        </w:rPr>
      </w:pPr>
      <w:r w:rsidRPr="00E65759">
        <w:rPr>
          <w:rFonts w:eastAsia="Times New Roman"/>
          <w:szCs w:val="24"/>
        </w:rPr>
        <w:t>Th</w:t>
      </w:r>
      <w:r w:rsidR="1CF8C330" w:rsidRPr="00E65759">
        <w:rPr>
          <w:rFonts w:eastAsia="Times New Roman"/>
          <w:szCs w:val="24"/>
        </w:rPr>
        <w:t xml:space="preserve">e design </w:t>
      </w:r>
      <w:r w:rsidRPr="00E65759">
        <w:rPr>
          <w:rFonts w:eastAsia="Times New Roman"/>
          <w:szCs w:val="24"/>
        </w:rPr>
        <w:t xml:space="preserve">is a multi-arm randomized </w:t>
      </w:r>
      <w:r w:rsidR="250E0546" w:rsidRPr="00E65759">
        <w:rPr>
          <w:rFonts w:eastAsia="Times New Roman"/>
          <w:szCs w:val="24"/>
        </w:rPr>
        <w:t>stud</w:t>
      </w:r>
      <w:r w:rsidR="4839895F" w:rsidRPr="00E65759">
        <w:rPr>
          <w:rFonts w:eastAsia="Times New Roman"/>
          <w:szCs w:val="24"/>
        </w:rPr>
        <w:t>y</w:t>
      </w:r>
      <w:r w:rsidRPr="00E65759">
        <w:rPr>
          <w:rFonts w:eastAsia="Times New Roman"/>
          <w:szCs w:val="24"/>
        </w:rPr>
        <w:t xml:space="preserve"> (Section 5, Table 1).  Within most vaccines there will be an undiluted arm and 4 dilution arms as well as a control arm. There will be </w:t>
      </w:r>
      <w:r w:rsidR="29516433" w:rsidRPr="00E65759">
        <w:rPr>
          <w:rFonts w:eastAsia="Times New Roman"/>
          <w:szCs w:val="24"/>
        </w:rPr>
        <w:t>four</w:t>
      </w:r>
      <w:r w:rsidRPr="00E65759">
        <w:rPr>
          <w:rFonts w:eastAsia="Times New Roman"/>
          <w:szCs w:val="24"/>
        </w:rPr>
        <w:t xml:space="preserve"> vaccine products (e.g., A,</w:t>
      </w:r>
      <w:r w:rsidR="005F99A9" w:rsidRPr="00E65759">
        <w:rPr>
          <w:rFonts w:eastAsia="Times New Roman"/>
          <w:szCs w:val="24"/>
        </w:rPr>
        <w:t xml:space="preserve"> </w:t>
      </w:r>
      <w:r w:rsidR="7C024789" w:rsidRPr="00E65759">
        <w:rPr>
          <w:rFonts w:eastAsia="Times New Roman"/>
          <w:szCs w:val="24"/>
        </w:rPr>
        <w:t>B,</w:t>
      </w:r>
      <w:r w:rsidR="60ED533D" w:rsidRPr="00E65759">
        <w:rPr>
          <w:rFonts w:eastAsia="Times New Roman"/>
          <w:szCs w:val="24"/>
        </w:rPr>
        <w:t xml:space="preserve"> </w:t>
      </w:r>
      <w:r w:rsidRPr="00E65759">
        <w:rPr>
          <w:rFonts w:eastAsia="Times New Roman"/>
          <w:szCs w:val="24"/>
        </w:rPr>
        <w:t>C,</w:t>
      </w:r>
      <w:r w:rsidR="12B4CC19" w:rsidRPr="00E65759">
        <w:rPr>
          <w:rFonts w:eastAsia="Times New Roman"/>
          <w:szCs w:val="24"/>
        </w:rPr>
        <w:t xml:space="preserve"> </w:t>
      </w:r>
      <w:r w:rsidRPr="00E65759">
        <w:rPr>
          <w:rFonts w:eastAsia="Times New Roman"/>
          <w:szCs w:val="24"/>
        </w:rPr>
        <w:t xml:space="preserve">D in Table </w:t>
      </w:r>
      <w:r w:rsidR="0136EC43" w:rsidRPr="00E65759">
        <w:rPr>
          <w:rFonts w:eastAsia="Times New Roman"/>
          <w:szCs w:val="24"/>
        </w:rPr>
        <w:t>2</w:t>
      </w:r>
      <w:r w:rsidRPr="00E65759">
        <w:rPr>
          <w:rFonts w:eastAsia="Times New Roman"/>
          <w:szCs w:val="24"/>
        </w:rPr>
        <w:t xml:space="preserve">).  There will be 8 cohorts of </w:t>
      </w:r>
      <w:r w:rsidR="7C024789" w:rsidRPr="00E65759">
        <w:rPr>
          <w:rFonts w:eastAsia="Times New Roman"/>
          <w:szCs w:val="24"/>
        </w:rPr>
        <w:t>animals</w:t>
      </w:r>
      <w:r w:rsidR="2DE0B1B6" w:rsidRPr="00E65759">
        <w:rPr>
          <w:rFonts w:eastAsia="Times New Roman"/>
          <w:szCs w:val="24"/>
        </w:rPr>
        <w:t xml:space="preserve"> for the different challenge days</w:t>
      </w:r>
      <w:r w:rsidR="7C024789" w:rsidRPr="00E65759">
        <w:rPr>
          <w:rFonts w:eastAsia="Times New Roman"/>
          <w:szCs w:val="24"/>
        </w:rPr>
        <w:t xml:space="preserve"> (</w:t>
      </w:r>
      <w:r w:rsidRPr="00E65759">
        <w:rPr>
          <w:rFonts w:eastAsia="Times New Roman"/>
          <w:szCs w:val="24"/>
        </w:rPr>
        <w:t xml:space="preserve">Table </w:t>
      </w:r>
      <w:r w:rsidR="7B8DBA37" w:rsidRPr="00E65759">
        <w:rPr>
          <w:rFonts w:eastAsia="Times New Roman"/>
          <w:szCs w:val="24"/>
        </w:rPr>
        <w:t>3</w:t>
      </w:r>
      <w:r w:rsidRPr="00E65759">
        <w:rPr>
          <w:rFonts w:eastAsia="Times New Roman"/>
          <w:szCs w:val="24"/>
        </w:rPr>
        <w:t xml:space="preserve">). </w:t>
      </w:r>
    </w:p>
    <w:p w14:paraId="69D4FCFE" w14:textId="72F6FAE5" w:rsidR="3D7AD1CA" w:rsidRPr="00E65759" w:rsidRDefault="163C9B6F" w:rsidP="008F2DC4">
      <w:pPr>
        <w:pStyle w:val="Heading2"/>
        <w:spacing w:before="120" w:after="120"/>
        <w:rPr>
          <w:rFonts w:ascii="Times New Roman" w:hAnsi="Times New Roman" w:cs="Times New Roman"/>
          <w:color w:val="000000" w:themeColor="text1"/>
          <w:sz w:val="24"/>
          <w:szCs w:val="24"/>
        </w:rPr>
      </w:pPr>
      <w:r w:rsidRPr="00E65759">
        <w:rPr>
          <w:rFonts w:ascii="Times New Roman" w:hAnsi="Times New Roman" w:cs="Times New Roman"/>
          <w:color w:val="000000" w:themeColor="text1"/>
          <w:sz w:val="24"/>
          <w:szCs w:val="24"/>
        </w:rPr>
        <w:t xml:space="preserve">Each animal will have two stages within the study. In Stage 1, the animal is vaccinated with one or </w:t>
      </w:r>
      <w:r w:rsidR="7C024789" w:rsidRPr="00E65759">
        <w:rPr>
          <w:rFonts w:ascii="Times New Roman" w:hAnsi="Times New Roman" w:cs="Times New Roman"/>
          <w:color w:val="000000" w:themeColor="text1"/>
          <w:sz w:val="24"/>
          <w:szCs w:val="24"/>
        </w:rPr>
        <w:t>two immunizations</w:t>
      </w:r>
      <w:r w:rsidRPr="00E65759">
        <w:rPr>
          <w:rFonts w:ascii="Times New Roman" w:hAnsi="Times New Roman" w:cs="Times New Roman"/>
          <w:color w:val="000000" w:themeColor="text1"/>
          <w:sz w:val="24"/>
          <w:szCs w:val="24"/>
        </w:rPr>
        <w:t xml:space="preserve"> of one of the experimental vaccines or the control. The length of Stage 1 will vary depending on the vaccine</w:t>
      </w:r>
      <w:r w:rsidR="339C8B01" w:rsidRPr="00E65759">
        <w:rPr>
          <w:rFonts w:ascii="Times New Roman" w:hAnsi="Times New Roman" w:cs="Times New Roman"/>
          <w:color w:val="000000" w:themeColor="text1"/>
          <w:sz w:val="24"/>
          <w:szCs w:val="24"/>
        </w:rPr>
        <w:t xml:space="preserve"> and cohort,</w:t>
      </w:r>
      <w:r w:rsidR="65E2553E" w:rsidRPr="00E65759">
        <w:rPr>
          <w:rFonts w:ascii="Times New Roman" w:hAnsi="Times New Roman" w:cs="Times New Roman"/>
          <w:color w:val="000000" w:themeColor="text1"/>
          <w:sz w:val="24"/>
          <w:szCs w:val="24"/>
        </w:rPr>
        <w:t xml:space="preserve"> with</w:t>
      </w:r>
      <w:r w:rsidR="339C8B01" w:rsidRPr="00E65759">
        <w:rPr>
          <w:rFonts w:ascii="Times New Roman" w:hAnsi="Times New Roman" w:cs="Times New Roman"/>
          <w:color w:val="000000" w:themeColor="text1"/>
          <w:sz w:val="24"/>
          <w:szCs w:val="24"/>
        </w:rPr>
        <w:t xml:space="preserve"> the length of Stage 1 chosen such that within each cohort the projected peak immune day (PID) will be the same</w:t>
      </w:r>
      <w:r w:rsidR="65E2553E" w:rsidRPr="00E65759">
        <w:rPr>
          <w:rFonts w:ascii="Times New Roman" w:hAnsi="Times New Roman" w:cs="Times New Roman"/>
          <w:color w:val="000000" w:themeColor="text1"/>
          <w:sz w:val="24"/>
          <w:szCs w:val="24"/>
        </w:rPr>
        <w:t xml:space="preserve"> day</w:t>
      </w:r>
      <w:r w:rsidR="339C8B01" w:rsidRPr="00E65759">
        <w:rPr>
          <w:rFonts w:ascii="Times New Roman" w:hAnsi="Times New Roman" w:cs="Times New Roman"/>
          <w:color w:val="000000" w:themeColor="text1"/>
          <w:sz w:val="24"/>
          <w:szCs w:val="24"/>
        </w:rPr>
        <w:t xml:space="preserve">. </w:t>
      </w:r>
      <w:r w:rsidRPr="00E65759">
        <w:rPr>
          <w:rFonts w:ascii="Times New Roman" w:hAnsi="Times New Roman" w:cs="Times New Roman"/>
          <w:color w:val="000000" w:themeColor="text1"/>
          <w:sz w:val="24"/>
          <w:szCs w:val="24"/>
        </w:rPr>
        <w:t>This will require v</w:t>
      </w:r>
      <w:r w:rsidRPr="00E65759">
        <w:rPr>
          <w:rFonts w:ascii="Times New Roman" w:eastAsia="Times New Roman" w:hAnsi="Times New Roman" w:cs="Times New Roman"/>
          <w:color w:val="000000" w:themeColor="text1"/>
          <w:sz w:val="24"/>
          <w:szCs w:val="24"/>
        </w:rPr>
        <w:t xml:space="preserve">accinations to be staggered for each group within a challenge day cohort. </w:t>
      </w:r>
      <w:r w:rsidRPr="00E65759">
        <w:rPr>
          <w:rFonts w:ascii="Times New Roman" w:hAnsi="Times New Roman" w:cs="Times New Roman"/>
          <w:color w:val="000000" w:themeColor="text1"/>
          <w:sz w:val="24"/>
          <w:szCs w:val="24"/>
        </w:rPr>
        <w:t xml:space="preserve">The end of Stage 1 will be projected peak immune day (PID).  Stage 2 starts from the peak immune day. In Stage 2 the animals in all the arms will be treated the same: they will </w:t>
      </w:r>
      <w:r w:rsidR="339C8B01" w:rsidRPr="00E65759">
        <w:rPr>
          <w:rFonts w:ascii="Times New Roman" w:hAnsi="Times New Roman" w:cs="Times New Roman"/>
          <w:color w:val="000000" w:themeColor="text1"/>
          <w:sz w:val="24"/>
          <w:szCs w:val="24"/>
        </w:rPr>
        <w:t xml:space="preserve">all </w:t>
      </w:r>
      <w:r w:rsidRPr="00E65759">
        <w:rPr>
          <w:rFonts w:ascii="Times New Roman" w:hAnsi="Times New Roman" w:cs="Times New Roman"/>
          <w:color w:val="000000" w:themeColor="text1"/>
          <w:sz w:val="24"/>
          <w:szCs w:val="24"/>
        </w:rPr>
        <w:t xml:space="preserve">be </w:t>
      </w:r>
      <w:r w:rsidR="7C024789" w:rsidRPr="00E65759">
        <w:rPr>
          <w:rFonts w:ascii="Times New Roman" w:hAnsi="Times New Roman" w:cs="Times New Roman"/>
          <w:color w:val="000000" w:themeColor="text1"/>
          <w:sz w:val="24"/>
          <w:szCs w:val="24"/>
        </w:rPr>
        <w:t>challenged at</w:t>
      </w:r>
      <w:r w:rsidR="339C8B01" w:rsidRPr="00E65759">
        <w:rPr>
          <w:rFonts w:ascii="Times New Roman" w:hAnsi="Times New Roman" w:cs="Times New Roman"/>
          <w:color w:val="000000" w:themeColor="text1"/>
          <w:sz w:val="24"/>
          <w:szCs w:val="24"/>
        </w:rPr>
        <w:t xml:space="preserve"> two weeks</w:t>
      </w:r>
      <w:r w:rsidRPr="00E65759">
        <w:rPr>
          <w:rFonts w:ascii="Times New Roman" w:hAnsi="Times New Roman" w:cs="Times New Roman"/>
          <w:color w:val="000000" w:themeColor="text1"/>
          <w:sz w:val="24"/>
          <w:szCs w:val="24"/>
        </w:rPr>
        <w:t xml:space="preserve"> post-PID and have post-challenge responses measured on the same days post-PID. </w:t>
      </w:r>
      <w:bookmarkEnd w:id="23"/>
    </w:p>
    <w:p w14:paraId="434869C3" w14:textId="6BE83E7C" w:rsidR="4395D804" w:rsidRDefault="4395D804" w:rsidP="008F2DC4">
      <w:pPr>
        <w:pStyle w:val="Heading3"/>
        <w:spacing w:before="120" w:after="120"/>
        <w:ind w:firstLine="720"/>
        <w:rPr>
          <w:rFonts w:ascii="Times New Roman" w:eastAsia="Times New Roman" w:hAnsi="Times New Roman" w:cs="Times New Roman"/>
          <w:b/>
          <w:bCs/>
          <w:color w:val="auto"/>
        </w:rPr>
      </w:pPr>
      <w:bookmarkStart w:id="24" w:name="_Toc60811582"/>
      <w:r w:rsidRPr="27B4A244">
        <w:rPr>
          <w:rFonts w:ascii="Times New Roman" w:eastAsia="Times New Roman" w:hAnsi="Times New Roman" w:cs="Times New Roman"/>
          <w:b/>
          <w:bCs/>
          <w:color w:val="auto"/>
        </w:rPr>
        <w:t>3</w:t>
      </w:r>
      <w:r w:rsidR="7076F699" w:rsidRPr="27B4A244">
        <w:rPr>
          <w:rFonts w:ascii="Times New Roman" w:eastAsia="Times New Roman" w:hAnsi="Times New Roman" w:cs="Times New Roman"/>
          <w:b/>
          <w:bCs/>
          <w:color w:val="auto"/>
        </w:rPr>
        <w:t>.</w:t>
      </w:r>
      <w:r w:rsidR="5D50C914" w:rsidRPr="27B4A244">
        <w:rPr>
          <w:rFonts w:ascii="Times New Roman" w:eastAsia="Times New Roman" w:hAnsi="Times New Roman" w:cs="Times New Roman"/>
          <w:b/>
          <w:bCs/>
          <w:color w:val="auto"/>
        </w:rPr>
        <w:t>4</w:t>
      </w:r>
      <w:r w:rsidR="7076F699" w:rsidRPr="27B4A244">
        <w:rPr>
          <w:rFonts w:ascii="Times New Roman" w:eastAsia="Times New Roman" w:hAnsi="Times New Roman" w:cs="Times New Roman"/>
          <w:b/>
          <w:bCs/>
          <w:color w:val="auto"/>
        </w:rPr>
        <w:t xml:space="preserve">.1        Aspects of the Design that are Fixed </w:t>
      </w:r>
      <w:bookmarkEnd w:id="24"/>
    </w:p>
    <w:p w14:paraId="3213EA6C" w14:textId="526322BA" w:rsidR="7076F699" w:rsidRPr="00D165C2" w:rsidRDefault="7D856C74" w:rsidP="714B3603">
      <w:pPr>
        <w:spacing w:line="257" w:lineRule="auto"/>
        <w:ind w:left="720"/>
        <w:rPr>
          <w:rFonts w:eastAsia="Times New Roman"/>
          <w:szCs w:val="24"/>
        </w:rPr>
      </w:pPr>
      <w:r w:rsidRPr="00D165C2">
        <w:rPr>
          <w:rFonts w:eastAsia="Times New Roman"/>
          <w:szCs w:val="24"/>
        </w:rPr>
        <w:t xml:space="preserve">There are many aspects of the design that will be the same for each animal in the study. These are vital to the study, but peripheral to the statistical analysis plan.   The following will be the same for every arm of the study: </w:t>
      </w:r>
    </w:p>
    <w:p w14:paraId="44B9B7D7" w14:textId="2702D0D2" w:rsidR="7076F699" w:rsidRPr="0071149A" w:rsidRDefault="7D856C74" w:rsidP="714B3603">
      <w:pPr>
        <w:pStyle w:val="ListParagraph"/>
        <w:numPr>
          <w:ilvl w:val="1"/>
          <w:numId w:val="1"/>
        </w:numPr>
        <w:rPr>
          <w:rFonts w:eastAsia="Times New Roman"/>
        </w:rPr>
      </w:pPr>
      <w:r w:rsidRPr="714B3603">
        <w:rPr>
          <w:rFonts w:eastAsia="Times New Roman"/>
        </w:rPr>
        <w:t xml:space="preserve">animal species,  </w:t>
      </w:r>
    </w:p>
    <w:p w14:paraId="56BCC006" w14:textId="6C3BE2A3" w:rsidR="7076F699" w:rsidRPr="0071149A" w:rsidRDefault="7D856C74" w:rsidP="714B3603">
      <w:pPr>
        <w:pStyle w:val="ListParagraph"/>
        <w:numPr>
          <w:ilvl w:val="1"/>
          <w:numId w:val="1"/>
        </w:numPr>
        <w:rPr>
          <w:rFonts w:eastAsia="Times New Roman"/>
        </w:rPr>
      </w:pPr>
      <w:r w:rsidRPr="714B3603">
        <w:rPr>
          <w:rFonts w:eastAsia="Times New Roman"/>
        </w:rPr>
        <w:t>challenge (dose, route</w:t>
      </w:r>
      <w:r w:rsidR="2AAA4545" w:rsidRPr="714B3603">
        <w:rPr>
          <w:rFonts w:eastAsia="Times New Roman"/>
        </w:rPr>
        <w:t>s</w:t>
      </w:r>
      <w:r w:rsidRPr="714B3603">
        <w:rPr>
          <w:rFonts w:eastAsia="Times New Roman"/>
        </w:rPr>
        <w:t xml:space="preserve">, virus strain, virus lot), </w:t>
      </w:r>
    </w:p>
    <w:p w14:paraId="146A81DF" w14:textId="405D54A7" w:rsidR="7076F699" w:rsidRPr="0071149A" w:rsidRDefault="7D856C74" w:rsidP="714B3603">
      <w:pPr>
        <w:pStyle w:val="ListParagraph"/>
        <w:numPr>
          <w:ilvl w:val="1"/>
          <w:numId w:val="1"/>
        </w:numPr>
        <w:rPr>
          <w:rFonts w:eastAsia="Times New Roman"/>
        </w:rPr>
      </w:pPr>
      <w:r w:rsidRPr="714B3603">
        <w:rPr>
          <w:rFonts w:eastAsia="Times New Roman"/>
        </w:rPr>
        <w:t xml:space="preserve">assays (SOPs for collection and running the assays), </w:t>
      </w:r>
    </w:p>
    <w:p w14:paraId="37398BEF" w14:textId="4CEE1333" w:rsidR="7076F699" w:rsidRPr="0071149A" w:rsidRDefault="7D856C74" w:rsidP="714B3603">
      <w:pPr>
        <w:pStyle w:val="ListParagraph"/>
        <w:numPr>
          <w:ilvl w:val="1"/>
          <w:numId w:val="1"/>
        </w:numPr>
        <w:rPr>
          <w:rFonts w:eastAsia="Times New Roman"/>
        </w:rPr>
      </w:pPr>
      <w:r w:rsidRPr="714B3603">
        <w:rPr>
          <w:rFonts w:eastAsia="Times New Roman"/>
        </w:rPr>
        <w:t xml:space="preserve">sample </w:t>
      </w:r>
      <w:r w:rsidR="1452C00B" w:rsidRPr="714B3603">
        <w:rPr>
          <w:rFonts w:eastAsia="Times New Roman"/>
        </w:rPr>
        <w:t>schedule</w:t>
      </w:r>
      <w:r w:rsidRPr="714B3603">
        <w:rPr>
          <w:rFonts w:eastAsia="Times New Roman"/>
        </w:rPr>
        <w:t xml:space="preserve"> (baseline, peak immunology day, all sample days after PID), </w:t>
      </w:r>
    </w:p>
    <w:p w14:paraId="5E8EA252" w14:textId="6E61F89B" w:rsidR="7076F699" w:rsidRDefault="7D856C74" w:rsidP="714B3603">
      <w:pPr>
        <w:pStyle w:val="ListParagraph"/>
        <w:numPr>
          <w:ilvl w:val="1"/>
          <w:numId w:val="1"/>
        </w:numPr>
        <w:rPr>
          <w:rFonts w:eastAsia="Times New Roman"/>
        </w:rPr>
      </w:pPr>
      <w:r w:rsidRPr="714B3603">
        <w:rPr>
          <w:rFonts w:eastAsia="Times New Roman"/>
        </w:rPr>
        <w:t>animal facility where the study is performed.</w:t>
      </w:r>
    </w:p>
    <w:p w14:paraId="55480D66" w14:textId="26668E37" w:rsidR="10F5DFC8" w:rsidRDefault="10F5DFC8" w:rsidP="032B93E0">
      <w:pPr>
        <w:pStyle w:val="Heading3"/>
        <w:ind w:firstLine="720"/>
        <w:rPr>
          <w:rFonts w:ascii="Times New Roman" w:eastAsia="Times New Roman" w:hAnsi="Times New Roman" w:cs="Times New Roman"/>
          <w:b/>
          <w:bCs/>
          <w:color w:val="1F3763"/>
        </w:rPr>
      </w:pPr>
      <w:bookmarkStart w:id="25" w:name="_Toc60811583"/>
      <w:r w:rsidRPr="27B4A244">
        <w:rPr>
          <w:rFonts w:ascii="Times New Roman" w:eastAsia="Times New Roman" w:hAnsi="Times New Roman" w:cs="Times New Roman"/>
          <w:b/>
          <w:bCs/>
          <w:color w:val="auto"/>
        </w:rPr>
        <w:t>3</w:t>
      </w:r>
      <w:r w:rsidR="40667B18" w:rsidRPr="27B4A244">
        <w:rPr>
          <w:rFonts w:ascii="Times New Roman" w:eastAsia="Times New Roman" w:hAnsi="Times New Roman" w:cs="Times New Roman"/>
          <w:b/>
          <w:bCs/>
          <w:color w:val="auto"/>
        </w:rPr>
        <w:t>.</w:t>
      </w:r>
      <w:r w:rsidR="48ACB040" w:rsidRPr="27B4A244">
        <w:rPr>
          <w:rFonts w:ascii="Times New Roman" w:eastAsia="Times New Roman" w:hAnsi="Times New Roman" w:cs="Times New Roman"/>
          <w:b/>
          <w:bCs/>
          <w:color w:val="auto"/>
        </w:rPr>
        <w:t>4</w:t>
      </w:r>
      <w:r w:rsidR="40667B18" w:rsidRPr="27B4A244">
        <w:rPr>
          <w:rFonts w:ascii="Times New Roman" w:eastAsia="Times New Roman" w:hAnsi="Times New Roman" w:cs="Times New Roman"/>
          <w:b/>
          <w:bCs/>
          <w:color w:val="auto"/>
        </w:rPr>
        <w:t>.</w:t>
      </w:r>
      <w:r w:rsidR="3FECA79B" w:rsidRPr="27B4A244">
        <w:rPr>
          <w:rFonts w:ascii="Times New Roman" w:eastAsia="Times New Roman" w:hAnsi="Times New Roman" w:cs="Times New Roman"/>
          <w:b/>
          <w:bCs/>
          <w:color w:val="auto"/>
        </w:rPr>
        <w:t>2</w:t>
      </w:r>
      <w:r w:rsidR="40667B18" w:rsidRPr="27B4A244">
        <w:rPr>
          <w:rFonts w:ascii="Times New Roman" w:eastAsia="Times New Roman" w:hAnsi="Times New Roman" w:cs="Times New Roman"/>
          <w:b/>
          <w:bCs/>
          <w:color w:val="auto"/>
        </w:rPr>
        <w:t xml:space="preserve">        Stratified Randomization </w:t>
      </w:r>
      <w:bookmarkEnd w:id="25"/>
    </w:p>
    <w:p w14:paraId="02806778" w14:textId="68459F6A" w:rsidR="003A5DF6" w:rsidRDefault="003A5DF6">
      <w:pPr>
        <w:spacing w:line="257" w:lineRule="auto"/>
        <w:ind w:left="720"/>
        <w:rPr>
          <w:rFonts w:eastAsia="Times New Roman"/>
        </w:rPr>
      </w:pPr>
      <w:r>
        <w:rPr>
          <w:rFonts w:eastAsia="Times New Roman"/>
        </w:rPr>
        <w:t xml:space="preserve">Randomization of the animals is detailed in Section 11.1 of the protocol. Briefly, animals will be stratified by body weight and sex and randomized to one of the four vaccine products or placebo. </w:t>
      </w:r>
    </w:p>
    <w:p w14:paraId="5179ADAD" w14:textId="28FF415D" w:rsidR="1A6F433B" w:rsidRDefault="1A6F433B" w:rsidP="032B93E0">
      <w:pPr>
        <w:pStyle w:val="Heading3"/>
        <w:ind w:firstLine="720"/>
        <w:rPr>
          <w:rFonts w:ascii="Times New Roman" w:eastAsia="Times New Roman" w:hAnsi="Times New Roman" w:cs="Times New Roman"/>
          <w:b/>
          <w:bCs/>
          <w:color w:val="auto"/>
        </w:rPr>
      </w:pPr>
      <w:bookmarkStart w:id="26" w:name="_Toc60811584"/>
      <w:r w:rsidRPr="27B4A244">
        <w:rPr>
          <w:rFonts w:ascii="Times New Roman" w:eastAsia="Times New Roman" w:hAnsi="Times New Roman" w:cs="Times New Roman"/>
          <w:b/>
          <w:bCs/>
          <w:color w:val="auto"/>
        </w:rPr>
        <w:t>3</w:t>
      </w:r>
      <w:r w:rsidR="4449E172" w:rsidRPr="27B4A244">
        <w:rPr>
          <w:rFonts w:ascii="Times New Roman" w:eastAsia="Times New Roman" w:hAnsi="Times New Roman" w:cs="Times New Roman"/>
          <w:b/>
          <w:bCs/>
          <w:color w:val="auto"/>
        </w:rPr>
        <w:t>.</w:t>
      </w:r>
      <w:r w:rsidR="46BC922C" w:rsidRPr="27B4A244">
        <w:rPr>
          <w:rFonts w:ascii="Times New Roman" w:eastAsia="Times New Roman" w:hAnsi="Times New Roman" w:cs="Times New Roman"/>
          <w:b/>
          <w:bCs/>
          <w:color w:val="auto"/>
        </w:rPr>
        <w:t>4</w:t>
      </w:r>
      <w:r w:rsidR="4449E172" w:rsidRPr="27B4A244">
        <w:rPr>
          <w:rFonts w:ascii="Times New Roman" w:eastAsia="Times New Roman" w:hAnsi="Times New Roman" w:cs="Times New Roman"/>
          <w:b/>
          <w:bCs/>
          <w:color w:val="auto"/>
        </w:rPr>
        <w:t>.</w:t>
      </w:r>
      <w:r w:rsidR="486518F1" w:rsidRPr="27B4A244">
        <w:rPr>
          <w:rFonts w:ascii="Times New Roman" w:eastAsia="Times New Roman" w:hAnsi="Times New Roman" w:cs="Times New Roman"/>
          <w:b/>
          <w:bCs/>
          <w:color w:val="auto"/>
        </w:rPr>
        <w:t>3</w:t>
      </w:r>
      <w:r w:rsidR="4449E172" w:rsidRPr="27B4A244">
        <w:rPr>
          <w:rFonts w:ascii="Times New Roman" w:eastAsia="Times New Roman" w:hAnsi="Times New Roman" w:cs="Times New Roman"/>
          <w:b/>
          <w:bCs/>
          <w:color w:val="auto"/>
        </w:rPr>
        <w:t xml:space="preserve">        Vaccine Products and Platforms</w:t>
      </w:r>
      <w:bookmarkEnd w:id="26"/>
    </w:p>
    <w:p w14:paraId="681111BC" w14:textId="520185CB" w:rsidR="4449E172" w:rsidRDefault="4449E172" w:rsidP="27B4A244">
      <w:pPr>
        <w:spacing w:line="257" w:lineRule="auto"/>
        <w:ind w:left="720"/>
        <w:rPr>
          <w:rFonts w:eastAsia="Times New Roman"/>
        </w:rPr>
      </w:pPr>
      <w:r w:rsidRPr="27B4A244">
        <w:rPr>
          <w:rFonts w:eastAsia="Times New Roman"/>
        </w:rPr>
        <w:t>There will be several vaccine</w:t>
      </w:r>
      <w:r w:rsidR="1FD12ABD" w:rsidRPr="27B4A244">
        <w:rPr>
          <w:rFonts w:eastAsia="Times New Roman"/>
        </w:rPr>
        <w:t xml:space="preserve"> platform</w:t>
      </w:r>
      <w:r w:rsidRPr="27B4A244">
        <w:rPr>
          <w:rFonts w:eastAsia="Times New Roman"/>
        </w:rPr>
        <w:t>s in the study (e.g., mRNA vaccines as in Corbett, et al., 2020 and the Ad26 vaccines as in Mercado, et al 2020</w:t>
      </w:r>
      <w:r w:rsidR="2C655017" w:rsidRPr="27B4A244">
        <w:rPr>
          <w:rFonts w:eastAsia="Times New Roman"/>
        </w:rPr>
        <w:t>)</w:t>
      </w:r>
      <w:r w:rsidRPr="27B4A244">
        <w:rPr>
          <w:rFonts w:eastAsia="Times New Roman"/>
        </w:rPr>
        <w:t xml:space="preserve">.  For some analyses </w:t>
      </w:r>
      <w:r w:rsidR="6A46FE29" w:rsidRPr="27B4A244">
        <w:rPr>
          <w:rFonts w:eastAsia="Times New Roman"/>
        </w:rPr>
        <w:t>it will be desirable to</w:t>
      </w:r>
      <w:r w:rsidRPr="27B4A244">
        <w:rPr>
          <w:rFonts w:eastAsia="Times New Roman"/>
        </w:rPr>
        <w:t xml:space="preserve"> see if a differential vaccine effect </w:t>
      </w:r>
      <w:r w:rsidR="55535615" w:rsidRPr="27B4A244">
        <w:rPr>
          <w:rFonts w:eastAsia="Times New Roman"/>
        </w:rPr>
        <w:t xml:space="preserve">is observed </w:t>
      </w:r>
      <w:r w:rsidRPr="27B4A244">
        <w:rPr>
          <w:rFonts w:eastAsia="Times New Roman"/>
        </w:rPr>
        <w:t>(see Section 6). For these analyses, a way of measuring dose of the vaccines that will translate between different vaccines</w:t>
      </w:r>
      <w:r w:rsidR="0BFB55AC" w:rsidRPr="27B4A244">
        <w:rPr>
          <w:rFonts w:eastAsia="Times New Roman"/>
        </w:rPr>
        <w:t xml:space="preserve"> is required</w:t>
      </w:r>
      <w:r w:rsidRPr="27B4A244">
        <w:rPr>
          <w:rFonts w:eastAsia="Times New Roman"/>
        </w:rPr>
        <w:t xml:space="preserve">.  One </w:t>
      </w:r>
      <w:r w:rsidR="6C8975C3" w:rsidRPr="27B4A244">
        <w:rPr>
          <w:rFonts w:eastAsia="Times New Roman"/>
        </w:rPr>
        <w:t>difference</w:t>
      </w:r>
      <w:r w:rsidRPr="27B4A244">
        <w:rPr>
          <w:rFonts w:eastAsia="Times New Roman"/>
        </w:rPr>
        <w:t xml:space="preserve"> is the number of scheduled immunizations each </w:t>
      </w:r>
      <w:r w:rsidRPr="27B4A244">
        <w:rPr>
          <w:rFonts w:eastAsia="Times New Roman"/>
        </w:rPr>
        <w:lastRenderedPageBreak/>
        <w:t xml:space="preserve">vaccine product uses, the mRNA vaccine in Corbett, et al. (2020) uses two immunizations, while the Ad26 vaccine as in Mercado, et al (2020) uses one. Another </w:t>
      </w:r>
      <w:r w:rsidR="006B456F" w:rsidRPr="27B4A244">
        <w:rPr>
          <w:rFonts w:eastAsia="Times New Roman"/>
        </w:rPr>
        <w:t>difference</w:t>
      </w:r>
      <w:r w:rsidRPr="27B4A244">
        <w:rPr>
          <w:rFonts w:eastAsia="Times New Roman"/>
        </w:rPr>
        <w:t xml:space="preserve"> is the way the amount of each vaccine is measured. Corbett, et al</w:t>
      </w:r>
      <w:r w:rsidR="006B456F">
        <w:rPr>
          <w:rFonts w:eastAsia="Times New Roman"/>
        </w:rPr>
        <w:t>.</w:t>
      </w:r>
      <w:r w:rsidRPr="27B4A244">
        <w:rPr>
          <w:rFonts w:eastAsia="Times New Roman"/>
        </w:rPr>
        <w:t xml:space="preserve"> (2020) used micrograms to describe the amount of vaccine, while Mercado et al</w:t>
      </w:r>
      <w:r w:rsidR="006B456F">
        <w:rPr>
          <w:rFonts w:eastAsia="Times New Roman"/>
        </w:rPr>
        <w:t>.</w:t>
      </w:r>
      <w:r w:rsidRPr="27B4A244">
        <w:rPr>
          <w:rFonts w:eastAsia="Times New Roman"/>
        </w:rPr>
        <w:t xml:space="preserve"> (2020) used number of viral particles.</w:t>
      </w:r>
    </w:p>
    <w:p w14:paraId="367548C4" w14:textId="6462A276" w:rsidR="4449E172" w:rsidRDefault="4449E172" w:rsidP="27B4A244">
      <w:pPr>
        <w:ind w:left="720"/>
        <w:rPr>
          <w:rFonts w:eastAsia="Times New Roman"/>
        </w:rPr>
      </w:pPr>
      <w:r w:rsidRPr="27B4A244">
        <w:rPr>
          <w:rFonts w:eastAsia="Times New Roman"/>
        </w:rPr>
        <w:t xml:space="preserve">The most straightforward way to handle </w:t>
      </w:r>
      <w:r w:rsidR="07C36793" w:rsidRPr="27B4A244">
        <w:rPr>
          <w:rFonts w:eastAsia="Times New Roman"/>
        </w:rPr>
        <w:t xml:space="preserve">the differences is </w:t>
      </w:r>
      <w:r w:rsidRPr="27B4A244">
        <w:rPr>
          <w:rFonts w:eastAsia="Times New Roman"/>
        </w:rPr>
        <w:t xml:space="preserve">to define </w:t>
      </w:r>
      <w:r w:rsidR="003A5DF6">
        <w:rPr>
          <w:rFonts w:eastAsia="Times New Roman"/>
        </w:rPr>
        <w:t>a standard</w:t>
      </w:r>
      <w:r w:rsidRPr="27B4A244">
        <w:rPr>
          <w:rFonts w:eastAsia="Times New Roman"/>
        </w:rPr>
        <w:t xml:space="preserve"> dose for each vaccine as the dose used in the Phase III trials. Then, within each specific vaccine, the other doses in the animal studies will be represented as fractions (or fold-dilution</w:t>
      </w:r>
      <w:r w:rsidR="00154FF6">
        <w:rPr>
          <w:rFonts w:eastAsia="Times New Roman"/>
        </w:rPr>
        <w:t xml:space="preserve">, or </w:t>
      </w:r>
      <w:r w:rsidR="003A5DF6">
        <w:rPr>
          <w:rFonts w:eastAsia="Times New Roman"/>
        </w:rPr>
        <w:t>fold</w:t>
      </w:r>
      <w:r w:rsidR="00154FF6">
        <w:rPr>
          <w:rFonts w:eastAsia="Times New Roman"/>
        </w:rPr>
        <w:t xml:space="preserve"> increase in </w:t>
      </w:r>
      <w:r w:rsidR="003A5DF6">
        <w:rPr>
          <w:rFonts w:eastAsia="Times New Roman"/>
        </w:rPr>
        <w:t>concentration</w:t>
      </w:r>
      <w:r w:rsidRPr="27B4A244">
        <w:rPr>
          <w:rFonts w:eastAsia="Times New Roman"/>
        </w:rPr>
        <w:t xml:space="preserve">) of the standard dose.  </w:t>
      </w:r>
      <w:r w:rsidR="00E90EBD">
        <w:rPr>
          <w:rFonts w:eastAsia="Times New Roman"/>
        </w:rPr>
        <w:t xml:space="preserve">It will also be possible to calibrate (i.e., estimate a parameter) each vaccine, such that its standard dose is multiplied by a calibration factor. </w:t>
      </w:r>
    </w:p>
    <w:p w14:paraId="19E1BCBF" w14:textId="555FEA25" w:rsidR="00872F09" w:rsidRDefault="29DF3149" w:rsidP="00C313C7">
      <w:pPr>
        <w:pStyle w:val="Heading1"/>
        <w:rPr>
          <w:color w:val="000000" w:themeColor="text1"/>
        </w:rPr>
      </w:pPr>
      <w:r w:rsidRPr="032B93E0">
        <w:rPr>
          <w:rFonts w:cs="Times New Roman"/>
        </w:rPr>
        <w:t xml:space="preserve"> </w:t>
      </w:r>
      <w:bookmarkStart w:id="27" w:name="_Toc60811585"/>
      <w:r w:rsidR="6F0D594A" w:rsidRPr="032B93E0">
        <w:t>TEST SYSTEM</w:t>
      </w:r>
      <w:bookmarkEnd w:id="15"/>
      <w:bookmarkEnd w:id="27"/>
    </w:p>
    <w:p w14:paraId="20D7C706" w14:textId="49029D83" w:rsidR="008A4791" w:rsidRPr="00AE61CC" w:rsidDel="008E51F0" w:rsidRDefault="351F9955" w:rsidP="032B93E0">
      <w:pPr>
        <w:pStyle w:val="BodyText"/>
        <w:rPr>
          <w:color w:val="000000" w:themeColor="text1"/>
        </w:rPr>
      </w:pPr>
      <w:r>
        <w:t xml:space="preserve">The study population </w:t>
      </w:r>
      <w:r w:rsidR="75DF5D64">
        <w:t xml:space="preserve">will </w:t>
      </w:r>
      <w:r>
        <w:t>consis</w:t>
      </w:r>
      <w:r w:rsidR="75DF5D64">
        <w:t>t</w:t>
      </w:r>
      <w:r>
        <w:t xml:space="preserve"> of </w:t>
      </w:r>
      <w:r w:rsidR="0BD836DF">
        <w:t xml:space="preserve">126 </w:t>
      </w:r>
      <w:r w:rsidR="182ECE01">
        <w:t>[</w:t>
      </w:r>
      <w:r w:rsidR="0BD836DF">
        <w:t xml:space="preserve">63 </w:t>
      </w:r>
      <w:r w:rsidR="4F81CBF2">
        <w:t xml:space="preserve">male </w:t>
      </w:r>
      <w:r w:rsidR="182ECE01">
        <w:t>(</w:t>
      </w:r>
      <w:r w:rsidR="4EE8F937">
        <w:t>M</w:t>
      </w:r>
      <w:r w:rsidR="182ECE01">
        <w:t>)</w:t>
      </w:r>
      <w:r w:rsidR="4EE8F937">
        <w:t xml:space="preserve">, </w:t>
      </w:r>
      <w:r w:rsidR="0BD836DF">
        <w:t xml:space="preserve">63 </w:t>
      </w:r>
      <w:r w:rsidR="4F81CBF2">
        <w:t xml:space="preserve">female </w:t>
      </w:r>
      <w:r w:rsidR="182ECE01">
        <w:t>(</w:t>
      </w:r>
      <w:r w:rsidR="4EE8F937">
        <w:t>F</w:t>
      </w:r>
      <w:r w:rsidR="182ECE01">
        <w:t>)]</w:t>
      </w:r>
      <w:r>
        <w:t xml:space="preserve"> </w:t>
      </w:r>
      <w:r w:rsidR="6F0D594A">
        <w:t xml:space="preserve">experimentally naïve </w:t>
      </w:r>
      <w:r w:rsidR="0BD836DF">
        <w:t xml:space="preserve">rhesus </w:t>
      </w:r>
      <w:r>
        <w:t>macaques (</w:t>
      </w:r>
      <w:r w:rsidRPr="160908E8">
        <w:rPr>
          <w:i/>
          <w:iCs/>
        </w:rPr>
        <w:t xml:space="preserve">Macaca </w:t>
      </w:r>
      <w:r w:rsidR="0BD836DF" w:rsidRPr="160908E8">
        <w:rPr>
          <w:i/>
          <w:iCs/>
        </w:rPr>
        <w:t>mulatta</w:t>
      </w:r>
      <w:r>
        <w:t xml:space="preserve">) of </w:t>
      </w:r>
      <w:r w:rsidR="0BD836DF">
        <w:t xml:space="preserve">Chinese </w:t>
      </w:r>
      <w:r>
        <w:t>origin</w:t>
      </w:r>
      <w:r w:rsidR="6BAC5EFA">
        <w:t xml:space="preserve"> (</w:t>
      </w:r>
      <w:r w:rsidR="6F176700">
        <w:t>&gt;</w:t>
      </w:r>
      <w:r w:rsidR="6BAC5EFA">
        <w:t>2.5 years of age and &gt;2.5 kg)</w:t>
      </w:r>
      <w:r w:rsidR="50DD6C22">
        <w:t xml:space="preserve">; </w:t>
      </w:r>
      <w:r w:rsidR="0BD836DF">
        <w:t xml:space="preserve">15 </w:t>
      </w:r>
      <w:r w:rsidR="50DD6C22">
        <w:t>additional animals w</w:t>
      </w:r>
      <w:r w:rsidR="75DF5D64">
        <w:t xml:space="preserve">ill </w:t>
      </w:r>
      <w:r w:rsidR="1C92BE54">
        <w:t>serve</w:t>
      </w:r>
      <w:r w:rsidR="50DD6C22">
        <w:t xml:space="preserve"> as replacement</w:t>
      </w:r>
      <w:r w:rsidR="5EA3E8CF">
        <w:t>s.</w:t>
      </w:r>
      <w:r w:rsidR="0BD836DF">
        <w:t xml:space="preserve"> </w:t>
      </w:r>
    </w:p>
    <w:p w14:paraId="5BF4B878" w14:textId="7CD8AE04" w:rsidR="00E168B8" w:rsidRDefault="6F0D594A" w:rsidP="00E168B8">
      <w:pPr>
        <w:pStyle w:val="Heading1"/>
        <w:rPr>
          <w:color w:val="000000" w:themeColor="text1"/>
        </w:rPr>
      </w:pPr>
      <w:bookmarkStart w:id="28" w:name="_Toc26242284"/>
      <w:bookmarkStart w:id="29" w:name="_Toc60811586"/>
      <w:bookmarkEnd w:id="12"/>
      <w:r w:rsidRPr="032B93E0">
        <w:t>STUDY DESIGN</w:t>
      </w:r>
      <w:bookmarkEnd w:id="28"/>
      <w:bookmarkEnd w:id="29"/>
    </w:p>
    <w:p w14:paraId="5655C077" w14:textId="648792A1" w:rsidR="0041252F" w:rsidRPr="00E4680A" w:rsidRDefault="085CD026" w:rsidP="032B93E0">
      <w:pPr>
        <w:pStyle w:val="Heading1"/>
        <w:numPr>
          <w:ilvl w:val="0"/>
          <w:numId w:val="0"/>
        </w:numPr>
        <w:spacing w:before="60" w:afterLines="60" w:after="144" w:line="240" w:lineRule="auto"/>
      </w:pPr>
      <w:bookmarkStart w:id="30" w:name="_Toc26242285"/>
      <w:bookmarkStart w:id="31" w:name="_Toc26243095"/>
      <w:bookmarkStart w:id="32" w:name="_Toc60811587"/>
      <w:proofErr w:type="gramStart"/>
      <w:r w:rsidRPr="032B93E0">
        <w:t>5</w:t>
      </w:r>
      <w:r w:rsidR="04BB5C98" w:rsidRPr="032B93E0">
        <w:t>.1</w:t>
      </w:r>
      <w:r w:rsidR="0F4998BE" w:rsidRPr="032B93E0">
        <w:t xml:space="preserve">  </w:t>
      </w:r>
      <w:r w:rsidR="00D44D12">
        <w:tab/>
      </w:r>
      <w:bookmarkEnd w:id="30"/>
      <w:bookmarkEnd w:id="31"/>
      <w:proofErr w:type="gramEnd"/>
      <w:r w:rsidR="77C699BA" w:rsidRPr="032B93E0">
        <w:t>Study Design</w:t>
      </w:r>
      <w:bookmarkEnd w:id="32"/>
    </w:p>
    <w:p w14:paraId="1218F336" w14:textId="3EB55FB9" w:rsidR="002C2863" w:rsidRPr="00436734" w:rsidRDefault="00B37FF3" w:rsidP="032B93E0">
      <w:pPr>
        <w:spacing w:after="160" w:line="259" w:lineRule="auto"/>
        <w:rPr>
          <w:color w:val="4472C4" w:themeColor="accent1"/>
        </w:rPr>
      </w:pPr>
      <w:r>
        <w:t xml:space="preserve">The study design is described in detail in the protocol.  For ease of access, some tables from the protocol are reproduced in this document. </w:t>
      </w:r>
      <w:r w:rsidR="1A6B0113" w:rsidRPr="032B93E0">
        <w:t xml:space="preserve">A summary of the </w:t>
      </w:r>
      <w:r w:rsidR="15D33650" w:rsidRPr="032B93E0">
        <w:t xml:space="preserve">study </w:t>
      </w:r>
      <w:r w:rsidR="1A6B0113" w:rsidRPr="032B93E0">
        <w:t>design is included in Table 1</w:t>
      </w:r>
      <w:r w:rsidR="00D9003F">
        <w:t xml:space="preserve"> (same as Protocol Table 1)</w:t>
      </w:r>
      <w:r w:rsidR="1A6B0113" w:rsidRPr="032B93E0">
        <w:t xml:space="preserve">. </w:t>
      </w:r>
      <w:r w:rsidR="15D33650" w:rsidRPr="032B93E0">
        <w:t xml:space="preserve"> </w:t>
      </w:r>
      <w:bookmarkStart w:id="33" w:name="_Hlk60224485"/>
    </w:p>
    <w:p w14:paraId="46C957CC" w14:textId="136FF353" w:rsidR="00B37FF3" w:rsidRDefault="00B37FF3" w:rsidP="00B37FF3">
      <w:pPr>
        <w:pStyle w:val="BRCTABLE"/>
        <w:spacing w:before="240"/>
        <w:ind w:left="360"/>
        <w:rPr>
          <w:color w:val="000000"/>
        </w:rPr>
      </w:pPr>
      <w:bookmarkStart w:id="34" w:name="_Toc319914028"/>
      <w:bookmarkEnd w:id="33"/>
      <w:r w:rsidRPr="4D53EE7B">
        <w:rPr>
          <w:color w:val="000000"/>
        </w:rPr>
        <w:t>Table 1</w:t>
      </w:r>
      <w:r w:rsidRPr="00386A19">
        <w:rPr>
          <w:color w:val="000000"/>
          <w:szCs w:val="24"/>
        </w:rPr>
        <w:tab/>
      </w:r>
      <w:r w:rsidRPr="4D53EE7B">
        <w:rPr>
          <w:color w:val="000000"/>
        </w:rPr>
        <w:t xml:space="preserve">Study Design </w:t>
      </w:r>
    </w:p>
    <w:tbl>
      <w:tblPr>
        <w:tblW w:w="89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20"/>
        <w:gridCol w:w="1256"/>
        <w:gridCol w:w="928"/>
        <w:gridCol w:w="1624"/>
        <w:gridCol w:w="1336"/>
        <w:gridCol w:w="1296"/>
        <w:gridCol w:w="1232"/>
      </w:tblGrid>
      <w:tr w:rsidR="007E6D22" w14:paraId="7929F8DE" w14:textId="77777777" w:rsidTr="0071149A">
        <w:trPr>
          <w:trHeight w:val="475"/>
        </w:trPr>
        <w:tc>
          <w:tcPr>
            <w:tcW w:w="1320" w:type="dxa"/>
          </w:tcPr>
          <w:bookmarkEnd w:id="34"/>
          <w:p w14:paraId="40D5AE5E" w14:textId="77777777" w:rsidR="007E6D22" w:rsidRDefault="007E6D22" w:rsidP="00326F87">
            <w:pPr>
              <w:pStyle w:val="TableParagraph"/>
              <w:spacing w:before="4" w:line="223" w:lineRule="auto"/>
              <w:ind w:left="118" w:right="19" w:firstLine="192"/>
              <w:rPr>
                <w:sz w:val="21"/>
              </w:rPr>
            </w:pPr>
            <w:r>
              <w:rPr>
                <w:sz w:val="21"/>
              </w:rPr>
              <w:t>Vaccine Manufacturer</w:t>
            </w:r>
          </w:p>
        </w:tc>
        <w:tc>
          <w:tcPr>
            <w:tcW w:w="1256" w:type="dxa"/>
          </w:tcPr>
          <w:p w14:paraId="608F272F" w14:textId="77777777" w:rsidR="007E6D22" w:rsidRDefault="007E6D22" w:rsidP="00326F87">
            <w:pPr>
              <w:pStyle w:val="TableParagraph"/>
              <w:spacing w:before="102"/>
              <w:ind w:left="314" w:right="344"/>
              <w:jc w:val="center"/>
              <w:rPr>
                <w:sz w:val="21"/>
              </w:rPr>
            </w:pPr>
            <w:r>
              <w:rPr>
                <w:sz w:val="21"/>
              </w:rPr>
              <w:t>Group</w:t>
            </w:r>
          </w:p>
        </w:tc>
        <w:tc>
          <w:tcPr>
            <w:tcW w:w="928" w:type="dxa"/>
          </w:tcPr>
          <w:p w14:paraId="6EDF2A83" w14:textId="77777777" w:rsidR="007E6D22" w:rsidRDefault="007E6D22" w:rsidP="00326F87">
            <w:pPr>
              <w:pStyle w:val="TableParagraph"/>
              <w:spacing w:before="4" w:line="223" w:lineRule="auto"/>
              <w:ind w:left="182" w:hanging="80"/>
              <w:rPr>
                <w:sz w:val="21"/>
              </w:rPr>
            </w:pPr>
            <w:r>
              <w:rPr>
                <w:w w:val="95"/>
                <w:sz w:val="21"/>
              </w:rPr>
              <w:t xml:space="preserve">Vaccine </w:t>
            </w:r>
            <w:r>
              <w:rPr>
                <w:sz w:val="21"/>
              </w:rPr>
              <w:t>Dose*</w:t>
            </w:r>
          </w:p>
        </w:tc>
        <w:tc>
          <w:tcPr>
            <w:tcW w:w="1624" w:type="dxa"/>
          </w:tcPr>
          <w:p w14:paraId="026EC7C6" w14:textId="77777777" w:rsidR="007E6D22" w:rsidRDefault="007E6D22" w:rsidP="00326F87">
            <w:pPr>
              <w:pStyle w:val="TableParagraph"/>
              <w:spacing w:before="4" w:line="223" w:lineRule="auto"/>
              <w:ind w:left="230" w:right="146" w:firstLine="144"/>
              <w:rPr>
                <w:sz w:val="21"/>
              </w:rPr>
            </w:pPr>
            <w:r>
              <w:rPr>
                <w:sz w:val="21"/>
              </w:rPr>
              <w:t>Number of animals (M/F)</w:t>
            </w:r>
          </w:p>
        </w:tc>
        <w:tc>
          <w:tcPr>
            <w:tcW w:w="1336" w:type="dxa"/>
          </w:tcPr>
          <w:p w14:paraId="6EF2A4DC" w14:textId="77777777" w:rsidR="007E6D22" w:rsidRDefault="007E6D22" w:rsidP="00326F87">
            <w:pPr>
              <w:pStyle w:val="TableParagraph"/>
              <w:spacing w:before="4" w:line="223" w:lineRule="auto"/>
              <w:ind w:left="126" w:firstLine="48"/>
              <w:rPr>
                <w:sz w:val="21"/>
              </w:rPr>
            </w:pPr>
            <w:r>
              <w:rPr>
                <w:sz w:val="21"/>
              </w:rPr>
              <w:t>Vaccination Study Day(s)</w:t>
            </w:r>
          </w:p>
        </w:tc>
        <w:tc>
          <w:tcPr>
            <w:tcW w:w="1296" w:type="dxa"/>
          </w:tcPr>
          <w:p w14:paraId="6DAB7306" w14:textId="77777777" w:rsidR="007E6D22" w:rsidRDefault="007E6D22" w:rsidP="00326F87">
            <w:pPr>
              <w:pStyle w:val="TableParagraph"/>
              <w:spacing w:before="4" w:line="223" w:lineRule="auto"/>
              <w:ind w:left="406" w:hanging="192"/>
              <w:rPr>
                <w:sz w:val="21"/>
              </w:rPr>
            </w:pPr>
            <w:r>
              <w:rPr>
                <w:sz w:val="21"/>
              </w:rPr>
              <w:t>Challenge Da y^</w:t>
            </w:r>
          </w:p>
        </w:tc>
        <w:tc>
          <w:tcPr>
            <w:tcW w:w="1232" w:type="dxa"/>
          </w:tcPr>
          <w:p w14:paraId="65689BB2" w14:textId="77777777" w:rsidR="007E6D22" w:rsidRDefault="007E6D22" w:rsidP="00326F87">
            <w:pPr>
              <w:pStyle w:val="TableParagraph"/>
              <w:spacing w:before="4" w:line="223" w:lineRule="auto"/>
              <w:ind w:left="438" w:right="146" w:hanging="256"/>
              <w:rPr>
                <w:sz w:val="21"/>
              </w:rPr>
            </w:pPr>
            <w:r>
              <w:rPr>
                <w:sz w:val="21"/>
              </w:rPr>
              <w:t>End of In- Life</w:t>
            </w:r>
          </w:p>
        </w:tc>
      </w:tr>
      <w:tr w:rsidR="007E6D22" w14:paraId="5E123414" w14:textId="77777777" w:rsidTr="0071149A">
        <w:trPr>
          <w:trHeight w:val="220"/>
        </w:trPr>
        <w:tc>
          <w:tcPr>
            <w:tcW w:w="1320" w:type="dxa"/>
            <w:vMerge w:val="restart"/>
          </w:tcPr>
          <w:p w14:paraId="5A3D4A7E" w14:textId="77777777" w:rsidR="007E6D22" w:rsidRDefault="007E6D22" w:rsidP="00326F87">
            <w:pPr>
              <w:pStyle w:val="TableParagraph"/>
              <w:rPr>
                <w:b/>
              </w:rPr>
            </w:pPr>
          </w:p>
          <w:p w14:paraId="7C5FA8B3" w14:textId="77777777" w:rsidR="007E6D22" w:rsidRDefault="007E6D22" w:rsidP="00326F87">
            <w:pPr>
              <w:pStyle w:val="TableParagraph"/>
              <w:spacing w:before="5"/>
              <w:rPr>
                <w:b/>
                <w:sz w:val="17"/>
              </w:rPr>
            </w:pPr>
          </w:p>
          <w:p w14:paraId="7CD7CE90" w14:textId="77777777" w:rsidR="007E6D22" w:rsidRDefault="007E6D22" w:rsidP="00326F87">
            <w:pPr>
              <w:pStyle w:val="TableParagraph"/>
              <w:ind w:left="278"/>
              <w:rPr>
                <w:sz w:val="21"/>
              </w:rPr>
            </w:pPr>
            <w:r>
              <w:rPr>
                <w:sz w:val="21"/>
              </w:rPr>
              <w:t>Moderna</w:t>
            </w:r>
          </w:p>
        </w:tc>
        <w:tc>
          <w:tcPr>
            <w:tcW w:w="1256" w:type="dxa"/>
          </w:tcPr>
          <w:p w14:paraId="7E1C6E1C" w14:textId="77777777" w:rsidR="007E6D22" w:rsidRDefault="007E6D22" w:rsidP="00326F87">
            <w:pPr>
              <w:pStyle w:val="TableParagraph"/>
              <w:spacing w:line="200" w:lineRule="exact"/>
              <w:ind w:left="314" w:right="329"/>
              <w:jc w:val="center"/>
              <w:rPr>
                <w:sz w:val="21"/>
              </w:rPr>
            </w:pPr>
            <w:r>
              <w:rPr>
                <w:sz w:val="21"/>
              </w:rPr>
              <w:t>1A</w:t>
            </w:r>
          </w:p>
        </w:tc>
        <w:tc>
          <w:tcPr>
            <w:tcW w:w="928" w:type="dxa"/>
          </w:tcPr>
          <w:p w14:paraId="23B9157F" w14:textId="77777777" w:rsidR="007E6D22" w:rsidRDefault="007E6D22" w:rsidP="00326F87">
            <w:pPr>
              <w:pStyle w:val="TableParagraph"/>
              <w:spacing w:line="200" w:lineRule="exact"/>
              <w:ind w:left="74" w:right="52"/>
              <w:jc w:val="center"/>
              <w:rPr>
                <w:sz w:val="21"/>
              </w:rPr>
            </w:pPr>
            <w:r>
              <w:rPr>
                <w:sz w:val="21"/>
              </w:rPr>
              <w:t>Dose 1A</w:t>
            </w:r>
          </w:p>
        </w:tc>
        <w:tc>
          <w:tcPr>
            <w:tcW w:w="1624" w:type="dxa"/>
          </w:tcPr>
          <w:p w14:paraId="0E7A5D37" w14:textId="77777777" w:rsidR="007E6D22" w:rsidRDefault="007E6D22" w:rsidP="00326F87">
            <w:pPr>
              <w:pStyle w:val="TableParagraph"/>
              <w:spacing w:line="200" w:lineRule="exact"/>
              <w:ind w:right="486"/>
              <w:jc w:val="right"/>
              <w:rPr>
                <w:sz w:val="21"/>
              </w:rPr>
            </w:pPr>
            <w:r>
              <w:rPr>
                <w:sz w:val="21"/>
              </w:rPr>
              <w:t>6 (3/3)</w:t>
            </w:r>
          </w:p>
        </w:tc>
        <w:tc>
          <w:tcPr>
            <w:tcW w:w="1336" w:type="dxa"/>
            <w:vMerge w:val="restart"/>
          </w:tcPr>
          <w:p w14:paraId="0756C3AD" w14:textId="77777777" w:rsidR="007E6D22" w:rsidRDefault="007E6D22" w:rsidP="00326F87">
            <w:pPr>
              <w:pStyle w:val="TableParagraph"/>
              <w:rPr>
                <w:b/>
              </w:rPr>
            </w:pPr>
          </w:p>
          <w:p w14:paraId="269D7C45" w14:textId="77777777" w:rsidR="007E6D22" w:rsidRDefault="007E6D22" w:rsidP="00326F87">
            <w:pPr>
              <w:pStyle w:val="TableParagraph"/>
              <w:spacing w:before="5"/>
              <w:rPr>
                <w:b/>
                <w:sz w:val="17"/>
              </w:rPr>
            </w:pPr>
          </w:p>
          <w:p w14:paraId="02B5344B" w14:textId="77777777" w:rsidR="007E6D22" w:rsidRDefault="007E6D22" w:rsidP="00326F87">
            <w:pPr>
              <w:pStyle w:val="TableParagraph"/>
              <w:ind w:left="462"/>
              <w:rPr>
                <w:sz w:val="21"/>
              </w:rPr>
            </w:pPr>
            <w:r>
              <w:rPr>
                <w:sz w:val="21"/>
              </w:rPr>
              <w:t>0, 28</w:t>
            </w:r>
          </w:p>
        </w:tc>
        <w:tc>
          <w:tcPr>
            <w:tcW w:w="1296" w:type="dxa"/>
            <w:vMerge w:val="restart"/>
          </w:tcPr>
          <w:p w14:paraId="7CA3D0D2" w14:textId="77777777" w:rsidR="007E6D22" w:rsidRDefault="007E6D22" w:rsidP="00326F87">
            <w:pPr>
              <w:pStyle w:val="TableParagraph"/>
              <w:rPr>
                <w:b/>
              </w:rPr>
            </w:pPr>
          </w:p>
          <w:p w14:paraId="338F159B" w14:textId="77777777" w:rsidR="007E6D22" w:rsidRDefault="007E6D22" w:rsidP="00326F87">
            <w:pPr>
              <w:pStyle w:val="TableParagraph"/>
              <w:spacing w:before="5"/>
              <w:rPr>
                <w:b/>
                <w:sz w:val="17"/>
              </w:rPr>
            </w:pPr>
          </w:p>
          <w:p w14:paraId="133CBBE5" w14:textId="77777777" w:rsidR="007E6D22" w:rsidRDefault="007E6D22" w:rsidP="00326F87">
            <w:pPr>
              <w:pStyle w:val="TableParagraph"/>
              <w:ind w:left="516" w:right="509"/>
              <w:jc w:val="center"/>
              <w:rPr>
                <w:sz w:val="21"/>
              </w:rPr>
            </w:pPr>
            <w:r>
              <w:rPr>
                <w:sz w:val="21"/>
              </w:rPr>
              <w:t>56</w:t>
            </w:r>
          </w:p>
        </w:tc>
        <w:tc>
          <w:tcPr>
            <w:tcW w:w="1232" w:type="dxa"/>
            <w:vMerge w:val="restart"/>
          </w:tcPr>
          <w:p w14:paraId="1C00F8D7" w14:textId="77777777" w:rsidR="007E6D22" w:rsidRDefault="007E6D22" w:rsidP="00326F87">
            <w:pPr>
              <w:pStyle w:val="TableParagraph"/>
              <w:rPr>
                <w:b/>
              </w:rPr>
            </w:pPr>
          </w:p>
          <w:p w14:paraId="6C570FDE" w14:textId="77777777" w:rsidR="007E6D22" w:rsidRDefault="007E6D22" w:rsidP="00326F87">
            <w:pPr>
              <w:pStyle w:val="TableParagraph"/>
              <w:spacing w:before="5"/>
              <w:rPr>
                <w:b/>
                <w:sz w:val="17"/>
              </w:rPr>
            </w:pPr>
          </w:p>
          <w:p w14:paraId="6308A797" w14:textId="77777777" w:rsidR="007E6D22" w:rsidRDefault="007E6D22" w:rsidP="00326F87">
            <w:pPr>
              <w:pStyle w:val="TableParagraph"/>
              <w:ind w:left="43" w:right="36"/>
              <w:jc w:val="center"/>
              <w:rPr>
                <w:sz w:val="21"/>
              </w:rPr>
            </w:pPr>
            <w:r>
              <w:rPr>
                <w:sz w:val="21"/>
              </w:rPr>
              <w:t>70</w:t>
            </w:r>
          </w:p>
        </w:tc>
      </w:tr>
      <w:tr w:rsidR="007E6D22" w14:paraId="0C7DAF5A" w14:textId="77777777" w:rsidTr="0071149A">
        <w:trPr>
          <w:trHeight w:val="219"/>
        </w:trPr>
        <w:tc>
          <w:tcPr>
            <w:tcW w:w="1320" w:type="dxa"/>
            <w:vMerge/>
            <w:tcBorders>
              <w:top w:val="nil"/>
            </w:tcBorders>
          </w:tcPr>
          <w:p w14:paraId="7B64D681" w14:textId="77777777" w:rsidR="007E6D22" w:rsidRDefault="007E6D22" w:rsidP="00326F87">
            <w:pPr>
              <w:rPr>
                <w:sz w:val="2"/>
                <w:szCs w:val="2"/>
              </w:rPr>
            </w:pPr>
          </w:p>
        </w:tc>
        <w:tc>
          <w:tcPr>
            <w:tcW w:w="1256" w:type="dxa"/>
          </w:tcPr>
          <w:p w14:paraId="6685FAA3" w14:textId="77777777" w:rsidR="007E6D22" w:rsidRDefault="007E6D22" w:rsidP="00326F87">
            <w:pPr>
              <w:pStyle w:val="TableParagraph"/>
              <w:spacing w:line="200" w:lineRule="exact"/>
              <w:ind w:left="314" w:right="341"/>
              <w:jc w:val="center"/>
              <w:rPr>
                <w:sz w:val="21"/>
              </w:rPr>
            </w:pPr>
            <w:r>
              <w:rPr>
                <w:sz w:val="21"/>
              </w:rPr>
              <w:t>1B</w:t>
            </w:r>
          </w:p>
        </w:tc>
        <w:tc>
          <w:tcPr>
            <w:tcW w:w="928" w:type="dxa"/>
          </w:tcPr>
          <w:p w14:paraId="3CED2F15" w14:textId="77777777" w:rsidR="007E6D22" w:rsidRDefault="007E6D22" w:rsidP="00326F87">
            <w:pPr>
              <w:pStyle w:val="TableParagraph"/>
              <w:spacing w:line="200" w:lineRule="exact"/>
              <w:ind w:left="62" w:right="52"/>
              <w:jc w:val="center"/>
              <w:rPr>
                <w:sz w:val="21"/>
              </w:rPr>
            </w:pPr>
            <w:r>
              <w:rPr>
                <w:sz w:val="21"/>
              </w:rPr>
              <w:t>Dose 1B</w:t>
            </w:r>
          </w:p>
        </w:tc>
        <w:tc>
          <w:tcPr>
            <w:tcW w:w="1624" w:type="dxa"/>
          </w:tcPr>
          <w:p w14:paraId="723419BC" w14:textId="77777777" w:rsidR="007E6D22" w:rsidRDefault="007E6D22" w:rsidP="00326F87">
            <w:pPr>
              <w:pStyle w:val="TableParagraph"/>
              <w:spacing w:line="200" w:lineRule="exact"/>
              <w:ind w:right="486"/>
              <w:jc w:val="right"/>
              <w:rPr>
                <w:sz w:val="21"/>
              </w:rPr>
            </w:pPr>
            <w:r>
              <w:rPr>
                <w:sz w:val="21"/>
              </w:rPr>
              <w:t>6 (3/3)</w:t>
            </w:r>
          </w:p>
        </w:tc>
        <w:tc>
          <w:tcPr>
            <w:tcW w:w="1336" w:type="dxa"/>
            <w:vMerge/>
            <w:tcBorders>
              <w:top w:val="nil"/>
            </w:tcBorders>
          </w:tcPr>
          <w:p w14:paraId="53CC2AB8" w14:textId="77777777" w:rsidR="007E6D22" w:rsidRDefault="007E6D22" w:rsidP="00326F87">
            <w:pPr>
              <w:rPr>
                <w:sz w:val="2"/>
                <w:szCs w:val="2"/>
              </w:rPr>
            </w:pPr>
          </w:p>
        </w:tc>
        <w:tc>
          <w:tcPr>
            <w:tcW w:w="1296" w:type="dxa"/>
            <w:vMerge/>
            <w:tcBorders>
              <w:top w:val="nil"/>
            </w:tcBorders>
          </w:tcPr>
          <w:p w14:paraId="5A8FC48F" w14:textId="77777777" w:rsidR="007E6D22" w:rsidRDefault="007E6D22" w:rsidP="00326F87">
            <w:pPr>
              <w:rPr>
                <w:sz w:val="2"/>
                <w:szCs w:val="2"/>
              </w:rPr>
            </w:pPr>
          </w:p>
        </w:tc>
        <w:tc>
          <w:tcPr>
            <w:tcW w:w="1232" w:type="dxa"/>
            <w:vMerge/>
            <w:tcBorders>
              <w:top w:val="nil"/>
            </w:tcBorders>
          </w:tcPr>
          <w:p w14:paraId="58749B7B" w14:textId="77777777" w:rsidR="007E6D22" w:rsidRDefault="007E6D22" w:rsidP="00326F87">
            <w:pPr>
              <w:rPr>
                <w:sz w:val="2"/>
                <w:szCs w:val="2"/>
              </w:rPr>
            </w:pPr>
          </w:p>
        </w:tc>
      </w:tr>
      <w:tr w:rsidR="007E6D22" w14:paraId="6F27E39C" w14:textId="77777777" w:rsidTr="0071149A">
        <w:trPr>
          <w:trHeight w:val="220"/>
        </w:trPr>
        <w:tc>
          <w:tcPr>
            <w:tcW w:w="1320" w:type="dxa"/>
            <w:vMerge/>
            <w:tcBorders>
              <w:top w:val="nil"/>
            </w:tcBorders>
          </w:tcPr>
          <w:p w14:paraId="4CBCD83A" w14:textId="77777777" w:rsidR="007E6D22" w:rsidRDefault="007E6D22" w:rsidP="00326F87">
            <w:pPr>
              <w:rPr>
                <w:sz w:val="2"/>
                <w:szCs w:val="2"/>
              </w:rPr>
            </w:pPr>
          </w:p>
        </w:tc>
        <w:tc>
          <w:tcPr>
            <w:tcW w:w="1256" w:type="dxa"/>
          </w:tcPr>
          <w:p w14:paraId="03BFFC52" w14:textId="77777777" w:rsidR="007E6D22" w:rsidRDefault="007E6D22" w:rsidP="00326F87">
            <w:pPr>
              <w:pStyle w:val="TableParagraph"/>
              <w:spacing w:line="200" w:lineRule="exact"/>
              <w:ind w:left="314" w:right="341"/>
              <w:jc w:val="center"/>
              <w:rPr>
                <w:sz w:val="21"/>
              </w:rPr>
            </w:pPr>
            <w:r>
              <w:rPr>
                <w:sz w:val="21"/>
              </w:rPr>
              <w:t>1C</w:t>
            </w:r>
          </w:p>
        </w:tc>
        <w:tc>
          <w:tcPr>
            <w:tcW w:w="928" w:type="dxa"/>
          </w:tcPr>
          <w:p w14:paraId="773F81B2" w14:textId="77777777" w:rsidR="007E6D22" w:rsidRDefault="007E6D22" w:rsidP="00326F87">
            <w:pPr>
              <w:pStyle w:val="TableParagraph"/>
              <w:spacing w:line="200" w:lineRule="exact"/>
              <w:ind w:left="62" w:right="52"/>
              <w:jc w:val="center"/>
              <w:rPr>
                <w:sz w:val="21"/>
              </w:rPr>
            </w:pPr>
            <w:r>
              <w:rPr>
                <w:sz w:val="21"/>
              </w:rPr>
              <w:t>Dose 1C</w:t>
            </w:r>
          </w:p>
        </w:tc>
        <w:tc>
          <w:tcPr>
            <w:tcW w:w="1624" w:type="dxa"/>
          </w:tcPr>
          <w:p w14:paraId="5A5F7470" w14:textId="77777777" w:rsidR="007E6D22" w:rsidRDefault="007E6D22" w:rsidP="00326F87">
            <w:pPr>
              <w:pStyle w:val="TableParagraph"/>
              <w:spacing w:line="200" w:lineRule="exact"/>
              <w:ind w:right="486"/>
              <w:jc w:val="right"/>
              <w:rPr>
                <w:sz w:val="21"/>
              </w:rPr>
            </w:pPr>
            <w:r>
              <w:rPr>
                <w:sz w:val="21"/>
              </w:rPr>
              <w:t>5 (3/2)</w:t>
            </w:r>
          </w:p>
        </w:tc>
        <w:tc>
          <w:tcPr>
            <w:tcW w:w="1336" w:type="dxa"/>
            <w:vMerge/>
            <w:tcBorders>
              <w:top w:val="nil"/>
            </w:tcBorders>
          </w:tcPr>
          <w:p w14:paraId="1B02C063" w14:textId="77777777" w:rsidR="007E6D22" w:rsidRDefault="007E6D22" w:rsidP="00326F87">
            <w:pPr>
              <w:rPr>
                <w:sz w:val="2"/>
                <w:szCs w:val="2"/>
              </w:rPr>
            </w:pPr>
          </w:p>
        </w:tc>
        <w:tc>
          <w:tcPr>
            <w:tcW w:w="1296" w:type="dxa"/>
            <w:vMerge/>
            <w:tcBorders>
              <w:top w:val="nil"/>
            </w:tcBorders>
          </w:tcPr>
          <w:p w14:paraId="539B4552" w14:textId="77777777" w:rsidR="007E6D22" w:rsidRDefault="007E6D22" w:rsidP="00326F87">
            <w:pPr>
              <w:rPr>
                <w:sz w:val="2"/>
                <w:szCs w:val="2"/>
              </w:rPr>
            </w:pPr>
          </w:p>
        </w:tc>
        <w:tc>
          <w:tcPr>
            <w:tcW w:w="1232" w:type="dxa"/>
            <w:vMerge/>
            <w:tcBorders>
              <w:top w:val="nil"/>
            </w:tcBorders>
          </w:tcPr>
          <w:p w14:paraId="06BF2CD7" w14:textId="77777777" w:rsidR="007E6D22" w:rsidRDefault="007E6D22" w:rsidP="00326F87">
            <w:pPr>
              <w:rPr>
                <w:sz w:val="2"/>
                <w:szCs w:val="2"/>
              </w:rPr>
            </w:pPr>
          </w:p>
        </w:tc>
      </w:tr>
      <w:tr w:rsidR="007E6D22" w14:paraId="7F2F4DFF" w14:textId="77777777" w:rsidTr="0071149A">
        <w:trPr>
          <w:trHeight w:val="220"/>
        </w:trPr>
        <w:tc>
          <w:tcPr>
            <w:tcW w:w="1320" w:type="dxa"/>
            <w:vMerge/>
            <w:tcBorders>
              <w:top w:val="nil"/>
            </w:tcBorders>
          </w:tcPr>
          <w:p w14:paraId="6853B7A7" w14:textId="77777777" w:rsidR="007E6D22" w:rsidRDefault="007E6D22" w:rsidP="00326F87">
            <w:pPr>
              <w:rPr>
                <w:sz w:val="2"/>
                <w:szCs w:val="2"/>
              </w:rPr>
            </w:pPr>
          </w:p>
        </w:tc>
        <w:tc>
          <w:tcPr>
            <w:tcW w:w="1256" w:type="dxa"/>
          </w:tcPr>
          <w:p w14:paraId="6EB975BB" w14:textId="77777777" w:rsidR="007E6D22" w:rsidRDefault="007E6D22" w:rsidP="00326F87">
            <w:pPr>
              <w:pStyle w:val="TableParagraph"/>
              <w:spacing w:line="200" w:lineRule="exact"/>
              <w:ind w:left="314" w:right="329"/>
              <w:jc w:val="center"/>
              <w:rPr>
                <w:sz w:val="21"/>
              </w:rPr>
            </w:pPr>
            <w:r>
              <w:rPr>
                <w:sz w:val="21"/>
              </w:rPr>
              <w:t>1D</w:t>
            </w:r>
          </w:p>
        </w:tc>
        <w:tc>
          <w:tcPr>
            <w:tcW w:w="928" w:type="dxa"/>
          </w:tcPr>
          <w:p w14:paraId="5BE66EA2" w14:textId="77777777" w:rsidR="007E6D22" w:rsidRDefault="007E6D22" w:rsidP="00326F87">
            <w:pPr>
              <w:pStyle w:val="TableParagraph"/>
              <w:spacing w:line="200" w:lineRule="exact"/>
              <w:ind w:left="74" w:right="52"/>
              <w:jc w:val="center"/>
              <w:rPr>
                <w:sz w:val="21"/>
              </w:rPr>
            </w:pPr>
            <w:r>
              <w:rPr>
                <w:sz w:val="21"/>
              </w:rPr>
              <w:t>Dose 1D</w:t>
            </w:r>
          </w:p>
        </w:tc>
        <w:tc>
          <w:tcPr>
            <w:tcW w:w="1624" w:type="dxa"/>
          </w:tcPr>
          <w:p w14:paraId="322F25AD" w14:textId="77777777" w:rsidR="007E6D22" w:rsidRDefault="007E6D22" w:rsidP="00326F87">
            <w:pPr>
              <w:pStyle w:val="TableParagraph"/>
              <w:spacing w:line="200" w:lineRule="exact"/>
              <w:ind w:right="486"/>
              <w:jc w:val="right"/>
              <w:rPr>
                <w:sz w:val="21"/>
              </w:rPr>
            </w:pPr>
            <w:r>
              <w:rPr>
                <w:sz w:val="21"/>
              </w:rPr>
              <w:t>5 (2/3)</w:t>
            </w:r>
          </w:p>
        </w:tc>
        <w:tc>
          <w:tcPr>
            <w:tcW w:w="1336" w:type="dxa"/>
            <w:vMerge/>
            <w:tcBorders>
              <w:top w:val="nil"/>
            </w:tcBorders>
          </w:tcPr>
          <w:p w14:paraId="55C53C1B" w14:textId="77777777" w:rsidR="007E6D22" w:rsidRDefault="007E6D22" w:rsidP="00326F87">
            <w:pPr>
              <w:rPr>
                <w:sz w:val="2"/>
                <w:szCs w:val="2"/>
              </w:rPr>
            </w:pPr>
          </w:p>
        </w:tc>
        <w:tc>
          <w:tcPr>
            <w:tcW w:w="1296" w:type="dxa"/>
            <w:vMerge/>
            <w:tcBorders>
              <w:top w:val="nil"/>
            </w:tcBorders>
          </w:tcPr>
          <w:p w14:paraId="0A9FC4FC" w14:textId="77777777" w:rsidR="007E6D22" w:rsidRDefault="007E6D22" w:rsidP="00326F87">
            <w:pPr>
              <w:rPr>
                <w:sz w:val="2"/>
                <w:szCs w:val="2"/>
              </w:rPr>
            </w:pPr>
          </w:p>
        </w:tc>
        <w:tc>
          <w:tcPr>
            <w:tcW w:w="1232" w:type="dxa"/>
            <w:vMerge/>
            <w:tcBorders>
              <w:top w:val="nil"/>
            </w:tcBorders>
          </w:tcPr>
          <w:p w14:paraId="2E549D9D" w14:textId="77777777" w:rsidR="007E6D22" w:rsidRDefault="007E6D22" w:rsidP="00326F87">
            <w:pPr>
              <w:rPr>
                <w:sz w:val="2"/>
                <w:szCs w:val="2"/>
              </w:rPr>
            </w:pPr>
          </w:p>
        </w:tc>
      </w:tr>
      <w:tr w:rsidR="007E6D22" w14:paraId="6A3CEDD0" w14:textId="77777777" w:rsidTr="0071149A">
        <w:trPr>
          <w:trHeight w:val="219"/>
        </w:trPr>
        <w:tc>
          <w:tcPr>
            <w:tcW w:w="1320" w:type="dxa"/>
            <w:vMerge/>
            <w:tcBorders>
              <w:top w:val="nil"/>
            </w:tcBorders>
          </w:tcPr>
          <w:p w14:paraId="54D03828" w14:textId="77777777" w:rsidR="007E6D22" w:rsidRDefault="007E6D22" w:rsidP="00326F87">
            <w:pPr>
              <w:rPr>
                <w:sz w:val="2"/>
                <w:szCs w:val="2"/>
              </w:rPr>
            </w:pPr>
          </w:p>
        </w:tc>
        <w:tc>
          <w:tcPr>
            <w:tcW w:w="1256" w:type="dxa"/>
          </w:tcPr>
          <w:p w14:paraId="53072E92" w14:textId="77777777" w:rsidR="007E6D22" w:rsidRDefault="007E6D22" w:rsidP="00326F87">
            <w:pPr>
              <w:pStyle w:val="TableParagraph"/>
              <w:spacing w:line="200" w:lineRule="exact"/>
              <w:ind w:left="314" w:right="320"/>
              <w:jc w:val="center"/>
              <w:rPr>
                <w:sz w:val="21"/>
              </w:rPr>
            </w:pPr>
            <w:r>
              <w:rPr>
                <w:sz w:val="21"/>
              </w:rPr>
              <w:t>1E</w:t>
            </w:r>
          </w:p>
        </w:tc>
        <w:tc>
          <w:tcPr>
            <w:tcW w:w="928" w:type="dxa"/>
          </w:tcPr>
          <w:p w14:paraId="55928149" w14:textId="77777777" w:rsidR="007E6D22" w:rsidRDefault="007E6D22" w:rsidP="00326F87">
            <w:pPr>
              <w:pStyle w:val="TableParagraph"/>
              <w:spacing w:line="200" w:lineRule="exact"/>
              <w:ind w:left="52" w:right="52"/>
              <w:jc w:val="center"/>
              <w:rPr>
                <w:sz w:val="21"/>
              </w:rPr>
            </w:pPr>
            <w:r>
              <w:rPr>
                <w:sz w:val="21"/>
              </w:rPr>
              <w:t>Dose 1E</w:t>
            </w:r>
          </w:p>
        </w:tc>
        <w:tc>
          <w:tcPr>
            <w:tcW w:w="1624" w:type="dxa"/>
          </w:tcPr>
          <w:p w14:paraId="7076BD16" w14:textId="77777777" w:rsidR="007E6D22" w:rsidRDefault="007E6D22" w:rsidP="00326F87">
            <w:pPr>
              <w:pStyle w:val="TableParagraph"/>
              <w:spacing w:line="200" w:lineRule="exact"/>
              <w:ind w:right="486"/>
              <w:jc w:val="right"/>
              <w:rPr>
                <w:sz w:val="21"/>
              </w:rPr>
            </w:pPr>
            <w:r>
              <w:rPr>
                <w:sz w:val="21"/>
              </w:rPr>
              <w:t>4 (2/2)</w:t>
            </w:r>
          </w:p>
        </w:tc>
        <w:tc>
          <w:tcPr>
            <w:tcW w:w="1336" w:type="dxa"/>
            <w:vMerge/>
            <w:tcBorders>
              <w:top w:val="nil"/>
            </w:tcBorders>
          </w:tcPr>
          <w:p w14:paraId="1640E098" w14:textId="77777777" w:rsidR="007E6D22" w:rsidRDefault="007E6D22" w:rsidP="00326F87">
            <w:pPr>
              <w:rPr>
                <w:sz w:val="2"/>
                <w:szCs w:val="2"/>
              </w:rPr>
            </w:pPr>
          </w:p>
        </w:tc>
        <w:tc>
          <w:tcPr>
            <w:tcW w:w="1296" w:type="dxa"/>
            <w:vMerge/>
            <w:tcBorders>
              <w:top w:val="nil"/>
            </w:tcBorders>
          </w:tcPr>
          <w:p w14:paraId="51F4D466" w14:textId="77777777" w:rsidR="007E6D22" w:rsidRDefault="007E6D22" w:rsidP="00326F87">
            <w:pPr>
              <w:rPr>
                <w:sz w:val="2"/>
                <w:szCs w:val="2"/>
              </w:rPr>
            </w:pPr>
          </w:p>
        </w:tc>
        <w:tc>
          <w:tcPr>
            <w:tcW w:w="1232" w:type="dxa"/>
            <w:vMerge/>
            <w:tcBorders>
              <w:top w:val="nil"/>
            </w:tcBorders>
          </w:tcPr>
          <w:p w14:paraId="38853B33" w14:textId="77777777" w:rsidR="007E6D22" w:rsidRDefault="007E6D22" w:rsidP="00326F87">
            <w:pPr>
              <w:rPr>
                <w:sz w:val="2"/>
                <w:szCs w:val="2"/>
              </w:rPr>
            </w:pPr>
          </w:p>
        </w:tc>
      </w:tr>
      <w:tr w:rsidR="007E6D22" w14:paraId="488AF71F" w14:textId="77777777" w:rsidTr="0071149A">
        <w:trPr>
          <w:trHeight w:val="220"/>
        </w:trPr>
        <w:tc>
          <w:tcPr>
            <w:tcW w:w="1320" w:type="dxa"/>
            <w:vMerge w:val="restart"/>
          </w:tcPr>
          <w:p w14:paraId="3E7C400B" w14:textId="77777777" w:rsidR="007E6D22" w:rsidRDefault="007E6D22" w:rsidP="00326F87">
            <w:pPr>
              <w:pStyle w:val="TableParagraph"/>
              <w:rPr>
                <w:b/>
              </w:rPr>
            </w:pPr>
          </w:p>
          <w:p w14:paraId="3FB1CD06" w14:textId="77777777" w:rsidR="007E6D22" w:rsidRDefault="007E6D22" w:rsidP="00326F87">
            <w:pPr>
              <w:pStyle w:val="TableParagraph"/>
              <w:spacing w:before="2"/>
              <w:rPr>
                <w:b/>
                <w:sz w:val="27"/>
              </w:rPr>
            </w:pPr>
          </w:p>
          <w:p w14:paraId="23132FA8" w14:textId="48D91F35" w:rsidR="007E6D22" w:rsidRDefault="007E6D22" w:rsidP="00326F87">
            <w:pPr>
              <w:pStyle w:val="TableParagraph"/>
              <w:ind w:left="326"/>
              <w:rPr>
                <w:sz w:val="21"/>
              </w:rPr>
            </w:pPr>
            <w:r>
              <w:rPr>
                <w:sz w:val="21"/>
              </w:rPr>
              <w:t>Janssen</w:t>
            </w:r>
          </w:p>
        </w:tc>
        <w:tc>
          <w:tcPr>
            <w:tcW w:w="1256" w:type="dxa"/>
          </w:tcPr>
          <w:p w14:paraId="3217F6A8" w14:textId="77777777" w:rsidR="007E6D22" w:rsidRDefault="007E6D22" w:rsidP="00326F87">
            <w:pPr>
              <w:pStyle w:val="TableParagraph"/>
              <w:spacing w:line="200" w:lineRule="exact"/>
              <w:ind w:left="314" w:right="329"/>
              <w:jc w:val="center"/>
              <w:rPr>
                <w:sz w:val="21"/>
              </w:rPr>
            </w:pPr>
            <w:r>
              <w:rPr>
                <w:sz w:val="21"/>
              </w:rPr>
              <w:t>2A</w:t>
            </w:r>
          </w:p>
        </w:tc>
        <w:tc>
          <w:tcPr>
            <w:tcW w:w="928" w:type="dxa"/>
          </w:tcPr>
          <w:p w14:paraId="5C5E4E77" w14:textId="77777777" w:rsidR="007E6D22" w:rsidRDefault="007E6D22" w:rsidP="00326F87">
            <w:pPr>
              <w:pStyle w:val="TableParagraph"/>
              <w:spacing w:line="200" w:lineRule="exact"/>
              <w:ind w:left="74" w:right="52"/>
              <w:jc w:val="center"/>
              <w:rPr>
                <w:sz w:val="21"/>
              </w:rPr>
            </w:pPr>
            <w:r>
              <w:rPr>
                <w:sz w:val="21"/>
              </w:rPr>
              <w:t>Dose 2A</w:t>
            </w:r>
          </w:p>
        </w:tc>
        <w:tc>
          <w:tcPr>
            <w:tcW w:w="1624" w:type="dxa"/>
          </w:tcPr>
          <w:p w14:paraId="28F5175B" w14:textId="77777777" w:rsidR="007E6D22" w:rsidRDefault="007E6D22" w:rsidP="00326F87">
            <w:pPr>
              <w:pStyle w:val="TableParagraph"/>
              <w:spacing w:line="200" w:lineRule="exact"/>
              <w:ind w:right="486"/>
              <w:jc w:val="right"/>
              <w:rPr>
                <w:sz w:val="21"/>
              </w:rPr>
            </w:pPr>
            <w:r>
              <w:rPr>
                <w:sz w:val="21"/>
              </w:rPr>
              <w:t>6 (3/3)</w:t>
            </w:r>
          </w:p>
        </w:tc>
        <w:tc>
          <w:tcPr>
            <w:tcW w:w="1336" w:type="dxa"/>
            <w:vMerge w:val="restart"/>
          </w:tcPr>
          <w:p w14:paraId="5D8DB5A7" w14:textId="77777777" w:rsidR="007E6D22" w:rsidRDefault="007E6D22" w:rsidP="00326F87">
            <w:pPr>
              <w:pStyle w:val="TableParagraph"/>
              <w:spacing w:before="4"/>
              <w:rPr>
                <w:b/>
                <w:sz w:val="28"/>
              </w:rPr>
            </w:pPr>
          </w:p>
          <w:p w14:paraId="207EBF55" w14:textId="77777777" w:rsidR="007E6D22" w:rsidRDefault="007E6D22" w:rsidP="00326F87">
            <w:pPr>
              <w:pStyle w:val="TableParagraph"/>
              <w:ind w:left="32"/>
              <w:jc w:val="center"/>
              <w:rPr>
                <w:sz w:val="21"/>
              </w:rPr>
            </w:pPr>
            <w:r>
              <w:rPr>
                <w:w w:val="99"/>
                <w:sz w:val="21"/>
              </w:rPr>
              <w:t>0</w:t>
            </w:r>
          </w:p>
        </w:tc>
        <w:tc>
          <w:tcPr>
            <w:tcW w:w="1296" w:type="dxa"/>
            <w:vMerge w:val="restart"/>
          </w:tcPr>
          <w:p w14:paraId="397ED66D" w14:textId="77777777" w:rsidR="007E6D22" w:rsidRDefault="007E6D22" w:rsidP="00326F87">
            <w:pPr>
              <w:pStyle w:val="TableParagraph"/>
              <w:spacing w:before="4"/>
              <w:rPr>
                <w:b/>
                <w:sz w:val="28"/>
              </w:rPr>
            </w:pPr>
          </w:p>
          <w:p w14:paraId="51F4F66D" w14:textId="77777777" w:rsidR="007E6D22" w:rsidRDefault="007E6D22" w:rsidP="00326F87">
            <w:pPr>
              <w:pStyle w:val="TableParagraph"/>
              <w:ind w:left="516" w:right="508"/>
              <w:jc w:val="center"/>
              <w:rPr>
                <w:sz w:val="21"/>
              </w:rPr>
            </w:pPr>
            <w:r>
              <w:rPr>
                <w:sz w:val="21"/>
              </w:rPr>
              <w:t>42</w:t>
            </w:r>
          </w:p>
        </w:tc>
        <w:tc>
          <w:tcPr>
            <w:tcW w:w="1232" w:type="dxa"/>
            <w:vMerge w:val="restart"/>
          </w:tcPr>
          <w:p w14:paraId="3D9EA3D7" w14:textId="77777777" w:rsidR="007E6D22" w:rsidRDefault="007E6D22" w:rsidP="00326F87">
            <w:pPr>
              <w:pStyle w:val="TableParagraph"/>
              <w:spacing w:before="4"/>
              <w:rPr>
                <w:b/>
                <w:sz w:val="28"/>
              </w:rPr>
            </w:pPr>
          </w:p>
          <w:p w14:paraId="0A004CB2" w14:textId="77777777" w:rsidR="007E6D22" w:rsidRDefault="007E6D22" w:rsidP="00326F87">
            <w:pPr>
              <w:pStyle w:val="TableParagraph"/>
              <w:ind w:left="43" w:right="35"/>
              <w:jc w:val="center"/>
              <w:rPr>
                <w:sz w:val="21"/>
              </w:rPr>
            </w:pPr>
            <w:r>
              <w:rPr>
                <w:sz w:val="21"/>
              </w:rPr>
              <w:t>56</w:t>
            </w:r>
          </w:p>
        </w:tc>
      </w:tr>
      <w:tr w:rsidR="007E6D22" w14:paraId="64ABFC80" w14:textId="77777777" w:rsidTr="0071149A">
        <w:trPr>
          <w:trHeight w:val="220"/>
        </w:trPr>
        <w:tc>
          <w:tcPr>
            <w:tcW w:w="1320" w:type="dxa"/>
            <w:vMerge/>
            <w:tcBorders>
              <w:top w:val="nil"/>
            </w:tcBorders>
          </w:tcPr>
          <w:p w14:paraId="16372B6B" w14:textId="77777777" w:rsidR="007E6D22" w:rsidRDefault="007E6D22" w:rsidP="00326F87">
            <w:pPr>
              <w:rPr>
                <w:sz w:val="2"/>
                <w:szCs w:val="2"/>
              </w:rPr>
            </w:pPr>
          </w:p>
        </w:tc>
        <w:tc>
          <w:tcPr>
            <w:tcW w:w="1256" w:type="dxa"/>
          </w:tcPr>
          <w:p w14:paraId="5D896277" w14:textId="77777777" w:rsidR="007E6D22" w:rsidRDefault="007E6D22" w:rsidP="00326F87">
            <w:pPr>
              <w:pStyle w:val="TableParagraph"/>
              <w:spacing w:line="200" w:lineRule="exact"/>
              <w:ind w:left="314" w:right="341"/>
              <w:jc w:val="center"/>
              <w:rPr>
                <w:sz w:val="21"/>
              </w:rPr>
            </w:pPr>
            <w:r>
              <w:rPr>
                <w:sz w:val="21"/>
              </w:rPr>
              <w:t>2B</w:t>
            </w:r>
          </w:p>
        </w:tc>
        <w:tc>
          <w:tcPr>
            <w:tcW w:w="928" w:type="dxa"/>
          </w:tcPr>
          <w:p w14:paraId="7A934AB7" w14:textId="77777777" w:rsidR="007E6D22" w:rsidRDefault="007E6D22" w:rsidP="00326F87">
            <w:pPr>
              <w:pStyle w:val="TableParagraph"/>
              <w:spacing w:line="200" w:lineRule="exact"/>
              <w:ind w:left="62" w:right="52"/>
              <w:jc w:val="center"/>
              <w:rPr>
                <w:sz w:val="21"/>
              </w:rPr>
            </w:pPr>
            <w:r>
              <w:rPr>
                <w:sz w:val="21"/>
              </w:rPr>
              <w:t>Dose 2B</w:t>
            </w:r>
          </w:p>
        </w:tc>
        <w:tc>
          <w:tcPr>
            <w:tcW w:w="1624" w:type="dxa"/>
          </w:tcPr>
          <w:p w14:paraId="7FA6465D" w14:textId="77777777" w:rsidR="007E6D22" w:rsidRDefault="007E6D22" w:rsidP="00326F87">
            <w:pPr>
              <w:pStyle w:val="TableParagraph"/>
              <w:spacing w:line="200" w:lineRule="exact"/>
              <w:ind w:right="486"/>
              <w:jc w:val="right"/>
              <w:rPr>
                <w:sz w:val="21"/>
              </w:rPr>
            </w:pPr>
            <w:r>
              <w:rPr>
                <w:sz w:val="21"/>
              </w:rPr>
              <w:t>6 (3/3)</w:t>
            </w:r>
          </w:p>
        </w:tc>
        <w:tc>
          <w:tcPr>
            <w:tcW w:w="1336" w:type="dxa"/>
            <w:vMerge/>
            <w:tcBorders>
              <w:top w:val="nil"/>
            </w:tcBorders>
          </w:tcPr>
          <w:p w14:paraId="28E64F9A" w14:textId="77777777" w:rsidR="007E6D22" w:rsidRDefault="007E6D22" w:rsidP="00326F87">
            <w:pPr>
              <w:rPr>
                <w:sz w:val="2"/>
                <w:szCs w:val="2"/>
              </w:rPr>
            </w:pPr>
          </w:p>
        </w:tc>
        <w:tc>
          <w:tcPr>
            <w:tcW w:w="1296" w:type="dxa"/>
            <w:vMerge/>
            <w:tcBorders>
              <w:top w:val="nil"/>
            </w:tcBorders>
          </w:tcPr>
          <w:p w14:paraId="26889D7D" w14:textId="77777777" w:rsidR="007E6D22" w:rsidRDefault="007E6D22" w:rsidP="00326F87">
            <w:pPr>
              <w:rPr>
                <w:sz w:val="2"/>
                <w:szCs w:val="2"/>
              </w:rPr>
            </w:pPr>
          </w:p>
        </w:tc>
        <w:tc>
          <w:tcPr>
            <w:tcW w:w="1232" w:type="dxa"/>
            <w:vMerge/>
            <w:tcBorders>
              <w:top w:val="nil"/>
            </w:tcBorders>
          </w:tcPr>
          <w:p w14:paraId="620E9661" w14:textId="77777777" w:rsidR="007E6D22" w:rsidRDefault="007E6D22" w:rsidP="00326F87">
            <w:pPr>
              <w:rPr>
                <w:sz w:val="2"/>
                <w:szCs w:val="2"/>
              </w:rPr>
            </w:pPr>
          </w:p>
        </w:tc>
      </w:tr>
      <w:tr w:rsidR="007E6D22" w14:paraId="44D0BC28" w14:textId="77777777" w:rsidTr="0071149A">
        <w:trPr>
          <w:trHeight w:val="219"/>
        </w:trPr>
        <w:tc>
          <w:tcPr>
            <w:tcW w:w="1320" w:type="dxa"/>
            <w:vMerge/>
            <w:tcBorders>
              <w:top w:val="nil"/>
            </w:tcBorders>
          </w:tcPr>
          <w:p w14:paraId="35029E9B" w14:textId="77777777" w:rsidR="007E6D22" w:rsidRDefault="007E6D22" w:rsidP="00326F87">
            <w:pPr>
              <w:rPr>
                <w:sz w:val="2"/>
                <w:szCs w:val="2"/>
              </w:rPr>
            </w:pPr>
          </w:p>
        </w:tc>
        <w:tc>
          <w:tcPr>
            <w:tcW w:w="1256" w:type="dxa"/>
          </w:tcPr>
          <w:p w14:paraId="408B6D8F" w14:textId="77777777" w:rsidR="007E6D22" w:rsidRDefault="007E6D22" w:rsidP="00326F87">
            <w:pPr>
              <w:pStyle w:val="TableParagraph"/>
              <w:spacing w:line="200" w:lineRule="exact"/>
              <w:ind w:left="314" w:right="341"/>
              <w:jc w:val="center"/>
              <w:rPr>
                <w:sz w:val="21"/>
              </w:rPr>
            </w:pPr>
            <w:r>
              <w:rPr>
                <w:sz w:val="21"/>
              </w:rPr>
              <w:t>2C</w:t>
            </w:r>
          </w:p>
        </w:tc>
        <w:tc>
          <w:tcPr>
            <w:tcW w:w="928" w:type="dxa"/>
          </w:tcPr>
          <w:p w14:paraId="3FF6EB34" w14:textId="77777777" w:rsidR="007E6D22" w:rsidRDefault="007E6D22" w:rsidP="00326F87">
            <w:pPr>
              <w:pStyle w:val="TableParagraph"/>
              <w:spacing w:line="200" w:lineRule="exact"/>
              <w:ind w:left="62" w:right="52"/>
              <w:jc w:val="center"/>
              <w:rPr>
                <w:sz w:val="21"/>
              </w:rPr>
            </w:pPr>
            <w:r>
              <w:rPr>
                <w:sz w:val="21"/>
              </w:rPr>
              <w:t>Dose 2C</w:t>
            </w:r>
          </w:p>
        </w:tc>
        <w:tc>
          <w:tcPr>
            <w:tcW w:w="1624" w:type="dxa"/>
          </w:tcPr>
          <w:p w14:paraId="7EAA0513" w14:textId="77777777" w:rsidR="007E6D22" w:rsidRDefault="007E6D22" w:rsidP="00326F87">
            <w:pPr>
              <w:pStyle w:val="TableParagraph"/>
              <w:spacing w:line="200" w:lineRule="exact"/>
              <w:ind w:right="486"/>
              <w:jc w:val="right"/>
              <w:rPr>
                <w:sz w:val="21"/>
              </w:rPr>
            </w:pPr>
            <w:r>
              <w:rPr>
                <w:sz w:val="21"/>
              </w:rPr>
              <w:t>4 (2/2)</w:t>
            </w:r>
          </w:p>
        </w:tc>
        <w:tc>
          <w:tcPr>
            <w:tcW w:w="1336" w:type="dxa"/>
            <w:vMerge/>
            <w:tcBorders>
              <w:top w:val="nil"/>
            </w:tcBorders>
          </w:tcPr>
          <w:p w14:paraId="5B91AC47" w14:textId="77777777" w:rsidR="007E6D22" w:rsidRDefault="007E6D22" w:rsidP="00326F87">
            <w:pPr>
              <w:rPr>
                <w:sz w:val="2"/>
                <w:szCs w:val="2"/>
              </w:rPr>
            </w:pPr>
          </w:p>
        </w:tc>
        <w:tc>
          <w:tcPr>
            <w:tcW w:w="1296" w:type="dxa"/>
            <w:vMerge/>
            <w:tcBorders>
              <w:top w:val="nil"/>
            </w:tcBorders>
          </w:tcPr>
          <w:p w14:paraId="7E8AFBBA" w14:textId="77777777" w:rsidR="007E6D22" w:rsidRDefault="007E6D22" w:rsidP="00326F87">
            <w:pPr>
              <w:rPr>
                <w:sz w:val="2"/>
                <w:szCs w:val="2"/>
              </w:rPr>
            </w:pPr>
          </w:p>
        </w:tc>
        <w:tc>
          <w:tcPr>
            <w:tcW w:w="1232" w:type="dxa"/>
            <w:vMerge/>
            <w:tcBorders>
              <w:top w:val="nil"/>
            </w:tcBorders>
          </w:tcPr>
          <w:p w14:paraId="34E809E7" w14:textId="77777777" w:rsidR="007E6D22" w:rsidRDefault="007E6D22" w:rsidP="00326F87">
            <w:pPr>
              <w:rPr>
                <w:sz w:val="2"/>
                <w:szCs w:val="2"/>
              </w:rPr>
            </w:pPr>
          </w:p>
        </w:tc>
      </w:tr>
      <w:tr w:rsidR="007E6D22" w14:paraId="2F1FFC0D" w14:textId="77777777" w:rsidTr="0071149A">
        <w:trPr>
          <w:trHeight w:val="220"/>
        </w:trPr>
        <w:tc>
          <w:tcPr>
            <w:tcW w:w="1320" w:type="dxa"/>
            <w:vMerge/>
            <w:tcBorders>
              <w:top w:val="nil"/>
            </w:tcBorders>
          </w:tcPr>
          <w:p w14:paraId="16CF3130" w14:textId="77777777" w:rsidR="007E6D22" w:rsidRDefault="007E6D22" w:rsidP="00326F87">
            <w:pPr>
              <w:rPr>
                <w:sz w:val="2"/>
                <w:szCs w:val="2"/>
              </w:rPr>
            </w:pPr>
          </w:p>
        </w:tc>
        <w:tc>
          <w:tcPr>
            <w:tcW w:w="1256" w:type="dxa"/>
          </w:tcPr>
          <w:p w14:paraId="259EAC12" w14:textId="77777777" w:rsidR="007E6D22" w:rsidRDefault="007E6D22" w:rsidP="00326F87">
            <w:pPr>
              <w:pStyle w:val="TableParagraph"/>
              <w:spacing w:line="200" w:lineRule="exact"/>
              <w:ind w:left="314" w:right="329"/>
              <w:jc w:val="center"/>
              <w:rPr>
                <w:sz w:val="21"/>
              </w:rPr>
            </w:pPr>
            <w:r>
              <w:rPr>
                <w:sz w:val="21"/>
              </w:rPr>
              <w:t>2D</w:t>
            </w:r>
          </w:p>
        </w:tc>
        <w:tc>
          <w:tcPr>
            <w:tcW w:w="928" w:type="dxa"/>
          </w:tcPr>
          <w:p w14:paraId="533BF9C4" w14:textId="77777777" w:rsidR="007E6D22" w:rsidRDefault="007E6D22" w:rsidP="00326F87">
            <w:pPr>
              <w:pStyle w:val="TableParagraph"/>
              <w:spacing w:line="200" w:lineRule="exact"/>
              <w:ind w:left="74" w:right="52"/>
              <w:jc w:val="center"/>
              <w:rPr>
                <w:sz w:val="21"/>
              </w:rPr>
            </w:pPr>
            <w:r>
              <w:rPr>
                <w:sz w:val="21"/>
              </w:rPr>
              <w:t>Dose 2D</w:t>
            </w:r>
          </w:p>
        </w:tc>
        <w:tc>
          <w:tcPr>
            <w:tcW w:w="1624" w:type="dxa"/>
          </w:tcPr>
          <w:p w14:paraId="3EE9BC21" w14:textId="77777777" w:rsidR="007E6D22" w:rsidRDefault="007E6D22" w:rsidP="00326F87">
            <w:pPr>
              <w:pStyle w:val="TableParagraph"/>
              <w:spacing w:line="200" w:lineRule="exact"/>
              <w:ind w:right="486"/>
              <w:jc w:val="right"/>
              <w:rPr>
                <w:sz w:val="21"/>
              </w:rPr>
            </w:pPr>
            <w:r>
              <w:rPr>
                <w:sz w:val="21"/>
              </w:rPr>
              <w:t>6 (3/3)</w:t>
            </w:r>
          </w:p>
        </w:tc>
        <w:tc>
          <w:tcPr>
            <w:tcW w:w="1336" w:type="dxa"/>
            <w:vMerge/>
            <w:tcBorders>
              <w:top w:val="nil"/>
            </w:tcBorders>
          </w:tcPr>
          <w:p w14:paraId="27E3155B" w14:textId="77777777" w:rsidR="007E6D22" w:rsidRDefault="007E6D22" w:rsidP="00326F87">
            <w:pPr>
              <w:rPr>
                <w:sz w:val="2"/>
                <w:szCs w:val="2"/>
              </w:rPr>
            </w:pPr>
          </w:p>
        </w:tc>
        <w:tc>
          <w:tcPr>
            <w:tcW w:w="1296" w:type="dxa"/>
            <w:vMerge/>
            <w:tcBorders>
              <w:top w:val="nil"/>
            </w:tcBorders>
          </w:tcPr>
          <w:p w14:paraId="4DB715F4" w14:textId="77777777" w:rsidR="007E6D22" w:rsidRDefault="007E6D22" w:rsidP="00326F87">
            <w:pPr>
              <w:rPr>
                <w:sz w:val="2"/>
                <w:szCs w:val="2"/>
              </w:rPr>
            </w:pPr>
          </w:p>
        </w:tc>
        <w:tc>
          <w:tcPr>
            <w:tcW w:w="1232" w:type="dxa"/>
            <w:vMerge/>
            <w:tcBorders>
              <w:top w:val="nil"/>
            </w:tcBorders>
          </w:tcPr>
          <w:p w14:paraId="03D21FF0" w14:textId="77777777" w:rsidR="007E6D22" w:rsidRDefault="007E6D22" w:rsidP="00326F87">
            <w:pPr>
              <w:rPr>
                <w:sz w:val="2"/>
                <w:szCs w:val="2"/>
              </w:rPr>
            </w:pPr>
          </w:p>
        </w:tc>
      </w:tr>
      <w:tr w:rsidR="007E6D22" w14:paraId="45D34881" w14:textId="77777777" w:rsidTr="0071149A">
        <w:trPr>
          <w:trHeight w:val="220"/>
        </w:trPr>
        <w:tc>
          <w:tcPr>
            <w:tcW w:w="1320" w:type="dxa"/>
            <w:vMerge/>
            <w:tcBorders>
              <w:top w:val="nil"/>
            </w:tcBorders>
          </w:tcPr>
          <w:p w14:paraId="79154B99" w14:textId="77777777" w:rsidR="007E6D22" w:rsidRDefault="007E6D22" w:rsidP="00326F87">
            <w:pPr>
              <w:rPr>
                <w:sz w:val="2"/>
                <w:szCs w:val="2"/>
              </w:rPr>
            </w:pPr>
          </w:p>
        </w:tc>
        <w:tc>
          <w:tcPr>
            <w:tcW w:w="1256" w:type="dxa"/>
          </w:tcPr>
          <w:p w14:paraId="4102145C" w14:textId="77777777" w:rsidR="007E6D22" w:rsidRDefault="007E6D22" w:rsidP="00326F87">
            <w:pPr>
              <w:pStyle w:val="TableParagraph"/>
              <w:spacing w:line="200" w:lineRule="exact"/>
              <w:ind w:left="314" w:right="320"/>
              <w:jc w:val="center"/>
              <w:rPr>
                <w:sz w:val="21"/>
              </w:rPr>
            </w:pPr>
            <w:r>
              <w:rPr>
                <w:sz w:val="21"/>
              </w:rPr>
              <w:t>2E</w:t>
            </w:r>
          </w:p>
        </w:tc>
        <w:tc>
          <w:tcPr>
            <w:tcW w:w="928" w:type="dxa"/>
          </w:tcPr>
          <w:p w14:paraId="07D3D6EE" w14:textId="77777777" w:rsidR="007E6D22" w:rsidRDefault="007E6D22" w:rsidP="00326F87">
            <w:pPr>
              <w:pStyle w:val="TableParagraph"/>
              <w:spacing w:line="200" w:lineRule="exact"/>
              <w:ind w:left="52" w:right="52"/>
              <w:jc w:val="center"/>
              <w:rPr>
                <w:sz w:val="21"/>
              </w:rPr>
            </w:pPr>
            <w:r>
              <w:rPr>
                <w:sz w:val="21"/>
              </w:rPr>
              <w:t>Dose 2E</w:t>
            </w:r>
          </w:p>
        </w:tc>
        <w:tc>
          <w:tcPr>
            <w:tcW w:w="1624" w:type="dxa"/>
          </w:tcPr>
          <w:p w14:paraId="64E92334" w14:textId="77777777" w:rsidR="007E6D22" w:rsidRDefault="007E6D22" w:rsidP="00326F87">
            <w:pPr>
              <w:pStyle w:val="TableParagraph"/>
              <w:spacing w:line="200" w:lineRule="exact"/>
              <w:ind w:right="486"/>
              <w:jc w:val="right"/>
              <w:rPr>
                <w:sz w:val="21"/>
              </w:rPr>
            </w:pPr>
            <w:r>
              <w:rPr>
                <w:sz w:val="21"/>
              </w:rPr>
              <w:t>6 (3/3)</w:t>
            </w:r>
          </w:p>
        </w:tc>
        <w:tc>
          <w:tcPr>
            <w:tcW w:w="1336" w:type="dxa"/>
            <w:vMerge w:val="restart"/>
          </w:tcPr>
          <w:p w14:paraId="5EF86B50" w14:textId="77777777" w:rsidR="007E6D22" w:rsidRDefault="007E6D22" w:rsidP="00326F87">
            <w:pPr>
              <w:pStyle w:val="TableParagraph"/>
              <w:spacing w:before="86"/>
              <w:ind w:left="462"/>
              <w:rPr>
                <w:sz w:val="21"/>
              </w:rPr>
            </w:pPr>
            <w:r>
              <w:rPr>
                <w:sz w:val="21"/>
              </w:rPr>
              <w:t>0, 56</w:t>
            </w:r>
          </w:p>
        </w:tc>
        <w:tc>
          <w:tcPr>
            <w:tcW w:w="1296" w:type="dxa"/>
            <w:vMerge w:val="restart"/>
          </w:tcPr>
          <w:p w14:paraId="7B39CBB4" w14:textId="77777777" w:rsidR="007E6D22" w:rsidRDefault="007E6D22" w:rsidP="00326F87">
            <w:pPr>
              <w:pStyle w:val="TableParagraph"/>
              <w:spacing w:before="86"/>
              <w:ind w:left="516" w:right="509"/>
              <w:jc w:val="center"/>
              <w:rPr>
                <w:sz w:val="21"/>
              </w:rPr>
            </w:pPr>
            <w:r>
              <w:rPr>
                <w:sz w:val="21"/>
              </w:rPr>
              <w:t>84</w:t>
            </w:r>
          </w:p>
        </w:tc>
        <w:tc>
          <w:tcPr>
            <w:tcW w:w="1232" w:type="dxa"/>
            <w:vMerge w:val="restart"/>
          </w:tcPr>
          <w:p w14:paraId="7348AAF4" w14:textId="77777777" w:rsidR="007E6D22" w:rsidRDefault="007E6D22" w:rsidP="00326F87">
            <w:pPr>
              <w:pStyle w:val="TableParagraph"/>
              <w:spacing w:before="86"/>
              <w:ind w:left="43" w:right="36"/>
              <w:jc w:val="center"/>
              <w:rPr>
                <w:sz w:val="21"/>
              </w:rPr>
            </w:pPr>
            <w:r>
              <w:rPr>
                <w:sz w:val="21"/>
              </w:rPr>
              <w:t>98</w:t>
            </w:r>
          </w:p>
        </w:tc>
      </w:tr>
      <w:tr w:rsidR="007E6D22" w14:paraId="43EBEB17" w14:textId="77777777" w:rsidTr="0071149A">
        <w:trPr>
          <w:trHeight w:val="219"/>
        </w:trPr>
        <w:tc>
          <w:tcPr>
            <w:tcW w:w="1320" w:type="dxa"/>
            <w:vMerge/>
            <w:tcBorders>
              <w:top w:val="nil"/>
            </w:tcBorders>
          </w:tcPr>
          <w:p w14:paraId="55914C10" w14:textId="77777777" w:rsidR="007E6D22" w:rsidRDefault="007E6D22" w:rsidP="00326F87">
            <w:pPr>
              <w:rPr>
                <w:sz w:val="2"/>
                <w:szCs w:val="2"/>
              </w:rPr>
            </w:pPr>
          </w:p>
        </w:tc>
        <w:tc>
          <w:tcPr>
            <w:tcW w:w="1256" w:type="dxa"/>
          </w:tcPr>
          <w:p w14:paraId="421FDB6D" w14:textId="77777777" w:rsidR="007E6D22" w:rsidRDefault="007E6D22" w:rsidP="00326F87">
            <w:pPr>
              <w:pStyle w:val="TableParagraph"/>
              <w:spacing w:line="200" w:lineRule="exact"/>
              <w:ind w:left="314" w:right="332"/>
              <w:jc w:val="center"/>
              <w:rPr>
                <w:sz w:val="21"/>
              </w:rPr>
            </w:pPr>
            <w:r>
              <w:rPr>
                <w:sz w:val="21"/>
              </w:rPr>
              <w:t>2F</w:t>
            </w:r>
          </w:p>
        </w:tc>
        <w:tc>
          <w:tcPr>
            <w:tcW w:w="928" w:type="dxa"/>
          </w:tcPr>
          <w:p w14:paraId="5B31C7BA" w14:textId="77777777" w:rsidR="007E6D22" w:rsidRDefault="007E6D22" w:rsidP="00326F87">
            <w:pPr>
              <w:pStyle w:val="TableParagraph"/>
              <w:spacing w:line="200" w:lineRule="exact"/>
              <w:ind w:left="71" w:right="52"/>
              <w:jc w:val="center"/>
              <w:rPr>
                <w:sz w:val="21"/>
              </w:rPr>
            </w:pPr>
            <w:r>
              <w:rPr>
                <w:sz w:val="21"/>
              </w:rPr>
              <w:t>Dose 2F</w:t>
            </w:r>
          </w:p>
        </w:tc>
        <w:tc>
          <w:tcPr>
            <w:tcW w:w="1624" w:type="dxa"/>
          </w:tcPr>
          <w:p w14:paraId="1FC81053" w14:textId="77777777" w:rsidR="007E6D22" w:rsidRDefault="007E6D22" w:rsidP="00326F87">
            <w:pPr>
              <w:pStyle w:val="TableParagraph"/>
              <w:spacing w:line="200" w:lineRule="exact"/>
              <w:ind w:right="486"/>
              <w:jc w:val="right"/>
              <w:rPr>
                <w:sz w:val="21"/>
              </w:rPr>
            </w:pPr>
            <w:r>
              <w:rPr>
                <w:sz w:val="21"/>
              </w:rPr>
              <w:t>4 (2/2)</w:t>
            </w:r>
          </w:p>
        </w:tc>
        <w:tc>
          <w:tcPr>
            <w:tcW w:w="1336" w:type="dxa"/>
            <w:vMerge/>
            <w:tcBorders>
              <w:top w:val="nil"/>
            </w:tcBorders>
          </w:tcPr>
          <w:p w14:paraId="59270D41" w14:textId="77777777" w:rsidR="007E6D22" w:rsidRDefault="007E6D22" w:rsidP="00326F87">
            <w:pPr>
              <w:rPr>
                <w:sz w:val="2"/>
                <w:szCs w:val="2"/>
              </w:rPr>
            </w:pPr>
          </w:p>
        </w:tc>
        <w:tc>
          <w:tcPr>
            <w:tcW w:w="1296" w:type="dxa"/>
            <w:vMerge/>
            <w:tcBorders>
              <w:top w:val="nil"/>
            </w:tcBorders>
          </w:tcPr>
          <w:p w14:paraId="4A344CEE" w14:textId="77777777" w:rsidR="007E6D22" w:rsidRDefault="007E6D22" w:rsidP="00326F87">
            <w:pPr>
              <w:rPr>
                <w:sz w:val="2"/>
                <w:szCs w:val="2"/>
              </w:rPr>
            </w:pPr>
          </w:p>
        </w:tc>
        <w:tc>
          <w:tcPr>
            <w:tcW w:w="1232" w:type="dxa"/>
            <w:vMerge/>
            <w:tcBorders>
              <w:top w:val="nil"/>
            </w:tcBorders>
          </w:tcPr>
          <w:p w14:paraId="537829E4" w14:textId="77777777" w:rsidR="007E6D22" w:rsidRDefault="007E6D22" w:rsidP="00326F87">
            <w:pPr>
              <w:rPr>
                <w:sz w:val="2"/>
                <w:szCs w:val="2"/>
              </w:rPr>
            </w:pPr>
          </w:p>
        </w:tc>
      </w:tr>
      <w:tr w:rsidR="007E6D22" w14:paraId="50A37AF9" w14:textId="77777777" w:rsidTr="0071149A">
        <w:trPr>
          <w:trHeight w:val="220"/>
        </w:trPr>
        <w:tc>
          <w:tcPr>
            <w:tcW w:w="1320" w:type="dxa"/>
            <w:vMerge w:val="restart"/>
          </w:tcPr>
          <w:p w14:paraId="4CA6B456" w14:textId="77777777" w:rsidR="007E6D22" w:rsidRDefault="007E6D22" w:rsidP="00326F87">
            <w:pPr>
              <w:pStyle w:val="TableParagraph"/>
              <w:rPr>
                <w:b/>
              </w:rPr>
            </w:pPr>
          </w:p>
          <w:p w14:paraId="32611F0F" w14:textId="77777777" w:rsidR="007E6D22" w:rsidRDefault="007E6D22" w:rsidP="00326F87">
            <w:pPr>
              <w:pStyle w:val="TableParagraph"/>
              <w:spacing w:before="5"/>
              <w:rPr>
                <w:b/>
                <w:sz w:val="17"/>
              </w:rPr>
            </w:pPr>
          </w:p>
          <w:p w14:paraId="52F157CB" w14:textId="77777777" w:rsidR="007E6D22" w:rsidRDefault="007E6D22" w:rsidP="00326F87">
            <w:pPr>
              <w:pStyle w:val="TableParagraph"/>
              <w:ind w:left="278"/>
              <w:rPr>
                <w:sz w:val="21"/>
              </w:rPr>
            </w:pPr>
            <w:r>
              <w:rPr>
                <w:sz w:val="21"/>
              </w:rPr>
              <w:t>Novavax</w:t>
            </w:r>
          </w:p>
        </w:tc>
        <w:tc>
          <w:tcPr>
            <w:tcW w:w="1256" w:type="dxa"/>
          </w:tcPr>
          <w:p w14:paraId="0FC1DC51" w14:textId="77777777" w:rsidR="007E6D22" w:rsidRDefault="007E6D22" w:rsidP="00326F87">
            <w:pPr>
              <w:pStyle w:val="TableParagraph"/>
              <w:spacing w:line="200" w:lineRule="exact"/>
              <w:ind w:left="314" w:right="329"/>
              <w:jc w:val="center"/>
              <w:rPr>
                <w:sz w:val="21"/>
              </w:rPr>
            </w:pPr>
            <w:r>
              <w:rPr>
                <w:sz w:val="21"/>
              </w:rPr>
              <w:t>3A</w:t>
            </w:r>
          </w:p>
        </w:tc>
        <w:tc>
          <w:tcPr>
            <w:tcW w:w="928" w:type="dxa"/>
          </w:tcPr>
          <w:p w14:paraId="1B2DD38A" w14:textId="77777777" w:rsidR="007E6D22" w:rsidRDefault="007E6D22" w:rsidP="00326F87">
            <w:pPr>
              <w:pStyle w:val="TableParagraph"/>
              <w:spacing w:line="200" w:lineRule="exact"/>
              <w:ind w:left="74" w:right="52"/>
              <w:jc w:val="center"/>
              <w:rPr>
                <w:sz w:val="21"/>
              </w:rPr>
            </w:pPr>
            <w:r>
              <w:rPr>
                <w:sz w:val="21"/>
              </w:rPr>
              <w:t>Dose 3A</w:t>
            </w:r>
          </w:p>
        </w:tc>
        <w:tc>
          <w:tcPr>
            <w:tcW w:w="1624" w:type="dxa"/>
          </w:tcPr>
          <w:p w14:paraId="48190CE1" w14:textId="77777777" w:rsidR="007E6D22" w:rsidRDefault="007E6D22" w:rsidP="00326F87">
            <w:pPr>
              <w:pStyle w:val="TableParagraph"/>
              <w:spacing w:line="200" w:lineRule="exact"/>
              <w:ind w:right="486"/>
              <w:jc w:val="right"/>
              <w:rPr>
                <w:sz w:val="21"/>
              </w:rPr>
            </w:pPr>
            <w:r>
              <w:rPr>
                <w:sz w:val="21"/>
              </w:rPr>
              <w:t>4 (2/2)</w:t>
            </w:r>
          </w:p>
        </w:tc>
        <w:tc>
          <w:tcPr>
            <w:tcW w:w="1336" w:type="dxa"/>
            <w:vMerge w:val="restart"/>
          </w:tcPr>
          <w:p w14:paraId="040FF2FA" w14:textId="77777777" w:rsidR="007E6D22" w:rsidRDefault="007E6D22" w:rsidP="00326F87">
            <w:pPr>
              <w:pStyle w:val="TableParagraph"/>
              <w:rPr>
                <w:b/>
              </w:rPr>
            </w:pPr>
          </w:p>
          <w:p w14:paraId="72E90F20" w14:textId="77777777" w:rsidR="007E6D22" w:rsidRDefault="007E6D22" w:rsidP="00326F87">
            <w:pPr>
              <w:pStyle w:val="TableParagraph"/>
              <w:spacing w:before="5"/>
              <w:rPr>
                <w:b/>
                <w:sz w:val="17"/>
              </w:rPr>
            </w:pPr>
          </w:p>
          <w:p w14:paraId="71F62234" w14:textId="77777777" w:rsidR="007E6D22" w:rsidRDefault="007E6D22" w:rsidP="00326F87">
            <w:pPr>
              <w:pStyle w:val="TableParagraph"/>
              <w:ind w:left="462"/>
              <w:rPr>
                <w:sz w:val="21"/>
              </w:rPr>
            </w:pPr>
            <w:r>
              <w:rPr>
                <w:sz w:val="21"/>
              </w:rPr>
              <w:t>0, 21</w:t>
            </w:r>
          </w:p>
        </w:tc>
        <w:tc>
          <w:tcPr>
            <w:tcW w:w="1296" w:type="dxa"/>
            <w:vMerge w:val="restart"/>
          </w:tcPr>
          <w:p w14:paraId="0A8B0E2B" w14:textId="77777777" w:rsidR="007E6D22" w:rsidRDefault="007E6D22" w:rsidP="00326F87">
            <w:pPr>
              <w:pStyle w:val="TableParagraph"/>
              <w:rPr>
                <w:b/>
              </w:rPr>
            </w:pPr>
          </w:p>
          <w:p w14:paraId="13AB430B" w14:textId="77777777" w:rsidR="007E6D22" w:rsidRDefault="007E6D22" w:rsidP="00326F87">
            <w:pPr>
              <w:pStyle w:val="TableParagraph"/>
              <w:spacing w:before="5"/>
              <w:rPr>
                <w:b/>
                <w:sz w:val="17"/>
              </w:rPr>
            </w:pPr>
          </w:p>
          <w:p w14:paraId="2C37B20C" w14:textId="77777777" w:rsidR="007E6D22" w:rsidRDefault="007E6D22" w:rsidP="00326F87">
            <w:pPr>
              <w:pStyle w:val="TableParagraph"/>
              <w:ind w:left="516" w:right="509"/>
              <w:jc w:val="center"/>
              <w:rPr>
                <w:sz w:val="21"/>
              </w:rPr>
            </w:pPr>
            <w:r>
              <w:rPr>
                <w:sz w:val="21"/>
              </w:rPr>
              <w:t>49</w:t>
            </w:r>
          </w:p>
        </w:tc>
        <w:tc>
          <w:tcPr>
            <w:tcW w:w="1232" w:type="dxa"/>
            <w:vMerge w:val="restart"/>
          </w:tcPr>
          <w:p w14:paraId="6FB640E9" w14:textId="77777777" w:rsidR="007E6D22" w:rsidRDefault="007E6D22" w:rsidP="00326F87">
            <w:pPr>
              <w:pStyle w:val="TableParagraph"/>
              <w:rPr>
                <w:b/>
              </w:rPr>
            </w:pPr>
          </w:p>
          <w:p w14:paraId="3DE52095" w14:textId="77777777" w:rsidR="007E6D22" w:rsidRDefault="007E6D22" w:rsidP="00326F87">
            <w:pPr>
              <w:pStyle w:val="TableParagraph"/>
              <w:spacing w:before="5"/>
              <w:rPr>
                <w:b/>
                <w:sz w:val="17"/>
              </w:rPr>
            </w:pPr>
          </w:p>
          <w:p w14:paraId="1A1FCA60" w14:textId="77777777" w:rsidR="007E6D22" w:rsidRDefault="007E6D22" w:rsidP="00326F87">
            <w:pPr>
              <w:pStyle w:val="TableParagraph"/>
              <w:ind w:left="43" w:right="36"/>
              <w:jc w:val="center"/>
              <w:rPr>
                <w:sz w:val="21"/>
              </w:rPr>
            </w:pPr>
            <w:r>
              <w:rPr>
                <w:sz w:val="21"/>
              </w:rPr>
              <w:t>63</w:t>
            </w:r>
          </w:p>
        </w:tc>
      </w:tr>
      <w:tr w:rsidR="007E6D22" w14:paraId="2E4FF786" w14:textId="77777777" w:rsidTr="0071149A">
        <w:trPr>
          <w:trHeight w:val="220"/>
        </w:trPr>
        <w:tc>
          <w:tcPr>
            <w:tcW w:w="1320" w:type="dxa"/>
            <w:vMerge/>
            <w:tcBorders>
              <w:top w:val="nil"/>
            </w:tcBorders>
          </w:tcPr>
          <w:p w14:paraId="2AB181D8" w14:textId="77777777" w:rsidR="007E6D22" w:rsidRDefault="007E6D22" w:rsidP="00326F87">
            <w:pPr>
              <w:rPr>
                <w:sz w:val="2"/>
                <w:szCs w:val="2"/>
              </w:rPr>
            </w:pPr>
          </w:p>
        </w:tc>
        <w:tc>
          <w:tcPr>
            <w:tcW w:w="1256" w:type="dxa"/>
          </w:tcPr>
          <w:p w14:paraId="76CEF7B5" w14:textId="77777777" w:rsidR="007E6D22" w:rsidRDefault="007E6D22" w:rsidP="00326F87">
            <w:pPr>
              <w:pStyle w:val="TableParagraph"/>
              <w:spacing w:line="200" w:lineRule="exact"/>
              <w:ind w:left="314" w:right="341"/>
              <w:jc w:val="center"/>
              <w:rPr>
                <w:sz w:val="21"/>
              </w:rPr>
            </w:pPr>
            <w:r>
              <w:rPr>
                <w:sz w:val="21"/>
              </w:rPr>
              <w:t>3B</w:t>
            </w:r>
          </w:p>
        </w:tc>
        <w:tc>
          <w:tcPr>
            <w:tcW w:w="928" w:type="dxa"/>
          </w:tcPr>
          <w:p w14:paraId="7D01DC74" w14:textId="77777777" w:rsidR="007E6D22" w:rsidRDefault="007E6D22" w:rsidP="00326F87">
            <w:pPr>
              <w:pStyle w:val="TableParagraph"/>
              <w:spacing w:line="200" w:lineRule="exact"/>
              <w:ind w:left="62" w:right="52"/>
              <w:jc w:val="center"/>
              <w:rPr>
                <w:sz w:val="21"/>
              </w:rPr>
            </w:pPr>
            <w:r>
              <w:rPr>
                <w:sz w:val="21"/>
              </w:rPr>
              <w:t>Dose 3B</w:t>
            </w:r>
          </w:p>
        </w:tc>
        <w:tc>
          <w:tcPr>
            <w:tcW w:w="1624" w:type="dxa"/>
          </w:tcPr>
          <w:p w14:paraId="4B73382A" w14:textId="77777777" w:rsidR="007E6D22" w:rsidRDefault="007E6D22" w:rsidP="00326F87">
            <w:pPr>
              <w:pStyle w:val="TableParagraph"/>
              <w:spacing w:line="200" w:lineRule="exact"/>
              <w:ind w:right="486"/>
              <w:jc w:val="right"/>
              <w:rPr>
                <w:sz w:val="21"/>
              </w:rPr>
            </w:pPr>
            <w:r>
              <w:rPr>
                <w:sz w:val="21"/>
              </w:rPr>
              <w:t>6 (3/3)</w:t>
            </w:r>
          </w:p>
        </w:tc>
        <w:tc>
          <w:tcPr>
            <w:tcW w:w="1336" w:type="dxa"/>
            <w:vMerge/>
            <w:tcBorders>
              <w:top w:val="nil"/>
            </w:tcBorders>
          </w:tcPr>
          <w:p w14:paraId="1E3E7E00" w14:textId="77777777" w:rsidR="007E6D22" w:rsidRDefault="007E6D22" w:rsidP="00326F87">
            <w:pPr>
              <w:rPr>
                <w:sz w:val="2"/>
                <w:szCs w:val="2"/>
              </w:rPr>
            </w:pPr>
          </w:p>
        </w:tc>
        <w:tc>
          <w:tcPr>
            <w:tcW w:w="1296" w:type="dxa"/>
            <w:vMerge/>
            <w:tcBorders>
              <w:top w:val="nil"/>
            </w:tcBorders>
          </w:tcPr>
          <w:p w14:paraId="5E747833" w14:textId="77777777" w:rsidR="007E6D22" w:rsidRDefault="007E6D22" w:rsidP="00326F87">
            <w:pPr>
              <w:rPr>
                <w:sz w:val="2"/>
                <w:szCs w:val="2"/>
              </w:rPr>
            </w:pPr>
          </w:p>
        </w:tc>
        <w:tc>
          <w:tcPr>
            <w:tcW w:w="1232" w:type="dxa"/>
            <w:vMerge/>
            <w:tcBorders>
              <w:top w:val="nil"/>
            </w:tcBorders>
          </w:tcPr>
          <w:p w14:paraId="35343131" w14:textId="77777777" w:rsidR="007E6D22" w:rsidRDefault="007E6D22" w:rsidP="00326F87">
            <w:pPr>
              <w:rPr>
                <w:sz w:val="2"/>
                <w:szCs w:val="2"/>
              </w:rPr>
            </w:pPr>
          </w:p>
        </w:tc>
      </w:tr>
      <w:tr w:rsidR="007E6D22" w14:paraId="65BF02D8" w14:textId="77777777" w:rsidTr="0071149A">
        <w:trPr>
          <w:trHeight w:val="219"/>
        </w:trPr>
        <w:tc>
          <w:tcPr>
            <w:tcW w:w="1320" w:type="dxa"/>
            <w:vMerge/>
            <w:tcBorders>
              <w:top w:val="nil"/>
            </w:tcBorders>
          </w:tcPr>
          <w:p w14:paraId="4CD79789" w14:textId="77777777" w:rsidR="007E6D22" w:rsidRDefault="007E6D22" w:rsidP="00326F87">
            <w:pPr>
              <w:rPr>
                <w:sz w:val="2"/>
                <w:szCs w:val="2"/>
              </w:rPr>
            </w:pPr>
          </w:p>
        </w:tc>
        <w:tc>
          <w:tcPr>
            <w:tcW w:w="1256" w:type="dxa"/>
          </w:tcPr>
          <w:p w14:paraId="05DD4408" w14:textId="77777777" w:rsidR="007E6D22" w:rsidRDefault="007E6D22" w:rsidP="00326F87">
            <w:pPr>
              <w:pStyle w:val="TableParagraph"/>
              <w:spacing w:line="200" w:lineRule="exact"/>
              <w:ind w:left="314" w:right="341"/>
              <w:jc w:val="center"/>
              <w:rPr>
                <w:sz w:val="21"/>
              </w:rPr>
            </w:pPr>
            <w:r>
              <w:rPr>
                <w:sz w:val="21"/>
              </w:rPr>
              <w:t>3C</w:t>
            </w:r>
          </w:p>
        </w:tc>
        <w:tc>
          <w:tcPr>
            <w:tcW w:w="928" w:type="dxa"/>
          </w:tcPr>
          <w:p w14:paraId="1487918B" w14:textId="77777777" w:rsidR="007E6D22" w:rsidRDefault="007E6D22" w:rsidP="00326F87">
            <w:pPr>
              <w:pStyle w:val="TableParagraph"/>
              <w:spacing w:line="200" w:lineRule="exact"/>
              <w:ind w:left="62" w:right="52"/>
              <w:jc w:val="center"/>
              <w:rPr>
                <w:sz w:val="21"/>
              </w:rPr>
            </w:pPr>
            <w:r>
              <w:rPr>
                <w:sz w:val="21"/>
              </w:rPr>
              <w:t>Dose 3C</w:t>
            </w:r>
          </w:p>
        </w:tc>
        <w:tc>
          <w:tcPr>
            <w:tcW w:w="1624" w:type="dxa"/>
          </w:tcPr>
          <w:p w14:paraId="2FE74289" w14:textId="77777777" w:rsidR="007E6D22" w:rsidRDefault="007E6D22" w:rsidP="00326F87">
            <w:pPr>
              <w:pStyle w:val="TableParagraph"/>
              <w:spacing w:line="200" w:lineRule="exact"/>
              <w:ind w:right="486"/>
              <w:jc w:val="right"/>
              <w:rPr>
                <w:sz w:val="21"/>
              </w:rPr>
            </w:pPr>
            <w:r>
              <w:rPr>
                <w:sz w:val="21"/>
              </w:rPr>
              <w:t>6 (3/3)</w:t>
            </w:r>
          </w:p>
        </w:tc>
        <w:tc>
          <w:tcPr>
            <w:tcW w:w="1336" w:type="dxa"/>
            <w:vMerge/>
            <w:tcBorders>
              <w:top w:val="nil"/>
            </w:tcBorders>
          </w:tcPr>
          <w:p w14:paraId="55F04EB8" w14:textId="77777777" w:rsidR="007E6D22" w:rsidRDefault="007E6D22" w:rsidP="00326F87">
            <w:pPr>
              <w:rPr>
                <w:sz w:val="2"/>
                <w:szCs w:val="2"/>
              </w:rPr>
            </w:pPr>
          </w:p>
        </w:tc>
        <w:tc>
          <w:tcPr>
            <w:tcW w:w="1296" w:type="dxa"/>
            <w:vMerge/>
            <w:tcBorders>
              <w:top w:val="nil"/>
            </w:tcBorders>
          </w:tcPr>
          <w:p w14:paraId="7F08D796" w14:textId="77777777" w:rsidR="007E6D22" w:rsidRDefault="007E6D22" w:rsidP="00326F87">
            <w:pPr>
              <w:rPr>
                <w:sz w:val="2"/>
                <w:szCs w:val="2"/>
              </w:rPr>
            </w:pPr>
          </w:p>
        </w:tc>
        <w:tc>
          <w:tcPr>
            <w:tcW w:w="1232" w:type="dxa"/>
            <w:vMerge/>
            <w:tcBorders>
              <w:top w:val="nil"/>
            </w:tcBorders>
          </w:tcPr>
          <w:p w14:paraId="1143812B" w14:textId="77777777" w:rsidR="007E6D22" w:rsidRDefault="007E6D22" w:rsidP="00326F87">
            <w:pPr>
              <w:rPr>
                <w:sz w:val="2"/>
                <w:szCs w:val="2"/>
              </w:rPr>
            </w:pPr>
          </w:p>
        </w:tc>
      </w:tr>
      <w:tr w:rsidR="007E6D22" w14:paraId="00EED4ED" w14:textId="77777777" w:rsidTr="0071149A">
        <w:trPr>
          <w:trHeight w:val="220"/>
        </w:trPr>
        <w:tc>
          <w:tcPr>
            <w:tcW w:w="1320" w:type="dxa"/>
            <w:vMerge/>
            <w:tcBorders>
              <w:top w:val="nil"/>
            </w:tcBorders>
          </w:tcPr>
          <w:p w14:paraId="6BDD0975" w14:textId="77777777" w:rsidR="007E6D22" w:rsidRDefault="007E6D22" w:rsidP="00326F87">
            <w:pPr>
              <w:rPr>
                <w:sz w:val="2"/>
                <w:szCs w:val="2"/>
              </w:rPr>
            </w:pPr>
          </w:p>
        </w:tc>
        <w:tc>
          <w:tcPr>
            <w:tcW w:w="1256" w:type="dxa"/>
          </w:tcPr>
          <w:p w14:paraId="19C0CA69" w14:textId="77777777" w:rsidR="007E6D22" w:rsidRDefault="007E6D22" w:rsidP="00326F87">
            <w:pPr>
              <w:pStyle w:val="TableParagraph"/>
              <w:spacing w:line="200" w:lineRule="exact"/>
              <w:ind w:left="314" w:right="329"/>
              <w:jc w:val="center"/>
              <w:rPr>
                <w:sz w:val="21"/>
              </w:rPr>
            </w:pPr>
            <w:r>
              <w:rPr>
                <w:sz w:val="21"/>
              </w:rPr>
              <w:t>3D</w:t>
            </w:r>
          </w:p>
        </w:tc>
        <w:tc>
          <w:tcPr>
            <w:tcW w:w="928" w:type="dxa"/>
          </w:tcPr>
          <w:p w14:paraId="1421F032" w14:textId="77777777" w:rsidR="007E6D22" w:rsidRDefault="007E6D22" w:rsidP="00326F87">
            <w:pPr>
              <w:pStyle w:val="TableParagraph"/>
              <w:spacing w:line="200" w:lineRule="exact"/>
              <w:ind w:left="74" w:right="52"/>
              <w:jc w:val="center"/>
              <w:rPr>
                <w:sz w:val="21"/>
              </w:rPr>
            </w:pPr>
            <w:r>
              <w:rPr>
                <w:sz w:val="21"/>
              </w:rPr>
              <w:t>Dose 3D</w:t>
            </w:r>
          </w:p>
        </w:tc>
        <w:tc>
          <w:tcPr>
            <w:tcW w:w="1624" w:type="dxa"/>
          </w:tcPr>
          <w:p w14:paraId="75085DAA" w14:textId="77777777" w:rsidR="007E6D22" w:rsidRDefault="007E6D22" w:rsidP="00326F87">
            <w:pPr>
              <w:pStyle w:val="TableParagraph"/>
              <w:spacing w:line="200" w:lineRule="exact"/>
              <w:ind w:right="486"/>
              <w:jc w:val="right"/>
              <w:rPr>
                <w:sz w:val="21"/>
              </w:rPr>
            </w:pPr>
            <w:r>
              <w:rPr>
                <w:sz w:val="21"/>
              </w:rPr>
              <w:t>6 (3/3)</w:t>
            </w:r>
          </w:p>
        </w:tc>
        <w:tc>
          <w:tcPr>
            <w:tcW w:w="1336" w:type="dxa"/>
            <w:vMerge/>
            <w:tcBorders>
              <w:top w:val="nil"/>
            </w:tcBorders>
          </w:tcPr>
          <w:p w14:paraId="5CFE491A" w14:textId="77777777" w:rsidR="007E6D22" w:rsidRDefault="007E6D22" w:rsidP="00326F87">
            <w:pPr>
              <w:rPr>
                <w:sz w:val="2"/>
                <w:szCs w:val="2"/>
              </w:rPr>
            </w:pPr>
          </w:p>
        </w:tc>
        <w:tc>
          <w:tcPr>
            <w:tcW w:w="1296" w:type="dxa"/>
            <w:vMerge/>
            <w:tcBorders>
              <w:top w:val="nil"/>
            </w:tcBorders>
          </w:tcPr>
          <w:p w14:paraId="22475E83" w14:textId="77777777" w:rsidR="007E6D22" w:rsidRDefault="007E6D22" w:rsidP="00326F87">
            <w:pPr>
              <w:rPr>
                <w:sz w:val="2"/>
                <w:szCs w:val="2"/>
              </w:rPr>
            </w:pPr>
          </w:p>
        </w:tc>
        <w:tc>
          <w:tcPr>
            <w:tcW w:w="1232" w:type="dxa"/>
            <w:vMerge/>
            <w:tcBorders>
              <w:top w:val="nil"/>
            </w:tcBorders>
          </w:tcPr>
          <w:p w14:paraId="270188EE" w14:textId="77777777" w:rsidR="007E6D22" w:rsidRDefault="007E6D22" w:rsidP="00326F87">
            <w:pPr>
              <w:rPr>
                <w:sz w:val="2"/>
                <w:szCs w:val="2"/>
              </w:rPr>
            </w:pPr>
          </w:p>
        </w:tc>
      </w:tr>
      <w:tr w:rsidR="007E6D22" w14:paraId="295944B1" w14:textId="77777777" w:rsidTr="0071149A">
        <w:trPr>
          <w:trHeight w:val="220"/>
        </w:trPr>
        <w:tc>
          <w:tcPr>
            <w:tcW w:w="1320" w:type="dxa"/>
            <w:vMerge/>
            <w:tcBorders>
              <w:top w:val="nil"/>
            </w:tcBorders>
          </w:tcPr>
          <w:p w14:paraId="656B3FFE" w14:textId="77777777" w:rsidR="007E6D22" w:rsidRDefault="007E6D22" w:rsidP="00326F87">
            <w:pPr>
              <w:rPr>
                <w:sz w:val="2"/>
                <w:szCs w:val="2"/>
              </w:rPr>
            </w:pPr>
          </w:p>
        </w:tc>
        <w:tc>
          <w:tcPr>
            <w:tcW w:w="1256" w:type="dxa"/>
          </w:tcPr>
          <w:p w14:paraId="5E82E072" w14:textId="77777777" w:rsidR="007E6D22" w:rsidRDefault="007E6D22" w:rsidP="00326F87">
            <w:pPr>
              <w:pStyle w:val="TableParagraph"/>
              <w:spacing w:line="200" w:lineRule="exact"/>
              <w:ind w:left="314" w:right="320"/>
              <w:jc w:val="center"/>
              <w:rPr>
                <w:sz w:val="21"/>
              </w:rPr>
            </w:pPr>
            <w:r>
              <w:rPr>
                <w:sz w:val="21"/>
              </w:rPr>
              <w:t>3E</w:t>
            </w:r>
          </w:p>
        </w:tc>
        <w:tc>
          <w:tcPr>
            <w:tcW w:w="928" w:type="dxa"/>
          </w:tcPr>
          <w:p w14:paraId="5DE94D4E" w14:textId="77777777" w:rsidR="007E6D22" w:rsidRDefault="007E6D22" w:rsidP="00326F87">
            <w:pPr>
              <w:pStyle w:val="TableParagraph"/>
              <w:spacing w:line="200" w:lineRule="exact"/>
              <w:ind w:left="52" w:right="52"/>
              <w:jc w:val="center"/>
              <w:rPr>
                <w:sz w:val="21"/>
              </w:rPr>
            </w:pPr>
            <w:r>
              <w:rPr>
                <w:sz w:val="21"/>
              </w:rPr>
              <w:t>Dose 3E</w:t>
            </w:r>
          </w:p>
        </w:tc>
        <w:tc>
          <w:tcPr>
            <w:tcW w:w="1624" w:type="dxa"/>
          </w:tcPr>
          <w:p w14:paraId="5A4785A5" w14:textId="77777777" w:rsidR="007E6D22" w:rsidRDefault="007E6D22" w:rsidP="00326F87">
            <w:pPr>
              <w:pStyle w:val="TableParagraph"/>
              <w:spacing w:line="200" w:lineRule="exact"/>
              <w:ind w:right="486"/>
              <w:jc w:val="right"/>
              <w:rPr>
                <w:sz w:val="21"/>
              </w:rPr>
            </w:pPr>
            <w:r>
              <w:rPr>
                <w:sz w:val="21"/>
              </w:rPr>
              <w:t>4 (2/2)</w:t>
            </w:r>
          </w:p>
        </w:tc>
        <w:tc>
          <w:tcPr>
            <w:tcW w:w="1336" w:type="dxa"/>
            <w:vMerge/>
            <w:tcBorders>
              <w:top w:val="nil"/>
            </w:tcBorders>
          </w:tcPr>
          <w:p w14:paraId="04DF02C1" w14:textId="77777777" w:rsidR="007E6D22" w:rsidRDefault="007E6D22" w:rsidP="00326F87">
            <w:pPr>
              <w:rPr>
                <w:sz w:val="2"/>
                <w:szCs w:val="2"/>
              </w:rPr>
            </w:pPr>
          </w:p>
        </w:tc>
        <w:tc>
          <w:tcPr>
            <w:tcW w:w="1296" w:type="dxa"/>
            <w:vMerge/>
            <w:tcBorders>
              <w:top w:val="nil"/>
            </w:tcBorders>
          </w:tcPr>
          <w:p w14:paraId="7A796A98" w14:textId="77777777" w:rsidR="007E6D22" w:rsidRDefault="007E6D22" w:rsidP="00326F87">
            <w:pPr>
              <w:rPr>
                <w:sz w:val="2"/>
                <w:szCs w:val="2"/>
              </w:rPr>
            </w:pPr>
          </w:p>
        </w:tc>
        <w:tc>
          <w:tcPr>
            <w:tcW w:w="1232" w:type="dxa"/>
            <w:vMerge/>
            <w:tcBorders>
              <w:top w:val="nil"/>
            </w:tcBorders>
          </w:tcPr>
          <w:p w14:paraId="1EFB4A2C" w14:textId="77777777" w:rsidR="007E6D22" w:rsidRDefault="007E6D22" w:rsidP="00326F87">
            <w:pPr>
              <w:rPr>
                <w:sz w:val="2"/>
                <w:szCs w:val="2"/>
              </w:rPr>
            </w:pPr>
          </w:p>
        </w:tc>
      </w:tr>
      <w:tr w:rsidR="007E6D22" w14:paraId="3F0A18FD" w14:textId="77777777" w:rsidTr="0071149A">
        <w:trPr>
          <w:trHeight w:val="219"/>
        </w:trPr>
        <w:tc>
          <w:tcPr>
            <w:tcW w:w="1320" w:type="dxa"/>
            <w:vMerge w:val="restart"/>
          </w:tcPr>
          <w:p w14:paraId="60ACF172" w14:textId="77777777" w:rsidR="007E6D22" w:rsidRDefault="007E6D22" w:rsidP="00326F87">
            <w:pPr>
              <w:pStyle w:val="TableParagraph"/>
              <w:rPr>
                <w:b/>
              </w:rPr>
            </w:pPr>
          </w:p>
          <w:p w14:paraId="65B796A0" w14:textId="77777777" w:rsidR="007E6D22" w:rsidRDefault="007E6D22" w:rsidP="00326F87">
            <w:pPr>
              <w:pStyle w:val="TableParagraph"/>
              <w:spacing w:before="5"/>
              <w:rPr>
                <w:b/>
                <w:sz w:val="17"/>
              </w:rPr>
            </w:pPr>
          </w:p>
          <w:p w14:paraId="4F1A6DC3" w14:textId="77777777" w:rsidR="007E6D22" w:rsidRDefault="007E6D22" w:rsidP="00326F87">
            <w:pPr>
              <w:pStyle w:val="TableParagraph"/>
              <w:ind w:left="374"/>
              <w:rPr>
                <w:sz w:val="21"/>
              </w:rPr>
            </w:pPr>
            <w:r>
              <w:rPr>
                <w:sz w:val="21"/>
              </w:rPr>
              <w:t>Sanofi</w:t>
            </w:r>
          </w:p>
        </w:tc>
        <w:tc>
          <w:tcPr>
            <w:tcW w:w="1256" w:type="dxa"/>
          </w:tcPr>
          <w:p w14:paraId="43F1B26C" w14:textId="77777777" w:rsidR="007E6D22" w:rsidRDefault="007E6D22" w:rsidP="00326F87">
            <w:pPr>
              <w:pStyle w:val="TableParagraph"/>
              <w:spacing w:line="200" w:lineRule="exact"/>
              <w:ind w:left="314" w:right="329"/>
              <w:jc w:val="center"/>
              <w:rPr>
                <w:sz w:val="21"/>
              </w:rPr>
            </w:pPr>
            <w:r>
              <w:rPr>
                <w:sz w:val="21"/>
              </w:rPr>
              <w:t>4A</w:t>
            </w:r>
          </w:p>
        </w:tc>
        <w:tc>
          <w:tcPr>
            <w:tcW w:w="928" w:type="dxa"/>
          </w:tcPr>
          <w:p w14:paraId="2A56B83F" w14:textId="77777777" w:rsidR="007E6D22" w:rsidRDefault="007E6D22" w:rsidP="00326F87">
            <w:pPr>
              <w:pStyle w:val="TableParagraph"/>
              <w:spacing w:line="200" w:lineRule="exact"/>
              <w:ind w:left="74" w:right="52"/>
              <w:jc w:val="center"/>
              <w:rPr>
                <w:sz w:val="21"/>
              </w:rPr>
            </w:pPr>
            <w:r>
              <w:rPr>
                <w:sz w:val="21"/>
              </w:rPr>
              <w:t>Dose 4A</w:t>
            </w:r>
          </w:p>
        </w:tc>
        <w:tc>
          <w:tcPr>
            <w:tcW w:w="1624" w:type="dxa"/>
          </w:tcPr>
          <w:p w14:paraId="5BE708A6" w14:textId="77777777" w:rsidR="007E6D22" w:rsidRDefault="007E6D22" w:rsidP="00326F87">
            <w:pPr>
              <w:pStyle w:val="TableParagraph"/>
              <w:spacing w:line="200" w:lineRule="exact"/>
              <w:ind w:right="486"/>
              <w:jc w:val="right"/>
              <w:rPr>
                <w:sz w:val="21"/>
              </w:rPr>
            </w:pPr>
            <w:r>
              <w:rPr>
                <w:sz w:val="21"/>
              </w:rPr>
              <w:t>6 (3/3)</w:t>
            </w:r>
          </w:p>
        </w:tc>
        <w:tc>
          <w:tcPr>
            <w:tcW w:w="1336" w:type="dxa"/>
            <w:vMerge w:val="restart"/>
          </w:tcPr>
          <w:p w14:paraId="4943B83F" w14:textId="77777777" w:rsidR="007E6D22" w:rsidRDefault="007E6D22" w:rsidP="00326F87">
            <w:pPr>
              <w:pStyle w:val="TableParagraph"/>
              <w:rPr>
                <w:b/>
              </w:rPr>
            </w:pPr>
          </w:p>
          <w:p w14:paraId="460030F6" w14:textId="77777777" w:rsidR="007E6D22" w:rsidRDefault="007E6D22" w:rsidP="00326F87">
            <w:pPr>
              <w:pStyle w:val="TableParagraph"/>
              <w:spacing w:before="5"/>
              <w:rPr>
                <w:b/>
                <w:sz w:val="17"/>
              </w:rPr>
            </w:pPr>
          </w:p>
          <w:p w14:paraId="106332AC" w14:textId="77777777" w:rsidR="007E6D22" w:rsidRDefault="007E6D22" w:rsidP="00326F87">
            <w:pPr>
              <w:pStyle w:val="TableParagraph"/>
              <w:ind w:left="462"/>
              <w:rPr>
                <w:sz w:val="21"/>
              </w:rPr>
            </w:pPr>
            <w:r>
              <w:rPr>
                <w:sz w:val="21"/>
              </w:rPr>
              <w:t>0, 21</w:t>
            </w:r>
          </w:p>
        </w:tc>
        <w:tc>
          <w:tcPr>
            <w:tcW w:w="1296" w:type="dxa"/>
            <w:vMerge w:val="restart"/>
          </w:tcPr>
          <w:p w14:paraId="489BBA24" w14:textId="77777777" w:rsidR="007E6D22" w:rsidRDefault="007E6D22" w:rsidP="00326F87">
            <w:pPr>
              <w:pStyle w:val="TableParagraph"/>
              <w:rPr>
                <w:b/>
              </w:rPr>
            </w:pPr>
          </w:p>
          <w:p w14:paraId="1940BFC3" w14:textId="77777777" w:rsidR="007E6D22" w:rsidRDefault="007E6D22" w:rsidP="00326F87">
            <w:pPr>
              <w:pStyle w:val="TableParagraph"/>
              <w:spacing w:before="5"/>
              <w:rPr>
                <w:b/>
                <w:sz w:val="17"/>
              </w:rPr>
            </w:pPr>
          </w:p>
          <w:p w14:paraId="640956A8" w14:textId="77777777" w:rsidR="007E6D22" w:rsidRDefault="007E6D22" w:rsidP="00326F87">
            <w:pPr>
              <w:pStyle w:val="TableParagraph"/>
              <w:ind w:left="516" w:right="509"/>
              <w:jc w:val="center"/>
              <w:rPr>
                <w:sz w:val="21"/>
              </w:rPr>
            </w:pPr>
            <w:r>
              <w:rPr>
                <w:sz w:val="21"/>
              </w:rPr>
              <w:t>49</w:t>
            </w:r>
          </w:p>
        </w:tc>
        <w:tc>
          <w:tcPr>
            <w:tcW w:w="1232" w:type="dxa"/>
            <w:vMerge w:val="restart"/>
          </w:tcPr>
          <w:p w14:paraId="554E5B6C" w14:textId="77777777" w:rsidR="007E6D22" w:rsidRDefault="007E6D22" w:rsidP="00326F87">
            <w:pPr>
              <w:pStyle w:val="TableParagraph"/>
              <w:rPr>
                <w:b/>
              </w:rPr>
            </w:pPr>
          </w:p>
          <w:p w14:paraId="3A1629C2" w14:textId="77777777" w:rsidR="007E6D22" w:rsidRDefault="007E6D22" w:rsidP="00326F87">
            <w:pPr>
              <w:pStyle w:val="TableParagraph"/>
              <w:spacing w:before="5"/>
              <w:rPr>
                <w:b/>
                <w:sz w:val="17"/>
              </w:rPr>
            </w:pPr>
          </w:p>
          <w:p w14:paraId="7F4CC40D" w14:textId="77777777" w:rsidR="007E6D22" w:rsidRDefault="007E6D22" w:rsidP="00326F87">
            <w:pPr>
              <w:pStyle w:val="TableParagraph"/>
              <w:ind w:left="43" w:right="36"/>
              <w:jc w:val="center"/>
              <w:rPr>
                <w:sz w:val="21"/>
              </w:rPr>
            </w:pPr>
            <w:r>
              <w:rPr>
                <w:sz w:val="21"/>
              </w:rPr>
              <w:t>63</w:t>
            </w:r>
          </w:p>
        </w:tc>
      </w:tr>
      <w:tr w:rsidR="007E6D22" w14:paraId="49E87964" w14:textId="77777777" w:rsidTr="0071149A">
        <w:trPr>
          <w:trHeight w:val="220"/>
        </w:trPr>
        <w:tc>
          <w:tcPr>
            <w:tcW w:w="1320" w:type="dxa"/>
            <w:vMerge/>
            <w:tcBorders>
              <w:top w:val="nil"/>
            </w:tcBorders>
          </w:tcPr>
          <w:p w14:paraId="016D7BE7" w14:textId="77777777" w:rsidR="007E6D22" w:rsidRDefault="007E6D22" w:rsidP="00326F87">
            <w:pPr>
              <w:rPr>
                <w:sz w:val="2"/>
                <w:szCs w:val="2"/>
              </w:rPr>
            </w:pPr>
          </w:p>
        </w:tc>
        <w:tc>
          <w:tcPr>
            <w:tcW w:w="1256" w:type="dxa"/>
          </w:tcPr>
          <w:p w14:paraId="60370629" w14:textId="77777777" w:rsidR="007E6D22" w:rsidRDefault="007E6D22" w:rsidP="00326F87">
            <w:pPr>
              <w:pStyle w:val="TableParagraph"/>
              <w:spacing w:line="200" w:lineRule="exact"/>
              <w:ind w:left="314" w:right="341"/>
              <w:jc w:val="center"/>
              <w:rPr>
                <w:sz w:val="21"/>
              </w:rPr>
            </w:pPr>
            <w:r>
              <w:rPr>
                <w:sz w:val="21"/>
              </w:rPr>
              <w:t>4B</w:t>
            </w:r>
          </w:p>
        </w:tc>
        <w:tc>
          <w:tcPr>
            <w:tcW w:w="928" w:type="dxa"/>
          </w:tcPr>
          <w:p w14:paraId="39F44A68" w14:textId="77777777" w:rsidR="007E6D22" w:rsidRDefault="007E6D22" w:rsidP="00326F87">
            <w:pPr>
              <w:pStyle w:val="TableParagraph"/>
              <w:spacing w:line="200" w:lineRule="exact"/>
              <w:ind w:left="62" w:right="52"/>
              <w:jc w:val="center"/>
              <w:rPr>
                <w:sz w:val="21"/>
              </w:rPr>
            </w:pPr>
            <w:r>
              <w:rPr>
                <w:sz w:val="21"/>
              </w:rPr>
              <w:t>Dose 4B</w:t>
            </w:r>
          </w:p>
        </w:tc>
        <w:tc>
          <w:tcPr>
            <w:tcW w:w="1624" w:type="dxa"/>
          </w:tcPr>
          <w:p w14:paraId="6BD75238" w14:textId="77777777" w:rsidR="007E6D22" w:rsidRDefault="007E6D22" w:rsidP="00326F87">
            <w:pPr>
              <w:pStyle w:val="TableParagraph"/>
              <w:spacing w:line="200" w:lineRule="exact"/>
              <w:ind w:right="486"/>
              <w:jc w:val="right"/>
              <w:rPr>
                <w:sz w:val="21"/>
              </w:rPr>
            </w:pPr>
            <w:r>
              <w:rPr>
                <w:sz w:val="21"/>
              </w:rPr>
              <w:t>6 (3/3)</w:t>
            </w:r>
          </w:p>
        </w:tc>
        <w:tc>
          <w:tcPr>
            <w:tcW w:w="1336" w:type="dxa"/>
            <w:vMerge/>
            <w:tcBorders>
              <w:top w:val="nil"/>
            </w:tcBorders>
          </w:tcPr>
          <w:p w14:paraId="3E7A1166" w14:textId="77777777" w:rsidR="007E6D22" w:rsidRDefault="007E6D22" w:rsidP="00326F87">
            <w:pPr>
              <w:rPr>
                <w:sz w:val="2"/>
                <w:szCs w:val="2"/>
              </w:rPr>
            </w:pPr>
          </w:p>
        </w:tc>
        <w:tc>
          <w:tcPr>
            <w:tcW w:w="1296" w:type="dxa"/>
            <w:vMerge/>
            <w:tcBorders>
              <w:top w:val="nil"/>
            </w:tcBorders>
          </w:tcPr>
          <w:p w14:paraId="6BFA54FD" w14:textId="77777777" w:rsidR="007E6D22" w:rsidRDefault="007E6D22" w:rsidP="00326F87">
            <w:pPr>
              <w:rPr>
                <w:sz w:val="2"/>
                <w:szCs w:val="2"/>
              </w:rPr>
            </w:pPr>
          </w:p>
        </w:tc>
        <w:tc>
          <w:tcPr>
            <w:tcW w:w="1232" w:type="dxa"/>
            <w:vMerge/>
            <w:tcBorders>
              <w:top w:val="nil"/>
            </w:tcBorders>
          </w:tcPr>
          <w:p w14:paraId="7D9B4D11" w14:textId="77777777" w:rsidR="007E6D22" w:rsidRDefault="007E6D22" w:rsidP="00326F87">
            <w:pPr>
              <w:rPr>
                <w:sz w:val="2"/>
                <w:szCs w:val="2"/>
              </w:rPr>
            </w:pPr>
          </w:p>
        </w:tc>
      </w:tr>
      <w:tr w:rsidR="007E6D22" w14:paraId="59561183" w14:textId="77777777" w:rsidTr="0071149A">
        <w:trPr>
          <w:trHeight w:val="220"/>
        </w:trPr>
        <w:tc>
          <w:tcPr>
            <w:tcW w:w="1320" w:type="dxa"/>
            <w:vMerge/>
            <w:tcBorders>
              <w:top w:val="nil"/>
            </w:tcBorders>
          </w:tcPr>
          <w:p w14:paraId="7685C0AD" w14:textId="77777777" w:rsidR="007E6D22" w:rsidRDefault="007E6D22" w:rsidP="00326F87">
            <w:pPr>
              <w:rPr>
                <w:sz w:val="2"/>
                <w:szCs w:val="2"/>
              </w:rPr>
            </w:pPr>
          </w:p>
        </w:tc>
        <w:tc>
          <w:tcPr>
            <w:tcW w:w="1256" w:type="dxa"/>
          </w:tcPr>
          <w:p w14:paraId="043D9467" w14:textId="77777777" w:rsidR="007E6D22" w:rsidRDefault="007E6D22" w:rsidP="00326F87">
            <w:pPr>
              <w:pStyle w:val="TableParagraph"/>
              <w:spacing w:line="200" w:lineRule="exact"/>
              <w:ind w:left="314" w:right="341"/>
              <w:jc w:val="center"/>
              <w:rPr>
                <w:sz w:val="21"/>
              </w:rPr>
            </w:pPr>
            <w:r>
              <w:rPr>
                <w:sz w:val="21"/>
              </w:rPr>
              <w:t>4C</w:t>
            </w:r>
          </w:p>
        </w:tc>
        <w:tc>
          <w:tcPr>
            <w:tcW w:w="928" w:type="dxa"/>
          </w:tcPr>
          <w:p w14:paraId="4972E818" w14:textId="77777777" w:rsidR="007E6D22" w:rsidRDefault="007E6D22" w:rsidP="00326F87">
            <w:pPr>
              <w:pStyle w:val="TableParagraph"/>
              <w:spacing w:line="200" w:lineRule="exact"/>
              <w:ind w:left="62" w:right="52"/>
              <w:jc w:val="center"/>
              <w:rPr>
                <w:sz w:val="21"/>
              </w:rPr>
            </w:pPr>
            <w:r>
              <w:rPr>
                <w:sz w:val="21"/>
              </w:rPr>
              <w:t>Dose 4C</w:t>
            </w:r>
          </w:p>
        </w:tc>
        <w:tc>
          <w:tcPr>
            <w:tcW w:w="1624" w:type="dxa"/>
          </w:tcPr>
          <w:p w14:paraId="583EAECB" w14:textId="77777777" w:rsidR="007E6D22" w:rsidRDefault="007E6D22" w:rsidP="00326F87">
            <w:pPr>
              <w:pStyle w:val="TableParagraph"/>
              <w:spacing w:line="200" w:lineRule="exact"/>
              <w:ind w:right="486"/>
              <w:jc w:val="right"/>
              <w:rPr>
                <w:sz w:val="21"/>
              </w:rPr>
            </w:pPr>
            <w:r>
              <w:rPr>
                <w:sz w:val="21"/>
              </w:rPr>
              <w:t>6 (3/3)</w:t>
            </w:r>
          </w:p>
        </w:tc>
        <w:tc>
          <w:tcPr>
            <w:tcW w:w="1336" w:type="dxa"/>
            <w:vMerge/>
            <w:tcBorders>
              <w:top w:val="nil"/>
            </w:tcBorders>
          </w:tcPr>
          <w:p w14:paraId="77C485EC" w14:textId="77777777" w:rsidR="007E6D22" w:rsidRDefault="007E6D22" w:rsidP="00326F87">
            <w:pPr>
              <w:rPr>
                <w:sz w:val="2"/>
                <w:szCs w:val="2"/>
              </w:rPr>
            </w:pPr>
          </w:p>
        </w:tc>
        <w:tc>
          <w:tcPr>
            <w:tcW w:w="1296" w:type="dxa"/>
            <w:vMerge/>
            <w:tcBorders>
              <w:top w:val="nil"/>
            </w:tcBorders>
          </w:tcPr>
          <w:p w14:paraId="4952A951" w14:textId="77777777" w:rsidR="007E6D22" w:rsidRDefault="007E6D22" w:rsidP="00326F87">
            <w:pPr>
              <w:rPr>
                <w:sz w:val="2"/>
                <w:szCs w:val="2"/>
              </w:rPr>
            </w:pPr>
          </w:p>
        </w:tc>
        <w:tc>
          <w:tcPr>
            <w:tcW w:w="1232" w:type="dxa"/>
            <w:vMerge/>
            <w:tcBorders>
              <w:top w:val="nil"/>
            </w:tcBorders>
          </w:tcPr>
          <w:p w14:paraId="03366890" w14:textId="77777777" w:rsidR="007E6D22" w:rsidRDefault="007E6D22" w:rsidP="00326F87">
            <w:pPr>
              <w:rPr>
                <w:sz w:val="2"/>
                <w:szCs w:val="2"/>
              </w:rPr>
            </w:pPr>
          </w:p>
        </w:tc>
      </w:tr>
      <w:tr w:rsidR="007E6D22" w14:paraId="77F23761" w14:textId="77777777" w:rsidTr="0071149A">
        <w:trPr>
          <w:trHeight w:val="219"/>
        </w:trPr>
        <w:tc>
          <w:tcPr>
            <w:tcW w:w="1320" w:type="dxa"/>
            <w:vMerge/>
            <w:tcBorders>
              <w:top w:val="nil"/>
            </w:tcBorders>
          </w:tcPr>
          <w:p w14:paraId="55EAA715" w14:textId="77777777" w:rsidR="007E6D22" w:rsidRDefault="007E6D22" w:rsidP="00326F87">
            <w:pPr>
              <w:rPr>
                <w:sz w:val="2"/>
                <w:szCs w:val="2"/>
              </w:rPr>
            </w:pPr>
          </w:p>
        </w:tc>
        <w:tc>
          <w:tcPr>
            <w:tcW w:w="1256" w:type="dxa"/>
          </w:tcPr>
          <w:p w14:paraId="2618AEF7" w14:textId="77777777" w:rsidR="007E6D22" w:rsidRDefault="007E6D22" w:rsidP="00326F87">
            <w:pPr>
              <w:pStyle w:val="TableParagraph"/>
              <w:spacing w:line="200" w:lineRule="exact"/>
              <w:ind w:left="314" w:right="329"/>
              <w:jc w:val="center"/>
              <w:rPr>
                <w:sz w:val="21"/>
              </w:rPr>
            </w:pPr>
            <w:r>
              <w:rPr>
                <w:sz w:val="21"/>
              </w:rPr>
              <w:t>4D</w:t>
            </w:r>
          </w:p>
        </w:tc>
        <w:tc>
          <w:tcPr>
            <w:tcW w:w="928" w:type="dxa"/>
          </w:tcPr>
          <w:p w14:paraId="1BFD0782" w14:textId="77777777" w:rsidR="007E6D22" w:rsidRDefault="007E6D22" w:rsidP="00326F87">
            <w:pPr>
              <w:pStyle w:val="TableParagraph"/>
              <w:spacing w:line="200" w:lineRule="exact"/>
              <w:ind w:left="74" w:right="52"/>
              <w:jc w:val="center"/>
              <w:rPr>
                <w:sz w:val="21"/>
              </w:rPr>
            </w:pPr>
            <w:r>
              <w:rPr>
                <w:sz w:val="21"/>
              </w:rPr>
              <w:t>Dose 4D</w:t>
            </w:r>
          </w:p>
        </w:tc>
        <w:tc>
          <w:tcPr>
            <w:tcW w:w="1624" w:type="dxa"/>
          </w:tcPr>
          <w:p w14:paraId="5515CE88" w14:textId="77777777" w:rsidR="007E6D22" w:rsidRDefault="007E6D22" w:rsidP="00326F87">
            <w:pPr>
              <w:pStyle w:val="TableParagraph"/>
              <w:spacing w:line="200" w:lineRule="exact"/>
              <w:ind w:right="486"/>
              <w:jc w:val="right"/>
              <w:rPr>
                <w:sz w:val="21"/>
              </w:rPr>
            </w:pPr>
            <w:r>
              <w:rPr>
                <w:sz w:val="21"/>
              </w:rPr>
              <w:t>4 (2/2)</w:t>
            </w:r>
          </w:p>
        </w:tc>
        <w:tc>
          <w:tcPr>
            <w:tcW w:w="1336" w:type="dxa"/>
            <w:vMerge/>
            <w:tcBorders>
              <w:top w:val="nil"/>
            </w:tcBorders>
          </w:tcPr>
          <w:p w14:paraId="40A11C1C" w14:textId="77777777" w:rsidR="007E6D22" w:rsidRDefault="007E6D22" w:rsidP="00326F87">
            <w:pPr>
              <w:rPr>
                <w:sz w:val="2"/>
                <w:szCs w:val="2"/>
              </w:rPr>
            </w:pPr>
          </w:p>
        </w:tc>
        <w:tc>
          <w:tcPr>
            <w:tcW w:w="1296" w:type="dxa"/>
            <w:vMerge/>
            <w:tcBorders>
              <w:top w:val="nil"/>
            </w:tcBorders>
          </w:tcPr>
          <w:p w14:paraId="7FC03CCE" w14:textId="77777777" w:rsidR="007E6D22" w:rsidRDefault="007E6D22" w:rsidP="00326F87">
            <w:pPr>
              <w:rPr>
                <w:sz w:val="2"/>
                <w:szCs w:val="2"/>
              </w:rPr>
            </w:pPr>
          </w:p>
        </w:tc>
        <w:tc>
          <w:tcPr>
            <w:tcW w:w="1232" w:type="dxa"/>
            <w:vMerge/>
            <w:tcBorders>
              <w:top w:val="nil"/>
            </w:tcBorders>
          </w:tcPr>
          <w:p w14:paraId="0CE9947D" w14:textId="77777777" w:rsidR="007E6D22" w:rsidRDefault="007E6D22" w:rsidP="00326F87">
            <w:pPr>
              <w:rPr>
                <w:sz w:val="2"/>
                <w:szCs w:val="2"/>
              </w:rPr>
            </w:pPr>
          </w:p>
        </w:tc>
      </w:tr>
      <w:tr w:rsidR="007E6D22" w14:paraId="1229893D" w14:textId="77777777" w:rsidTr="0071149A">
        <w:trPr>
          <w:trHeight w:val="220"/>
        </w:trPr>
        <w:tc>
          <w:tcPr>
            <w:tcW w:w="1320" w:type="dxa"/>
            <w:vMerge/>
            <w:tcBorders>
              <w:top w:val="nil"/>
            </w:tcBorders>
          </w:tcPr>
          <w:p w14:paraId="22437861" w14:textId="77777777" w:rsidR="007E6D22" w:rsidRDefault="007E6D22" w:rsidP="00326F87">
            <w:pPr>
              <w:rPr>
                <w:sz w:val="2"/>
                <w:szCs w:val="2"/>
              </w:rPr>
            </w:pPr>
          </w:p>
        </w:tc>
        <w:tc>
          <w:tcPr>
            <w:tcW w:w="1256" w:type="dxa"/>
          </w:tcPr>
          <w:p w14:paraId="116DE9B2" w14:textId="77777777" w:rsidR="007E6D22" w:rsidRDefault="007E6D22" w:rsidP="00326F87">
            <w:pPr>
              <w:pStyle w:val="TableParagraph"/>
              <w:spacing w:line="200" w:lineRule="exact"/>
              <w:ind w:left="314" w:right="320"/>
              <w:jc w:val="center"/>
              <w:rPr>
                <w:sz w:val="21"/>
              </w:rPr>
            </w:pPr>
            <w:r>
              <w:rPr>
                <w:sz w:val="21"/>
              </w:rPr>
              <w:t>4E</w:t>
            </w:r>
          </w:p>
        </w:tc>
        <w:tc>
          <w:tcPr>
            <w:tcW w:w="928" w:type="dxa"/>
          </w:tcPr>
          <w:p w14:paraId="40AB1DF1" w14:textId="77777777" w:rsidR="007E6D22" w:rsidRDefault="007E6D22" w:rsidP="00326F87">
            <w:pPr>
              <w:pStyle w:val="TableParagraph"/>
              <w:spacing w:line="200" w:lineRule="exact"/>
              <w:ind w:left="52" w:right="52"/>
              <w:jc w:val="center"/>
              <w:rPr>
                <w:sz w:val="21"/>
              </w:rPr>
            </w:pPr>
            <w:r>
              <w:rPr>
                <w:sz w:val="21"/>
              </w:rPr>
              <w:t>Dose 4E</w:t>
            </w:r>
          </w:p>
        </w:tc>
        <w:tc>
          <w:tcPr>
            <w:tcW w:w="1624" w:type="dxa"/>
          </w:tcPr>
          <w:p w14:paraId="7FA87CF1" w14:textId="77777777" w:rsidR="007E6D22" w:rsidRDefault="007E6D22" w:rsidP="00326F87">
            <w:pPr>
              <w:pStyle w:val="TableParagraph"/>
              <w:spacing w:line="200" w:lineRule="exact"/>
              <w:ind w:right="486"/>
              <w:jc w:val="right"/>
              <w:rPr>
                <w:sz w:val="21"/>
              </w:rPr>
            </w:pPr>
            <w:r>
              <w:rPr>
                <w:sz w:val="21"/>
              </w:rPr>
              <w:t>4 (2/2)</w:t>
            </w:r>
          </w:p>
        </w:tc>
        <w:tc>
          <w:tcPr>
            <w:tcW w:w="1336" w:type="dxa"/>
            <w:vMerge/>
            <w:tcBorders>
              <w:top w:val="nil"/>
            </w:tcBorders>
          </w:tcPr>
          <w:p w14:paraId="7DCE13F2" w14:textId="77777777" w:rsidR="007E6D22" w:rsidRDefault="007E6D22" w:rsidP="00326F87">
            <w:pPr>
              <w:rPr>
                <w:sz w:val="2"/>
                <w:szCs w:val="2"/>
              </w:rPr>
            </w:pPr>
          </w:p>
        </w:tc>
        <w:tc>
          <w:tcPr>
            <w:tcW w:w="1296" w:type="dxa"/>
            <w:vMerge/>
            <w:tcBorders>
              <w:top w:val="nil"/>
            </w:tcBorders>
          </w:tcPr>
          <w:p w14:paraId="65E0286B" w14:textId="77777777" w:rsidR="007E6D22" w:rsidRDefault="007E6D22" w:rsidP="00326F87">
            <w:pPr>
              <w:rPr>
                <w:sz w:val="2"/>
                <w:szCs w:val="2"/>
              </w:rPr>
            </w:pPr>
          </w:p>
        </w:tc>
        <w:tc>
          <w:tcPr>
            <w:tcW w:w="1232" w:type="dxa"/>
            <w:vMerge/>
            <w:tcBorders>
              <w:top w:val="nil"/>
            </w:tcBorders>
          </w:tcPr>
          <w:p w14:paraId="637B744D" w14:textId="77777777" w:rsidR="007E6D22" w:rsidRDefault="007E6D22" w:rsidP="00326F87">
            <w:pPr>
              <w:rPr>
                <w:sz w:val="2"/>
                <w:szCs w:val="2"/>
              </w:rPr>
            </w:pPr>
          </w:p>
        </w:tc>
      </w:tr>
      <w:tr w:rsidR="007E6D22" w14:paraId="1AF5BC66" w14:textId="77777777" w:rsidTr="0071149A">
        <w:trPr>
          <w:trHeight w:val="220"/>
        </w:trPr>
        <w:tc>
          <w:tcPr>
            <w:tcW w:w="1320" w:type="dxa"/>
          </w:tcPr>
          <w:p w14:paraId="5E82A5C7" w14:textId="77777777" w:rsidR="007E6D22" w:rsidRDefault="007E6D22" w:rsidP="00326F87">
            <w:pPr>
              <w:pStyle w:val="TableParagraph"/>
              <w:spacing w:line="200" w:lineRule="exact"/>
              <w:ind w:left="294"/>
              <w:rPr>
                <w:sz w:val="21"/>
              </w:rPr>
            </w:pPr>
            <w:r>
              <w:rPr>
                <w:sz w:val="21"/>
              </w:rPr>
              <w:t>Controls</w:t>
            </w:r>
          </w:p>
        </w:tc>
        <w:tc>
          <w:tcPr>
            <w:tcW w:w="1256" w:type="dxa"/>
          </w:tcPr>
          <w:p w14:paraId="551E9B1C" w14:textId="77777777" w:rsidR="007E6D22" w:rsidRDefault="007E6D22" w:rsidP="00326F87">
            <w:pPr>
              <w:pStyle w:val="TableParagraph"/>
              <w:spacing w:line="200" w:lineRule="exact"/>
              <w:ind w:left="314" w:right="329"/>
              <w:jc w:val="center"/>
              <w:rPr>
                <w:sz w:val="21"/>
              </w:rPr>
            </w:pPr>
            <w:r>
              <w:rPr>
                <w:sz w:val="21"/>
              </w:rPr>
              <w:t>5A</w:t>
            </w:r>
          </w:p>
        </w:tc>
        <w:tc>
          <w:tcPr>
            <w:tcW w:w="928" w:type="dxa"/>
          </w:tcPr>
          <w:p w14:paraId="12315685" w14:textId="77777777" w:rsidR="007E6D22" w:rsidRDefault="007E6D22" w:rsidP="00326F87">
            <w:pPr>
              <w:pStyle w:val="TableParagraph"/>
              <w:spacing w:line="200" w:lineRule="exact"/>
              <w:ind w:left="58" w:right="52"/>
              <w:jc w:val="center"/>
              <w:rPr>
                <w:sz w:val="21"/>
              </w:rPr>
            </w:pPr>
            <w:r>
              <w:rPr>
                <w:sz w:val="21"/>
              </w:rPr>
              <w:t>5A</w:t>
            </w:r>
          </w:p>
        </w:tc>
        <w:tc>
          <w:tcPr>
            <w:tcW w:w="1624" w:type="dxa"/>
          </w:tcPr>
          <w:p w14:paraId="09D0DB86" w14:textId="77777777" w:rsidR="007E6D22" w:rsidRDefault="007E6D22" w:rsidP="00326F87">
            <w:pPr>
              <w:pStyle w:val="TableParagraph"/>
              <w:spacing w:line="200" w:lineRule="exact"/>
              <w:ind w:right="438"/>
              <w:jc w:val="right"/>
              <w:rPr>
                <w:sz w:val="21"/>
              </w:rPr>
            </w:pPr>
            <w:r>
              <w:rPr>
                <w:sz w:val="21"/>
              </w:rPr>
              <w:t>16 (8/8)</w:t>
            </w:r>
          </w:p>
        </w:tc>
        <w:tc>
          <w:tcPr>
            <w:tcW w:w="1336" w:type="dxa"/>
          </w:tcPr>
          <w:p w14:paraId="2C8267CB" w14:textId="77777777" w:rsidR="007E6D22" w:rsidRDefault="007E6D22" w:rsidP="00326F87">
            <w:pPr>
              <w:pStyle w:val="TableParagraph"/>
              <w:spacing w:line="200" w:lineRule="exact"/>
              <w:ind w:left="462"/>
              <w:rPr>
                <w:sz w:val="21"/>
              </w:rPr>
            </w:pPr>
            <w:r>
              <w:rPr>
                <w:sz w:val="21"/>
              </w:rPr>
              <w:t>0, 28</w:t>
            </w:r>
          </w:p>
        </w:tc>
        <w:tc>
          <w:tcPr>
            <w:tcW w:w="1296" w:type="dxa"/>
          </w:tcPr>
          <w:p w14:paraId="21D48E7F" w14:textId="77777777" w:rsidR="007E6D22" w:rsidRDefault="007E6D22" w:rsidP="00326F87">
            <w:pPr>
              <w:pStyle w:val="TableParagraph"/>
              <w:spacing w:line="200" w:lineRule="exact"/>
              <w:ind w:left="516" w:right="508"/>
              <w:jc w:val="center"/>
              <w:rPr>
                <w:sz w:val="21"/>
              </w:rPr>
            </w:pPr>
            <w:r>
              <w:rPr>
                <w:sz w:val="21"/>
              </w:rPr>
              <w:t>56</w:t>
            </w:r>
          </w:p>
        </w:tc>
        <w:tc>
          <w:tcPr>
            <w:tcW w:w="1232" w:type="dxa"/>
          </w:tcPr>
          <w:p w14:paraId="726B5701" w14:textId="77777777" w:rsidR="007E6D22" w:rsidRDefault="007E6D22" w:rsidP="00326F87">
            <w:pPr>
              <w:pStyle w:val="TableParagraph"/>
              <w:spacing w:line="200" w:lineRule="exact"/>
              <w:ind w:left="43" w:right="35"/>
              <w:jc w:val="center"/>
              <w:rPr>
                <w:sz w:val="21"/>
              </w:rPr>
            </w:pPr>
            <w:r>
              <w:rPr>
                <w:sz w:val="21"/>
              </w:rPr>
              <w:t>70</w:t>
            </w:r>
          </w:p>
        </w:tc>
      </w:tr>
    </w:tbl>
    <w:p w14:paraId="30C64706" w14:textId="1A06A046" w:rsidR="00DB2F10" w:rsidRDefault="00DB2F10" w:rsidP="00DB2F10">
      <w:pPr>
        <w:spacing w:line="209" w:lineRule="exact"/>
        <w:ind w:left="1920"/>
        <w:jc w:val="both"/>
        <w:rPr>
          <w:sz w:val="21"/>
        </w:rPr>
      </w:pPr>
      <w:r>
        <w:rPr>
          <w:sz w:val="21"/>
        </w:rPr>
        <w:t>*Information on the various vaccine doses for each manufacturer are found in Attachment 1</w:t>
      </w:r>
      <w:r w:rsidR="006D1D66">
        <w:rPr>
          <w:sz w:val="21"/>
        </w:rPr>
        <w:t xml:space="preserve"> of the protocol</w:t>
      </w:r>
      <w:r>
        <w:rPr>
          <w:sz w:val="21"/>
        </w:rPr>
        <w:t>.</w:t>
      </w:r>
    </w:p>
    <w:p w14:paraId="229DACFE" w14:textId="77398628" w:rsidR="00D26C73" w:rsidRDefault="00DB2F10" w:rsidP="00DB2F10">
      <w:pPr>
        <w:spacing w:before="5" w:line="223" w:lineRule="auto"/>
        <w:ind w:left="1920" w:right="1320"/>
        <w:rPr>
          <w:sz w:val="21"/>
        </w:rPr>
      </w:pPr>
      <w:r>
        <w:rPr>
          <w:sz w:val="21"/>
        </w:rPr>
        <w:t>^</w:t>
      </w:r>
      <w:r w:rsidRPr="28412157">
        <w:rPr>
          <w:sz w:val="21"/>
          <w:szCs w:val="21"/>
        </w:rPr>
        <w:t xml:space="preserve"> </w:t>
      </w:r>
      <w:r>
        <w:rPr>
          <w:sz w:val="21"/>
        </w:rPr>
        <w:t>Vaccination</w:t>
      </w:r>
      <w:r w:rsidRPr="28412157">
        <w:rPr>
          <w:sz w:val="21"/>
          <w:szCs w:val="21"/>
        </w:rPr>
        <w:t xml:space="preserve"> </w:t>
      </w:r>
      <w:r>
        <w:rPr>
          <w:sz w:val="21"/>
        </w:rPr>
        <w:t>dates</w:t>
      </w:r>
      <w:r w:rsidRPr="28412157">
        <w:rPr>
          <w:sz w:val="21"/>
          <w:szCs w:val="21"/>
        </w:rPr>
        <w:t xml:space="preserve"> will be </w:t>
      </w:r>
      <w:r>
        <w:rPr>
          <w:sz w:val="21"/>
        </w:rPr>
        <w:t>staggered</w:t>
      </w:r>
      <w:r w:rsidRPr="28412157">
        <w:rPr>
          <w:sz w:val="21"/>
          <w:szCs w:val="21"/>
        </w:rPr>
        <w:t xml:space="preserve"> for each </w:t>
      </w:r>
      <w:r>
        <w:rPr>
          <w:sz w:val="21"/>
        </w:rPr>
        <w:t>group</w:t>
      </w:r>
      <w:r w:rsidRPr="28412157">
        <w:rPr>
          <w:sz w:val="21"/>
          <w:szCs w:val="21"/>
        </w:rPr>
        <w:t xml:space="preserve"> within </w:t>
      </w:r>
      <w:r>
        <w:rPr>
          <w:sz w:val="21"/>
        </w:rPr>
        <w:t>a</w:t>
      </w:r>
      <w:r w:rsidRPr="28412157">
        <w:rPr>
          <w:sz w:val="21"/>
          <w:szCs w:val="21"/>
        </w:rPr>
        <w:t xml:space="preserve"> challenge day </w:t>
      </w:r>
      <w:r>
        <w:rPr>
          <w:sz w:val="21"/>
        </w:rPr>
        <w:t>cohort</w:t>
      </w:r>
      <w:r w:rsidRPr="28412157">
        <w:rPr>
          <w:sz w:val="21"/>
          <w:szCs w:val="21"/>
        </w:rPr>
        <w:t xml:space="preserve"> </w:t>
      </w:r>
      <w:proofErr w:type="gramStart"/>
      <w:r w:rsidRPr="28412157">
        <w:rPr>
          <w:sz w:val="21"/>
          <w:szCs w:val="21"/>
        </w:rPr>
        <w:t>in order for</w:t>
      </w:r>
      <w:proofErr w:type="gramEnd"/>
      <w:r w:rsidRPr="28412157">
        <w:rPr>
          <w:sz w:val="21"/>
          <w:szCs w:val="21"/>
        </w:rPr>
        <w:t xml:space="preserve"> challenges to occur on the </w:t>
      </w:r>
      <w:r>
        <w:rPr>
          <w:sz w:val="21"/>
        </w:rPr>
        <w:t>same</w:t>
      </w:r>
      <w:r w:rsidRPr="28412157">
        <w:rPr>
          <w:sz w:val="21"/>
          <w:szCs w:val="21"/>
        </w:rPr>
        <w:t xml:space="preserve"> </w:t>
      </w:r>
      <w:r>
        <w:rPr>
          <w:sz w:val="21"/>
        </w:rPr>
        <w:t>calendar</w:t>
      </w:r>
      <w:r w:rsidRPr="28412157">
        <w:rPr>
          <w:sz w:val="21"/>
          <w:szCs w:val="21"/>
        </w:rPr>
        <w:t xml:space="preserve"> </w:t>
      </w:r>
      <w:r>
        <w:rPr>
          <w:sz w:val="21"/>
        </w:rPr>
        <w:t>date.</w:t>
      </w:r>
    </w:p>
    <w:p w14:paraId="52C3D889" w14:textId="77777777" w:rsidR="00887D47" w:rsidRPr="00887D47" w:rsidRDefault="00887D47" w:rsidP="00887D47">
      <w:pPr>
        <w:spacing w:before="5" w:line="223" w:lineRule="auto"/>
        <w:ind w:left="1920" w:right="1320"/>
        <w:rPr>
          <w:sz w:val="21"/>
        </w:rPr>
      </w:pPr>
    </w:p>
    <w:p w14:paraId="0042F70D" w14:textId="579F9E45" w:rsidR="00034AD7" w:rsidRDefault="554CE84E" w:rsidP="032B93E0">
      <w:pPr>
        <w:spacing w:before="60" w:afterLines="60" w:after="144" w:line="240" w:lineRule="auto"/>
        <w:jc w:val="both"/>
        <w:rPr>
          <w:rFonts w:eastAsia="Times New Roman"/>
          <w:color w:val="4472C4" w:themeColor="accent1"/>
          <w:szCs w:val="24"/>
        </w:rPr>
      </w:pPr>
      <w:r w:rsidRPr="032B93E0">
        <w:rPr>
          <w:rFonts w:eastAsia="Times New Roman"/>
          <w:szCs w:val="24"/>
        </w:rPr>
        <w:t xml:space="preserve">Table 2 </w:t>
      </w:r>
      <w:r w:rsidR="00D9003F">
        <w:rPr>
          <w:rFonts w:eastAsia="Times New Roman"/>
          <w:szCs w:val="24"/>
        </w:rPr>
        <w:t xml:space="preserve">(protocol Table 3) </w:t>
      </w:r>
      <w:r w:rsidRPr="032B93E0">
        <w:rPr>
          <w:rFonts w:eastAsia="Times New Roman"/>
          <w:szCs w:val="24"/>
        </w:rPr>
        <w:t>summarizes the time relative to the day of challenge each group will receive a vaccine candidate dose or control material.</w:t>
      </w:r>
    </w:p>
    <w:p w14:paraId="4D91A725" w14:textId="752A4F98" w:rsidR="008E51F0" w:rsidRDefault="15D33650" w:rsidP="032B93E0">
      <w:pPr>
        <w:pStyle w:val="BRCTABLE"/>
        <w:spacing w:before="240"/>
        <w:rPr>
          <w:b w:val="0"/>
          <w:color w:val="000000"/>
        </w:rPr>
      </w:pPr>
      <w:r w:rsidRPr="032B93E0">
        <w:rPr>
          <w:bCs/>
          <w:color w:val="000000" w:themeColor="text1"/>
        </w:rPr>
        <w:t xml:space="preserve">Table </w:t>
      </w:r>
      <w:r w:rsidR="08689C2D" w:rsidRPr="032B93E0">
        <w:rPr>
          <w:bCs/>
          <w:color w:val="000000" w:themeColor="text1"/>
        </w:rPr>
        <w:t>2</w:t>
      </w:r>
      <w:r w:rsidRPr="032B93E0">
        <w:rPr>
          <w:bCs/>
          <w:color w:val="000000" w:themeColor="text1"/>
        </w:rPr>
        <w:t xml:space="preserve"> Timeline for Vaccination Relative to Challenge</w:t>
      </w:r>
    </w:p>
    <w:tbl>
      <w:tblPr>
        <w:tblStyle w:val="TableGrid"/>
        <w:tblW w:w="9153" w:type="dxa"/>
        <w:tblLook w:val="04A0" w:firstRow="1" w:lastRow="0" w:firstColumn="1" w:lastColumn="0" w:noHBand="0" w:noVBand="1"/>
      </w:tblPr>
      <w:tblGrid>
        <w:gridCol w:w="2895"/>
        <w:gridCol w:w="1005"/>
        <w:gridCol w:w="1035"/>
        <w:gridCol w:w="1020"/>
        <w:gridCol w:w="1035"/>
        <w:gridCol w:w="1080"/>
        <w:gridCol w:w="1083"/>
      </w:tblGrid>
      <w:tr w:rsidR="0023408F" w:rsidRPr="0023408F" w14:paraId="64B5E5E2" w14:textId="77777777" w:rsidTr="032B93E0">
        <w:tc>
          <w:tcPr>
            <w:tcW w:w="2895" w:type="dxa"/>
            <w:vAlign w:val="center"/>
          </w:tcPr>
          <w:p w14:paraId="2AA87C19"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Vaccine Candidate</w:t>
            </w:r>
          </w:p>
        </w:tc>
        <w:tc>
          <w:tcPr>
            <w:tcW w:w="1005" w:type="dxa"/>
            <w:vAlign w:val="center"/>
          </w:tcPr>
          <w:p w14:paraId="1CAD909E"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84</w:t>
            </w:r>
          </w:p>
          <w:p w14:paraId="4991C674"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days before challenge</w:t>
            </w:r>
          </w:p>
        </w:tc>
        <w:tc>
          <w:tcPr>
            <w:tcW w:w="1035" w:type="dxa"/>
            <w:vAlign w:val="center"/>
          </w:tcPr>
          <w:p w14:paraId="78772DCC"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56</w:t>
            </w:r>
          </w:p>
          <w:p w14:paraId="0F24ED43"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days before challenge</w:t>
            </w:r>
          </w:p>
        </w:tc>
        <w:tc>
          <w:tcPr>
            <w:tcW w:w="1020" w:type="dxa"/>
            <w:vAlign w:val="center"/>
          </w:tcPr>
          <w:p w14:paraId="16AEEA73"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49</w:t>
            </w:r>
          </w:p>
          <w:p w14:paraId="4F64FFB7"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days before challenge</w:t>
            </w:r>
          </w:p>
        </w:tc>
        <w:tc>
          <w:tcPr>
            <w:tcW w:w="1035" w:type="dxa"/>
            <w:vAlign w:val="center"/>
          </w:tcPr>
          <w:p w14:paraId="70B2E353"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42</w:t>
            </w:r>
          </w:p>
          <w:p w14:paraId="19C7CACF"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days before challenge</w:t>
            </w:r>
          </w:p>
        </w:tc>
        <w:tc>
          <w:tcPr>
            <w:tcW w:w="1080" w:type="dxa"/>
            <w:vAlign w:val="center"/>
          </w:tcPr>
          <w:p w14:paraId="20BC3128"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28</w:t>
            </w:r>
          </w:p>
          <w:p w14:paraId="6EB689B8"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days before challenge</w:t>
            </w:r>
          </w:p>
        </w:tc>
        <w:tc>
          <w:tcPr>
            <w:tcW w:w="1083" w:type="dxa"/>
            <w:vMerge w:val="restart"/>
            <w:vAlign w:val="center"/>
          </w:tcPr>
          <w:p w14:paraId="6BCE4EE7"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Challenge</w:t>
            </w:r>
          </w:p>
        </w:tc>
      </w:tr>
      <w:tr w:rsidR="0023408F" w:rsidRPr="0023408F" w14:paraId="20579342" w14:textId="77777777" w:rsidTr="032B93E0">
        <w:tc>
          <w:tcPr>
            <w:tcW w:w="2895" w:type="dxa"/>
          </w:tcPr>
          <w:p w14:paraId="3140F395" w14:textId="77777777" w:rsidR="0023408F" w:rsidRPr="0023408F" w:rsidRDefault="3DC725B9" w:rsidP="0023408F">
            <w:pPr>
              <w:spacing w:after="0" w:line="240" w:lineRule="auto"/>
              <w:rPr>
                <w:rFonts w:eastAsia="Calibri"/>
                <w:sz w:val="20"/>
                <w:szCs w:val="20"/>
              </w:rPr>
            </w:pPr>
            <w:r w:rsidRPr="032B93E0">
              <w:rPr>
                <w:rFonts w:eastAsia="Calibri"/>
                <w:sz w:val="20"/>
                <w:szCs w:val="20"/>
              </w:rPr>
              <w:t xml:space="preserve">Moderna </w:t>
            </w:r>
          </w:p>
        </w:tc>
        <w:tc>
          <w:tcPr>
            <w:tcW w:w="1005" w:type="dxa"/>
            <w:vAlign w:val="center"/>
          </w:tcPr>
          <w:p w14:paraId="23CD64DC" w14:textId="77777777" w:rsidR="0023408F" w:rsidRPr="0023408F" w:rsidRDefault="0023408F" w:rsidP="0023408F">
            <w:pPr>
              <w:spacing w:after="0" w:line="240" w:lineRule="auto"/>
              <w:jc w:val="center"/>
              <w:rPr>
                <w:rFonts w:eastAsia="Calibri"/>
                <w:sz w:val="20"/>
                <w:szCs w:val="20"/>
              </w:rPr>
            </w:pPr>
          </w:p>
        </w:tc>
        <w:tc>
          <w:tcPr>
            <w:tcW w:w="1035" w:type="dxa"/>
            <w:vAlign w:val="center"/>
          </w:tcPr>
          <w:p w14:paraId="19A31B93"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X</w:t>
            </w:r>
          </w:p>
        </w:tc>
        <w:tc>
          <w:tcPr>
            <w:tcW w:w="1020" w:type="dxa"/>
            <w:vAlign w:val="center"/>
          </w:tcPr>
          <w:p w14:paraId="21658D1A" w14:textId="77777777" w:rsidR="0023408F" w:rsidRPr="0023408F" w:rsidRDefault="0023408F" w:rsidP="0023408F">
            <w:pPr>
              <w:spacing w:after="0" w:line="240" w:lineRule="auto"/>
              <w:jc w:val="center"/>
              <w:rPr>
                <w:rFonts w:eastAsia="Calibri"/>
                <w:sz w:val="20"/>
                <w:szCs w:val="20"/>
              </w:rPr>
            </w:pPr>
          </w:p>
        </w:tc>
        <w:tc>
          <w:tcPr>
            <w:tcW w:w="1035" w:type="dxa"/>
            <w:vAlign w:val="center"/>
          </w:tcPr>
          <w:p w14:paraId="4FE2E8D9" w14:textId="77777777" w:rsidR="0023408F" w:rsidRPr="0023408F" w:rsidRDefault="0023408F" w:rsidP="0023408F">
            <w:pPr>
              <w:spacing w:after="0" w:line="240" w:lineRule="auto"/>
              <w:jc w:val="center"/>
              <w:rPr>
                <w:rFonts w:eastAsia="Calibri"/>
                <w:sz w:val="20"/>
                <w:szCs w:val="20"/>
              </w:rPr>
            </w:pPr>
          </w:p>
        </w:tc>
        <w:tc>
          <w:tcPr>
            <w:tcW w:w="1080" w:type="dxa"/>
            <w:vAlign w:val="center"/>
          </w:tcPr>
          <w:p w14:paraId="4F0BB4D5"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X</w:t>
            </w:r>
          </w:p>
        </w:tc>
        <w:tc>
          <w:tcPr>
            <w:tcW w:w="1083" w:type="dxa"/>
            <w:vMerge/>
          </w:tcPr>
          <w:p w14:paraId="0F252DB8" w14:textId="77777777" w:rsidR="0023408F" w:rsidRPr="0023408F" w:rsidRDefault="0023408F" w:rsidP="0023408F">
            <w:pPr>
              <w:spacing w:after="0" w:line="240" w:lineRule="auto"/>
              <w:jc w:val="center"/>
              <w:rPr>
                <w:rFonts w:eastAsia="Calibri"/>
                <w:sz w:val="20"/>
                <w:szCs w:val="20"/>
              </w:rPr>
            </w:pPr>
          </w:p>
        </w:tc>
      </w:tr>
      <w:tr w:rsidR="0023408F" w:rsidRPr="0023408F" w14:paraId="71199DFA" w14:textId="77777777" w:rsidTr="032B93E0">
        <w:tc>
          <w:tcPr>
            <w:tcW w:w="2895" w:type="dxa"/>
          </w:tcPr>
          <w:p w14:paraId="5AB91348" w14:textId="77777777" w:rsidR="0023408F" w:rsidRPr="0023408F" w:rsidRDefault="3DC725B9" w:rsidP="0023408F">
            <w:pPr>
              <w:spacing w:after="0" w:line="240" w:lineRule="auto"/>
              <w:rPr>
                <w:rFonts w:eastAsia="Calibri"/>
                <w:sz w:val="20"/>
                <w:szCs w:val="20"/>
              </w:rPr>
            </w:pPr>
            <w:r w:rsidRPr="032B93E0">
              <w:rPr>
                <w:rFonts w:eastAsia="Calibri"/>
                <w:sz w:val="20"/>
                <w:szCs w:val="20"/>
              </w:rPr>
              <w:t>Janssen (Single Dose Regimen)</w:t>
            </w:r>
          </w:p>
        </w:tc>
        <w:tc>
          <w:tcPr>
            <w:tcW w:w="1005" w:type="dxa"/>
            <w:vAlign w:val="center"/>
          </w:tcPr>
          <w:p w14:paraId="092595DD" w14:textId="77777777" w:rsidR="0023408F" w:rsidRPr="0023408F" w:rsidRDefault="0023408F" w:rsidP="0023408F">
            <w:pPr>
              <w:spacing w:after="0" w:line="240" w:lineRule="auto"/>
              <w:jc w:val="center"/>
              <w:rPr>
                <w:rFonts w:eastAsia="Calibri"/>
                <w:sz w:val="20"/>
                <w:szCs w:val="20"/>
              </w:rPr>
            </w:pPr>
          </w:p>
        </w:tc>
        <w:tc>
          <w:tcPr>
            <w:tcW w:w="1035" w:type="dxa"/>
            <w:vAlign w:val="center"/>
          </w:tcPr>
          <w:p w14:paraId="01F2F78F" w14:textId="77777777" w:rsidR="0023408F" w:rsidRPr="0023408F" w:rsidRDefault="0023408F" w:rsidP="0023408F">
            <w:pPr>
              <w:spacing w:after="0" w:line="240" w:lineRule="auto"/>
              <w:jc w:val="center"/>
              <w:rPr>
                <w:rFonts w:eastAsia="Calibri"/>
                <w:sz w:val="20"/>
                <w:szCs w:val="20"/>
              </w:rPr>
            </w:pPr>
          </w:p>
        </w:tc>
        <w:tc>
          <w:tcPr>
            <w:tcW w:w="1020" w:type="dxa"/>
            <w:vAlign w:val="center"/>
          </w:tcPr>
          <w:p w14:paraId="610FEC3C" w14:textId="77777777" w:rsidR="0023408F" w:rsidRPr="0023408F" w:rsidRDefault="0023408F" w:rsidP="0023408F">
            <w:pPr>
              <w:spacing w:after="0" w:line="240" w:lineRule="auto"/>
              <w:jc w:val="center"/>
              <w:rPr>
                <w:rFonts w:eastAsia="Calibri"/>
                <w:sz w:val="20"/>
                <w:szCs w:val="20"/>
              </w:rPr>
            </w:pPr>
          </w:p>
        </w:tc>
        <w:tc>
          <w:tcPr>
            <w:tcW w:w="1035" w:type="dxa"/>
            <w:vAlign w:val="center"/>
          </w:tcPr>
          <w:p w14:paraId="3AE697FC"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X</w:t>
            </w:r>
          </w:p>
        </w:tc>
        <w:tc>
          <w:tcPr>
            <w:tcW w:w="1080" w:type="dxa"/>
            <w:vAlign w:val="center"/>
          </w:tcPr>
          <w:p w14:paraId="3B617564" w14:textId="77777777" w:rsidR="0023408F" w:rsidRPr="0023408F" w:rsidRDefault="0023408F" w:rsidP="0023408F">
            <w:pPr>
              <w:spacing w:after="0" w:line="240" w:lineRule="auto"/>
              <w:jc w:val="center"/>
              <w:rPr>
                <w:rFonts w:eastAsia="Calibri"/>
                <w:sz w:val="20"/>
                <w:szCs w:val="20"/>
              </w:rPr>
            </w:pPr>
          </w:p>
        </w:tc>
        <w:tc>
          <w:tcPr>
            <w:tcW w:w="1083" w:type="dxa"/>
            <w:vMerge/>
          </w:tcPr>
          <w:p w14:paraId="24E144D0" w14:textId="77777777" w:rsidR="0023408F" w:rsidRPr="0023408F" w:rsidRDefault="0023408F" w:rsidP="0023408F">
            <w:pPr>
              <w:spacing w:after="0" w:line="240" w:lineRule="auto"/>
              <w:jc w:val="center"/>
              <w:rPr>
                <w:rFonts w:eastAsia="Calibri"/>
                <w:sz w:val="20"/>
                <w:szCs w:val="20"/>
              </w:rPr>
            </w:pPr>
          </w:p>
        </w:tc>
      </w:tr>
      <w:tr w:rsidR="0023408F" w:rsidRPr="0023408F" w14:paraId="250BFF1B" w14:textId="77777777" w:rsidTr="032B93E0">
        <w:tc>
          <w:tcPr>
            <w:tcW w:w="2895" w:type="dxa"/>
          </w:tcPr>
          <w:p w14:paraId="7ECE656B" w14:textId="77777777" w:rsidR="0023408F" w:rsidRPr="0023408F" w:rsidRDefault="3DC725B9" w:rsidP="0023408F">
            <w:pPr>
              <w:spacing w:after="0" w:line="240" w:lineRule="auto"/>
              <w:rPr>
                <w:rFonts w:eastAsia="Calibri"/>
                <w:sz w:val="20"/>
                <w:szCs w:val="20"/>
              </w:rPr>
            </w:pPr>
            <w:r w:rsidRPr="032B93E0">
              <w:rPr>
                <w:rFonts w:eastAsia="Calibri"/>
                <w:sz w:val="20"/>
                <w:szCs w:val="20"/>
              </w:rPr>
              <w:t>Janssen (Two Dose Regimen)</w:t>
            </w:r>
          </w:p>
        </w:tc>
        <w:tc>
          <w:tcPr>
            <w:tcW w:w="1005" w:type="dxa"/>
            <w:vAlign w:val="center"/>
          </w:tcPr>
          <w:p w14:paraId="4F15C5C3"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X</w:t>
            </w:r>
          </w:p>
        </w:tc>
        <w:tc>
          <w:tcPr>
            <w:tcW w:w="1035" w:type="dxa"/>
            <w:vAlign w:val="center"/>
          </w:tcPr>
          <w:p w14:paraId="1150A87A" w14:textId="77777777" w:rsidR="0023408F" w:rsidRPr="0023408F" w:rsidRDefault="0023408F" w:rsidP="0023408F">
            <w:pPr>
              <w:spacing w:after="0" w:line="240" w:lineRule="auto"/>
              <w:jc w:val="center"/>
              <w:rPr>
                <w:rFonts w:eastAsia="Calibri"/>
                <w:sz w:val="20"/>
                <w:szCs w:val="20"/>
              </w:rPr>
            </w:pPr>
          </w:p>
        </w:tc>
        <w:tc>
          <w:tcPr>
            <w:tcW w:w="1020" w:type="dxa"/>
            <w:vAlign w:val="center"/>
          </w:tcPr>
          <w:p w14:paraId="5E5C139B" w14:textId="77777777" w:rsidR="0023408F" w:rsidRPr="0023408F" w:rsidRDefault="0023408F" w:rsidP="0023408F">
            <w:pPr>
              <w:spacing w:after="0" w:line="240" w:lineRule="auto"/>
              <w:jc w:val="center"/>
              <w:rPr>
                <w:rFonts w:eastAsia="Calibri"/>
                <w:sz w:val="20"/>
                <w:szCs w:val="20"/>
              </w:rPr>
            </w:pPr>
          </w:p>
        </w:tc>
        <w:tc>
          <w:tcPr>
            <w:tcW w:w="1035" w:type="dxa"/>
            <w:vAlign w:val="center"/>
          </w:tcPr>
          <w:p w14:paraId="0D68FF7F" w14:textId="77777777" w:rsidR="0023408F" w:rsidRPr="0023408F" w:rsidRDefault="0023408F" w:rsidP="0023408F">
            <w:pPr>
              <w:spacing w:after="0" w:line="240" w:lineRule="auto"/>
              <w:jc w:val="center"/>
              <w:rPr>
                <w:rFonts w:eastAsia="Calibri"/>
                <w:sz w:val="20"/>
                <w:szCs w:val="20"/>
              </w:rPr>
            </w:pPr>
          </w:p>
        </w:tc>
        <w:tc>
          <w:tcPr>
            <w:tcW w:w="1080" w:type="dxa"/>
            <w:vAlign w:val="center"/>
          </w:tcPr>
          <w:p w14:paraId="101E6AFB"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X</w:t>
            </w:r>
          </w:p>
        </w:tc>
        <w:tc>
          <w:tcPr>
            <w:tcW w:w="1083" w:type="dxa"/>
            <w:vMerge/>
          </w:tcPr>
          <w:p w14:paraId="79FAC95D" w14:textId="77777777" w:rsidR="0023408F" w:rsidRPr="0023408F" w:rsidRDefault="0023408F" w:rsidP="0023408F">
            <w:pPr>
              <w:spacing w:after="0" w:line="240" w:lineRule="auto"/>
              <w:jc w:val="center"/>
              <w:rPr>
                <w:rFonts w:eastAsia="Calibri"/>
                <w:sz w:val="20"/>
                <w:szCs w:val="20"/>
              </w:rPr>
            </w:pPr>
          </w:p>
        </w:tc>
      </w:tr>
      <w:tr w:rsidR="0023408F" w:rsidRPr="0023408F" w14:paraId="0F5C97D6" w14:textId="77777777" w:rsidTr="032B93E0">
        <w:tc>
          <w:tcPr>
            <w:tcW w:w="2895" w:type="dxa"/>
          </w:tcPr>
          <w:p w14:paraId="58466E46" w14:textId="77777777" w:rsidR="0023408F" w:rsidRPr="0023408F" w:rsidRDefault="3DC725B9" w:rsidP="0023408F">
            <w:pPr>
              <w:spacing w:after="0" w:line="240" w:lineRule="auto"/>
              <w:rPr>
                <w:rFonts w:eastAsia="Calibri"/>
                <w:sz w:val="20"/>
                <w:szCs w:val="20"/>
              </w:rPr>
            </w:pPr>
            <w:r w:rsidRPr="032B93E0">
              <w:rPr>
                <w:rFonts w:eastAsia="Calibri"/>
                <w:sz w:val="20"/>
                <w:szCs w:val="20"/>
              </w:rPr>
              <w:t>Novavax</w:t>
            </w:r>
          </w:p>
        </w:tc>
        <w:tc>
          <w:tcPr>
            <w:tcW w:w="1005" w:type="dxa"/>
            <w:vAlign w:val="center"/>
          </w:tcPr>
          <w:p w14:paraId="21014780" w14:textId="77777777" w:rsidR="0023408F" w:rsidRPr="0023408F" w:rsidRDefault="0023408F" w:rsidP="0023408F">
            <w:pPr>
              <w:spacing w:after="0" w:line="240" w:lineRule="auto"/>
              <w:jc w:val="center"/>
              <w:rPr>
                <w:rFonts w:eastAsia="Calibri"/>
                <w:sz w:val="20"/>
                <w:szCs w:val="20"/>
              </w:rPr>
            </w:pPr>
          </w:p>
        </w:tc>
        <w:tc>
          <w:tcPr>
            <w:tcW w:w="1035" w:type="dxa"/>
            <w:vAlign w:val="center"/>
          </w:tcPr>
          <w:p w14:paraId="4920CBB2" w14:textId="77777777" w:rsidR="0023408F" w:rsidRPr="0023408F" w:rsidRDefault="0023408F" w:rsidP="0023408F">
            <w:pPr>
              <w:spacing w:after="0" w:line="240" w:lineRule="auto"/>
              <w:jc w:val="center"/>
              <w:rPr>
                <w:rFonts w:eastAsia="Calibri"/>
                <w:sz w:val="20"/>
                <w:szCs w:val="20"/>
              </w:rPr>
            </w:pPr>
          </w:p>
        </w:tc>
        <w:tc>
          <w:tcPr>
            <w:tcW w:w="1020" w:type="dxa"/>
            <w:vAlign w:val="center"/>
          </w:tcPr>
          <w:p w14:paraId="0A334F79"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X</w:t>
            </w:r>
          </w:p>
        </w:tc>
        <w:tc>
          <w:tcPr>
            <w:tcW w:w="1035" w:type="dxa"/>
            <w:vAlign w:val="center"/>
          </w:tcPr>
          <w:p w14:paraId="6D7C8655" w14:textId="77777777" w:rsidR="0023408F" w:rsidRPr="0023408F" w:rsidRDefault="0023408F" w:rsidP="0023408F">
            <w:pPr>
              <w:spacing w:after="0" w:line="240" w:lineRule="auto"/>
              <w:jc w:val="center"/>
              <w:rPr>
                <w:rFonts w:eastAsia="Calibri"/>
                <w:sz w:val="20"/>
                <w:szCs w:val="20"/>
              </w:rPr>
            </w:pPr>
          </w:p>
        </w:tc>
        <w:tc>
          <w:tcPr>
            <w:tcW w:w="1080" w:type="dxa"/>
            <w:vAlign w:val="center"/>
          </w:tcPr>
          <w:p w14:paraId="5D3A5F9E"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X</w:t>
            </w:r>
          </w:p>
        </w:tc>
        <w:tc>
          <w:tcPr>
            <w:tcW w:w="1083" w:type="dxa"/>
            <w:vMerge/>
          </w:tcPr>
          <w:p w14:paraId="23730A3D" w14:textId="77777777" w:rsidR="0023408F" w:rsidRPr="0023408F" w:rsidRDefault="0023408F" w:rsidP="0023408F">
            <w:pPr>
              <w:spacing w:after="0" w:line="240" w:lineRule="auto"/>
              <w:jc w:val="center"/>
              <w:rPr>
                <w:rFonts w:eastAsia="Calibri"/>
                <w:sz w:val="20"/>
                <w:szCs w:val="20"/>
              </w:rPr>
            </w:pPr>
          </w:p>
        </w:tc>
      </w:tr>
      <w:tr w:rsidR="0023408F" w:rsidRPr="0023408F" w14:paraId="05562CDF" w14:textId="77777777" w:rsidTr="032B93E0">
        <w:tc>
          <w:tcPr>
            <w:tcW w:w="2895" w:type="dxa"/>
          </w:tcPr>
          <w:p w14:paraId="6E399FC4" w14:textId="77777777" w:rsidR="0023408F" w:rsidRPr="0023408F" w:rsidRDefault="3DC725B9" w:rsidP="0023408F">
            <w:pPr>
              <w:spacing w:after="0" w:line="240" w:lineRule="auto"/>
              <w:rPr>
                <w:rFonts w:eastAsia="Calibri"/>
                <w:sz w:val="20"/>
                <w:szCs w:val="20"/>
              </w:rPr>
            </w:pPr>
            <w:r w:rsidRPr="032B93E0">
              <w:rPr>
                <w:rFonts w:eastAsia="Calibri"/>
                <w:sz w:val="20"/>
                <w:szCs w:val="20"/>
              </w:rPr>
              <w:t>Sanofi</w:t>
            </w:r>
          </w:p>
        </w:tc>
        <w:tc>
          <w:tcPr>
            <w:tcW w:w="1005" w:type="dxa"/>
            <w:vAlign w:val="center"/>
          </w:tcPr>
          <w:p w14:paraId="33B316CB" w14:textId="77777777" w:rsidR="0023408F" w:rsidRPr="0023408F" w:rsidRDefault="0023408F" w:rsidP="0023408F">
            <w:pPr>
              <w:spacing w:after="0" w:line="240" w:lineRule="auto"/>
              <w:jc w:val="center"/>
              <w:rPr>
                <w:rFonts w:eastAsia="Calibri"/>
                <w:sz w:val="20"/>
                <w:szCs w:val="20"/>
              </w:rPr>
            </w:pPr>
          </w:p>
        </w:tc>
        <w:tc>
          <w:tcPr>
            <w:tcW w:w="1035" w:type="dxa"/>
            <w:vAlign w:val="center"/>
          </w:tcPr>
          <w:p w14:paraId="787E357F" w14:textId="77777777" w:rsidR="0023408F" w:rsidRPr="0023408F" w:rsidRDefault="0023408F" w:rsidP="0023408F">
            <w:pPr>
              <w:spacing w:after="0" w:line="240" w:lineRule="auto"/>
              <w:jc w:val="center"/>
              <w:rPr>
                <w:rFonts w:eastAsia="Calibri"/>
                <w:sz w:val="20"/>
                <w:szCs w:val="20"/>
              </w:rPr>
            </w:pPr>
          </w:p>
        </w:tc>
        <w:tc>
          <w:tcPr>
            <w:tcW w:w="1020" w:type="dxa"/>
            <w:vAlign w:val="center"/>
          </w:tcPr>
          <w:p w14:paraId="1CD73B7B"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X</w:t>
            </w:r>
          </w:p>
        </w:tc>
        <w:tc>
          <w:tcPr>
            <w:tcW w:w="1035" w:type="dxa"/>
            <w:vAlign w:val="center"/>
          </w:tcPr>
          <w:p w14:paraId="0811985B" w14:textId="77777777" w:rsidR="0023408F" w:rsidRPr="0023408F" w:rsidRDefault="0023408F" w:rsidP="0023408F">
            <w:pPr>
              <w:spacing w:after="0" w:line="240" w:lineRule="auto"/>
              <w:jc w:val="center"/>
              <w:rPr>
                <w:rFonts w:eastAsia="Calibri"/>
                <w:sz w:val="20"/>
                <w:szCs w:val="20"/>
              </w:rPr>
            </w:pPr>
          </w:p>
        </w:tc>
        <w:tc>
          <w:tcPr>
            <w:tcW w:w="1080" w:type="dxa"/>
            <w:vAlign w:val="center"/>
          </w:tcPr>
          <w:p w14:paraId="260E9727"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X</w:t>
            </w:r>
          </w:p>
        </w:tc>
        <w:tc>
          <w:tcPr>
            <w:tcW w:w="1083" w:type="dxa"/>
            <w:vMerge/>
          </w:tcPr>
          <w:p w14:paraId="18C98092" w14:textId="77777777" w:rsidR="0023408F" w:rsidRPr="0023408F" w:rsidRDefault="0023408F" w:rsidP="0023408F">
            <w:pPr>
              <w:spacing w:after="0" w:line="240" w:lineRule="auto"/>
              <w:jc w:val="center"/>
              <w:rPr>
                <w:rFonts w:eastAsia="Calibri"/>
                <w:sz w:val="20"/>
                <w:szCs w:val="20"/>
              </w:rPr>
            </w:pPr>
          </w:p>
        </w:tc>
      </w:tr>
      <w:tr w:rsidR="0023408F" w:rsidRPr="0023408F" w14:paraId="003DEF4F" w14:textId="77777777" w:rsidTr="032B93E0">
        <w:trPr>
          <w:trHeight w:val="179"/>
        </w:trPr>
        <w:tc>
          <w:tcPr>
            <w:tcW w:w="2895" w:type="dxa"/>
          </w:tcPr>
          <w:p w14:paraId="56041398" w14:textId="77777777" w:rsidR="0023408F" w:rsidRPr="0023408F" w:rsidRDefault="3DC725B9" w:rsidP="0023408F">
            <w:pPr>
              <w:spacing w:after="0" w:line="240" w:lineRule="auto"/>
              <w:rPr>
                <w:rFonts w:eastAsia="Calibri"/>
                <w:sz w:val="20"/>
                <w:szCs w:val="20"/>
              </w:rPr>
            </w:pPr>
            <w:r w:rsidRPr="032B93E0">
              <w:rPr>
                <w:rFonts w:eastAsia="Calibri"/>
                <w:sz w:val="20"/>
                <w:szCs w:val="20"/>
              </w:rPr>
              <w:t>Placebo</w:t>
            </w:r>
          </w:p>
        </w:tc>
        <w:tc>
          <w:tcPr>
            <w:tcW w:w="1005" w:type="dxa"/>
            <w:vAlign w:val="center"/>
          </w:tcPr>
          <w:p w14:paraId="75708AFA" w14:textId="77777777" w:rsidR="0023408F" w:rsidRPr="0023408F" w:rsidRDefault="0023408F" w:rsidP="0023408F">
            <w:pPr>
              <w:spacing w:after="0" w:line="240" w:lineRule="auto"/>
              <w:jc w:val="center"/>
              <w:rPr>
                <w:rFonts w:eastAsia="Calibri"/>
                <w:sz w:val="20"/>
                <w:szCs w:val="20"/>
              </w:rPr>
            </w:pPr>
          </w:p>
        </w:tc>
        <w:tc>
          <w:tcPr>
            <w:tcW w:w="1035" w:type="dxa"/>
            <w:vAlign w:val="center"/>
          </w:tcPr>
          <w:p w14:paraId="79909413"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X</w:t>
            </w:r>
          </w:p>
        </w:tc>
        <w:tc>
          <w:tcPr>
            <w:tcW w:w="1020" w:type="dxa"/>
            <w:vAlign w:val="center"/>
          </w:tcPr>
          <w:p w14:paraId="3A8D9576" w14:textId="77777777" w:rsidR="0023408F" w:rsidRPr="0023408F" w:rsidRDefault="0023408F" w:rsidP="0023408F">
            <w:pPr>
              <w:spacing w:after="0" w:line="240" w:lineRule="auto"/>
              <w:jc w:val="center"/>
              <w:rPr>
                <w:rFonts w:eastAsia="Calibri"/>
                <w:sz w:val="20"/>
                <w:szCs w:val="20"/>
              </w:rPr>
            </w:pPr>
          </w:p>
        </w:tc>
        <w:tc>
          <w:tcPr>
            <w:tcW w:w="1035" w:type="dxa"/>
            <w:vAlign w:val="center"/>
          </w:tcPr>
          <w:p w14:paraId="64ABB3BF" w14:textId="77777777" w:rsidR="0023408F" w:rsidRPr="0023408F" w:rsidRDefault="0023408F" w:rsidP="0023408F">
            <w:pPr>
              <w:spacing w:after="0" w:line="240" w:lineRule="auto"/>
              <w:jc w:val="center"/>
              <w:rPr>
                <w:rFonts w:eastAsia="Calibri"/>
                <w:sz w:val="20"/>
                <w:szCs w:val="20"/>
              </w:rPr>
            </w:pPr>
          </w:p>
        </w:tc>
        <w:tc>
          <w:tcPr>
            <w:tcW w:w="1080" w:type="dxa"/>
            <w:vAlign w:val="center"/>
          </w:tcPr>
          <w:p w14:paraId="2A1B8519" w14:textId="77777777" w:rsidR="0023408F" w:rsidRPr="0023408F" w:rsidRDefault="3DC725B9" w:rsidP="0023408F">
            <w:pPr>
              <w:spacing w:after="0" w:line="240" w:lineRule="auto"/>
              <w:jc w:val="center"/>
              <w:rPr>
                <w:rFonts w:eastAsia="Calibri"/>
                <w:sz w:val="20"/>
                <w:szCs w:val="20"/>
              </w:rPr>
            </w:pPr>
            <w:r w:rsidRPr="032B93E0">
              <w:rPr>
                <w:rFonts w:eastAsia="Calibri"/>
                <w:sz w:val="20"/>
                <w:szCs w:val="20"/>
              </w:rPr>
              <w:t>X</w:t>
            </w:r>
          </w:p>
        </w:tc>
        <w:tc>
          <w:tcPr>
            <w:tcW w:w="1083" w:type="dxa"/>
            <w:vMerge/>
          </w:tcPr>
          <w:p w14:paraId="7CCDDA55" w14:textId="77777777" w:rsidR="0023408F" w:rsidRPr="0023408F" w:rsidRDefault="0023408F" w:rsidP="0023408F">
            <w:pPr>
              <w:spacing w:after="0" w:line="240" w:lineRule="auto"/>
              <w:jc w:val="center"/>
              <w:rPr>
                <w:rFonts w:eastAsia="Calibri"/>
                <w:sz w:val="20"/>
                <w:szCs w:val="20"/>
              </w:rPr>
            </w:pPr>
          </w:p>
        </w:tc>
      </w:tr>
    </w:tbl>
    <w:p w14:paraId="61817635" w14:textId="77777777" w:rsidR="00D9003F" w:rsidRPr="00BB181B" w:rsidRDefault="00D9003F" w:rsidP="00D9003F">
      <w:pPr>
        <w:rPr>
          <w:sz w:val="20"/>
          <w:szCs w:val="20"/>
        </w:rPr>
      </w:pPr>
      <w:r w:rsidRPr="00BB181B">
        <w:rPr>
          <w:sz w:val="20"/>
          <w:szCs w:val="20"/>
        </w:rPr>
        <w:t xml:space="preserve">X = Vaccine candidate or control </w:t>
      </w:r>
      <w:r>
        <w:rPr>
          <w:sz w:val="20"/>
          <w:szCs w:val="20"/>
        </w:rPr>
        <w:t>article</w:t>
      </w:r>
      <w:r w:rsidRPr="00BB181B">
        <w:rPr>
          <w:sz w:val="20"/>
          <w:szCs w:val="20"/>
        </w:rPr>
        <w:t xml:space="preserve"> </w:t>
      </w:r>
      <w:r>
        <w:rPr>
          <w:sz w:val="20"/>
          <w:szCs w:val="20"/>
        </w:rPr>
        <w:t>administered</w:t>
      </w:r>
      <w:r w:rsidRPr="00BB181B">
        <w:rPr>
          <w:sz w:val="20"/>
          <w:szCs w:val="20"/>
        </w:rPr>
        <w:t>.</w:t>
      </w:r>
    </w:p>
    <w:p w14:paraId="76043F0A" w14:textId="74EC1547" w:rsidR="00F93FE2" w:rsidRDefault="085CD026" w:rsidP="0041252F">
      <w:pPr>
        <w:pStyle w:val="Heading1"/>
        <w:numPr>
          <w:ilvl w:val="0"/>
          <w:numId w:val="0"/>
        </w:numPr>
        <w:spacing w:after="120"/>
      </w:pPr>
      <w:bookmarkStart w:id="35" w:name="_Toc26242287"/>
      <w:bookmarkStart w:id="36" w:name="_Toc26243097"/>
      <w:bookmarkStart w:id="37" w:name="_Toc60811588"/>
      <w:r>
        <w:t>5</w:t>
      </w:r>
      <w:r w:rsidR="62BE92D0">
        <w:t>.</w:t>
      </w:r>
      <w:r w:rsidR="622BC32F">
        <w:t>2</w:t>
      </w:r>
      <w:r w:rsidR="0041252F">
        <w:tab/>
      </w:r>
      <w:r w:rsidR="61BB55AC">
        <w:t>Randomization</w:t>
      </w:r>
      <w:bookmarkEnd w:id="35"/>
      <w:bookmarkEnd w:id="36"/>
      <w:bookmarkEnd w:id="37"/>
    </w:p>
    <w:p w14:paraId="4BBECDA1" w14:textId="1903CF74" w:rsidR="00F93FE2" w:rsidRDefault="00E90EBD" w:rsidP="032B93E0">
      <w:pPr>
        <w:spacing w:after="160" w:line="259" w:lineRule="auto"/>
      </w:pPr>
      <w:r>
        <w:t xml:space="preserve">To account for differences among the </w:t>
      </w:r>
      <w:r>
        <w:rPr>
          <w:rFonts w:eastAsia="Times New Roman"/>
        </w:rPr>
        <w:t>a</w:t>
      </w:r>
      <w:r w:rsidR="5B38FBB9" w:rsidRPr="27B4A244">
        <w:rPr>
          <w:rFonts w:eastAsia="Times New Roman"/>
        </w:rPr>
        <w:t>nimals</w:t>
      </w:r>
      <w:r>
        <w:rPr>
          <w:rFonts w:eastAsia="Times New Roman"/>
        </w:rPr>
        <w:t>, they</w:t>
      </w:r>
      <w:r w:rsidR="5B38FBB9" w:rsidRPr="27B4A244">
        <w:rPr>
          <w:rFonts w:eastAsia="Times New Roman"/>
        </w:rPr>
        <w:t xml:space="preserve"> will be randomized</w:t>
      </w:r>
      <w:r w:rsidR="00D9003F">
        <w:rPr>
          <w:rFonts w:eastAsia="Times New Roman"/>
        </w:rPr>
        <w:t xml:space="preserve">, </w:t>
      </w:r>
      <w:r w:rsidR="006B456F">
        <w:rPr>
          <w:rFonts w:eastAsia="Times New Roman"/>
        </w:rPr>
        <w:t xml:space="preserve">stratified </w:t>
      </w:r>
      <w:r w:rsidR="006B456F">
        <w:t>by</w:t>
      </w:r>
      <w:r w:rsidR="00D9003F">
        <w:t xml:space="preserve"> sex and</w:t>
      </w:r>
      <w:r w:rsidR="51009196">
        <w:t xml:space="preserve"> body weight</w:t>
      </w:r>
      <w:r w:rsidR="51009196" w:rsidRPr="27B4A244">
        <w:rPr>
          <w:rFonts w:eastAsia="Times New Roman"/>
        </w:rPr>
        <w:t xml:space="preserve"> to receive a vaccine candidate</w:t>
      </w:r>
      <w:r w:rsidR="5CB0E95C" w:rsidRPr="27B4A244">
        <w:rPr>
          <w:rFonts w:eastAsia="Times New Roman"/>
        </w:rPr>
        <w:t xml:space="preserve"> or control</w:t>
      </w:r>
      <w:r w:rsidR="51009196" w:rsidRPr="27B4A244">
        <w:rPr>
          <w:rFonts w:eastAsia="Times New Roman"/>
        </w:rPr>
        <w:t xml:space="preserve"> </w:t>
      </w:r>
      <w:r w:rsidR="51009196" w:rsidRPr="27B4A244">
        <w:rPr>
          <w:rStyle w:val="normaltextrun"/>
        </w:rPr>
        <w:t>(Moderna, Janssen, </w:t>
      </w:r>
      <w:r w:rsidR="51009196" w:rsidRPr="27B4A244">
        <w:rPr>
          <w:rStyle w:val="spellingerror"/>
        </w:rPr>
        <w:t>Novavax</w:t>
      </w:r>
      <w:r w:rsidR="51009196" w:rsidRPr="27B4A244">
        <w:rPr>
          <w:rStyle w:val="normaltextrun"/>
        </w:rPr>
        <w:t>, Sanofi, or placebo)</w:t>
      </w:r>
      <w:r w:rsidR="5B38FBB9" w:rsidRPr="27B4A244">
        <w:rPr>
          <w:rFonts w:eastAsia="Times New Roman"/>
        </w:rPr>
        <w:t xml:space="preserve"> </w:t>
      </w:r>
      <w:r w:rsidR="1520D12E" w:rsidRPr="27B4A244">
        <w:rPr>
          <w:rFonts w:eastAsia="Times New Roman"/>
        </w:rPr>
        <w:t xml:space="preserve">or be assigned as a potential replacement. </w:t>
      </w:r>
      <w:r w:rsidR="113292AB" w:rsidRPr="27B4A244">
        <w:rPr>
          <w:rFonts w:eastAsia="Times New Roman"/>
        </w:rPr>
        <w:t xml:space="preserve">Once this is complete, </w:t>
      </w:r>
      <w:r w:rsidR="4C66F297" w:rsidRPr="27B4A244">
        <w:rPr>
          <w:rFonts w:eastAsia="Times New Roman"/>
        </w:rPr>
        <w:t>animals</w:t>
      </w:r>
      <w:r w:rsidR="5B38FBB9" w:rsidRPr="27B4A244">
        <w:rPr>
          <w:rFonts w:eastAsia="Times New Roman"/>
        </w:rPr>
        <w:t xml:space="preserve"> </w:t>
      </w:r>
      <w:r w:rsidR="19D25CE8" w:rsidRPr="27B4A244">
        <w:rPr>
          <w:rFonts w:eastAsia="Times New Roman"/>
        </w:rPr>
        <w:t xml:space="preserve">will be randomized </w:t>
      </w:r>
      <w:r w:rsidR="088E987B" w:rsidRPr="27B4A244">
        <w:rPr>
          <w:rFonts w:eastAsia="Times New Roman"/>
        </w:rPr>
        <w:t>to study-group/challenge day combinations</w:t>
      </w:r>
      <w:r w:rsidR="554AE4FF" w:rsidRPr="27B4A244">
        <w:rPr>
          <w:rFonts w:eastAsia="Times New Roman"/>
        </w:rPr>
        <w:t xml:space="preserve"> (</w:t>
      </w:r>
      <w:r w:rsidR="00D9003F">
        <w:rPr>
          <w:rFonts w:eastAsia="Times New Roman"/>
        </w:rPr>
        <w:t xml:space="preserve">balanced within </w:t>
      </w:r>
      <w:r w:rsidR="554AE4FF" w:rsidRPr="27B4A244">
        <w:rPr>
          <w:rFonts w:eastAsia="Times New Roman"/>
        </w:rPr>
        <w:t>group</w:t>
      </w:r>
      <w:r w:rsidR="00D9003F">
        <w:rPr>
          <w:rFonts w:eastAsia="Times New Roman"/>
        </w:rPr>
        <w:t xml:space="preserve"> by sex, as sample size allows</w:t>
      </w:r>
      <w:r w:rsidR="554AE4FF" w:rsidRPr="27B4A244">
        <w:rPr>
          <w:rFonts w:eastAsia="Times New Roman"/>
        </w:rPr>
        <w:t>)</w:t>
      </w:r>
      <w:r w:rsidR="088E987B" w:rsidRPr="27B4A244">
        <w:rPr>
          <w:rFonts w:eastAsia="Times New Roman"/>
        </w:rPr>
        <w:t xml:space="preserve">. </w:t>
      </w:r>
      <w:r w:rsidR="07A7219D">
        <w:t>Vaccine group in relation to challenge day are defined in Table 3</w:t>
      </w:r>
      <w:r w:rsidR="00D9003F">
        <w:t xml:space="preserve"> (protocol Table 2)</w:t>
      </w:r>
      <w:r w:rsidR="07A7219D">
        <w:t>.</w:t>
      </w:r>
    </w:p>
    <w:p w14:paraId="387998A3" w14:textId="6DCFEAEC" w:rsidR="00F93FE2" w:rsidRDefault="048BF101" w:rsidP="032B93E0">
      <w:pPr>
        <w:rPr>
          <w:rFonts w:eastAsia="Times New Roman"/>
          <w:b/>
          <w:bCs/>
          <w:szCs w:val="24"/>
        </w:rPr>
      </w:pPr>
      <w:r w:rsidRPr="032B93E0">
        <w:rPr>
          <w:rFonts w:eastAsia="Times New Roman"/>
          <w:b/>
          <w:bCs/>
          <w:szCs w:val="24"/>
        </w:rPr>
        <w:t xml:space="preserve">Table </w:t>
      </w:r>
      <w:r w:rsidR="77E0D847" w:rsidRPr="032B93E0">
        <w:rPr>
          <w:rFonts w:eastAsia="Times New Roman"/>
          <w:b/>
          <w:bCs/>
          <w:szCs w:val="24"/>
        </w:rPr>
        <w:t>3</w:t>
      </w:r>
      <w:r w:rsidRPr="032B93E0">
        <w:rPr>
          <w:rFonts w:eastAsia="Times New Roman"/>
          <w:b/>
          <w:bCs/>
          <w:szCs w:val="24"/>
        </w:rPr>
        <w:t xml:space="preserve"> Randomization to Challenge Day</w:t>
      </w:r>
    </w:p>
    <w:tbl>
      <w:tblPr>
        <w:tblW w:w="9008" w:type="dxa"/>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2"/>
        <w:gridCol w:w="2704"/>
        <w:gridCol w:w="272"/>
        <w:gridCol w:w="1520"/>
        <w:gridCol w:w="2800"/>
      </w:tblGrid>
      <w:tr w:rsidR="00AE0306" w14:paraId="45447F80" w14:textId="77777777" w:rsidTr="0071149A">
        <w:trPr>
          <w:trHeight w:val="221"/>
        </w:trPr>
        <w:tc>
          <w:tcPr>
            <w:tcW w:w="1712" w:type="dxa"/>
          </w:tcPr>
          <w:p w14:paraId="08C3B13D" w14:textId="77777777" w:rsidR="00AE0306" w:rsidRDefault="00AE0306" w:rsidP="00326F87">
            <w:pPr>
              <w:pStyle w:val="TableParagraph"/>
              <w:spacing w:line="200" w:lineRule="exact"/>
              <w:ind w:left="61" w:right="12"/>
              <w:jc w:val="center"/>
              <w:rPr>
                <w:sz w:val="21"/>
              </w:rPr>
            </w:pPr>
            <w:r>
              <w:rPr>
                <w:sz w:val="21"/>
              </w:rPr>
              <w:t>Challenge Day^</w:t>
            </w:r>
          </w:p>
        </w:tc>
        <w:tc>
          <w:tcPr>
            <w:tcW w:w="2704" w:type="dxa"/>
          </w:tcPr>
          <w:p w14:paraId="5673235C" w14:textId="77777777" w:rsidR="00AE0306" w:rsidRDefault="00AE0306" w:rsidP="00326F87">
            <w:pPr>
              <w:pStyle w:val="TableParagraph"/>
              <w:spacing w:line="200" w:lineRule="exact"/>
              <w:ind w:left="102"/>
              <w:rPr>
                <w:sz w:val="21"/>
              </w:rPr>
            </w:pPr>
            <w:r>
              <w:rPr>
                <w:sz w:val="21"/>
              </w:rPr>
              <w:t>Groups</w:t>
            </w:r>
            <w:r>
              <w:rPr>
                <w:spacing w:val="-24"/>
                <w:sz w:val="21"/>
              </w:rPr>
              <w:t xml:space="preserve"> </w:t>
            </w:r>
            <w:r>
              <w:rPr>
                <w:sz w:val="21"/>
              </w:rPr>
              <w:t>Included</w:t>
            </w:r>
            <w:r>
              <w:rPr>
                <w:spacing w:val="-15"/>
                <w:sz w:val="21"/>
              </w:rPr>
              <w:t xml:space="preserve"> </w:t>
            </w:r>
            <w:r>
              <w:rPr>
                <w:spacing w:val="-3"/>
                <w:sz w:val="21"/>
              </w:rPr>
              <w:t>(#</w:t>
            </w:r>
            <w:r>
              <w:rPr>
                <w:spacing w:val="-16"/>
                <w:sz w:val="21"/>
              </w:rPr>
              <w:t xml:space="preserve"> </w:t>
            </w:r>
            <w:r>
              <w:rPr>
                <w:spacing w:val="3"/>
                <w:sz w:val="21"/>
              </w:rPr>
              <w:t>per</w:t>
            </w:r>
            <w:r>
              <w:rPr>
                <w:spacing w:val="-27"/>
                <w:sz w:val="21"/>
              </w:rPr>
              <w:t xml:space="preserve"> </w:t>
            </w:r>
            <w:r>
              <w:rPr>
                <w:spacing w:val="-4"/>
                <w:sz w:val="21"/>
              </w:rPr>
              <w:t>Group)</w:t>
            </w:r>
          </w:p>
        </w:tc>
        <w:tc>
          <w:tcPr>
            <w:tcW w:w="272" w:type="dxa"/>
            <w:vMerge w:val="restart"/>
            <w:tcBorders>
              <w:top w:val="nil"/>
              <w:bottom w:val="nil"/>
            </w:tcBorders>
          </w:tcPr>
          <w:p w14:paraId="1A207516" w14:textId="77777777" w:rsidR="00AE0306" w:rsidRDefault="00AE0306" w:rsidP="00326F87">
            <w:pPr>
              <w:pStyle w:val="TableParagraph"/>
            </w:pPr>
          </w:p>
        </w:tc>
        <w:tc>
          <w:tcPr>
            <w:tcW w:w="1520" w:type="dxa"/>
          </w:tcPr>
          <w:p w14:paraId="6A389FB6" w14:textId="77777777" w:rsidR="00AE0306" w:rsidRDefault="00AE0306" w:rsidP="00326F87">
            <w:pPr>
              <w:pStyle w:val="TableParagraph"/>
              <w:spacing w:line="200" w:lineRule="exact"/>
              <w:ind w:left="70" w:right="37"/>
              <w:jc w:val="center"/>
              <w:rPr>
                <w:sz w:val="21"/>
              </w:rPr>
            </w:pPr>
            <w:r>
              <w:rPr>
                <w:sz w:val="21"/>
              </w:rPr>
              <w:t>Challenge Day^</w:t>
            </w:r>
          </w:p>
        </w:tc>
        <w:tc>
          <w:tcPr>
            <w:tcW w:w="2800" w:type="dxa"/>
          </w:tcPr>
          <w:p w14:paraId="1953F757" w14:textId="77777777" w:rsidR="00AE0306" w:rsidRDefault="00AE0306" w:rsidP="00326F87">
            <w:pPr>
              <w:pStyle w:val="TableParagraph"/>
              <w:spacing w:line="200" w:lineRule="exact"/>
              <w:ind w:left="118"/>
              <w:rPr>
                <w:sz w:val="21"/>
              </w:rPr>
            </w:pPr>
            <w:r>
              <w:rPr>
                <w:sz w:val="21"/>
              </w:rPr>
              <w:t>Groups Included (# per Group)</w:t>
            </w:r>
          </w:p>
        </w:tc>
      </w:tr>
      <w:tr w:rsidR="00AE0306" w14:paraId="65AA10CC" w14:textId="77777777" w:rsidTr="0071149A">
        <w:trPr>
          <w:trHeight w:val="1147"/>
        </w:trPr>
        <w:tc>
          <w:tcPr>
            <w:tcW w:w="1712" w:type="dxa"/>
          </w:tcPr>
          <w:p w14:paraId="6FDC227F" w14:textId="77777777" w:rsidR="00AE0306" w:rsidRDefault="00AE0306" w:rsidP="00326F87">
            <w:pPr>
              <w:pStyle w:val="TableParagraph"/>
              <w:rPr>
                <w:b/>
              </w:rPr>
            </w:pPr>
          </w:p>
          <w:p w14:paraId="6B244989" w14:textId="77777777" w:rsidR="00AE0306" w:rsidRDefault="00AE0306" w:rsidP="00326F87">
            <w:pPr>
              <w:pStyle w:val="TableParagraph"/>
              <w:spacing w:before="167"/>
              <w:ind w:left="50" w:right="12"/>
              <w:jc w:val="center"/>
              <w:rPr>
                <w:sz w:val="21"/>
              </w:rPr>
            </w:pPr>
            <w:r>
              <w:rPr>
                <w:sz w:val="21"/>
              </w:rPr>
              <w:t>CDA</w:t>
            </w:r>
          </w:p>
        </w:tc>
        <w:tc>
          <w:tcPr>
            <w:tcW w:w="2704" w:type="dxa"/>
          </w:tcPr>
          <w:p w14:paraId="6A260015" w14:textId="77777777" w:rsidR="00AE0306" w:rsidRDefault="00AE0306" w:rsidP="00326F87">
            <w:pPr>
              <w:pStyle w:val="TableParagraph"/>
              <w:spacing w:line="205" w:lineRule="exact"/>
              <w:ind w:left="1039" w:right="1034"/>
              <w:jc w:val="center"/>
              <w:rPr>
                <w:sz w:val="21"/>
              </w:rPr>
            </w:pPr>
            <w:r>
              <w:rPr>
                <w:spacing w:val="4"/>
                <w:sz w:val="21"/>
              </w:rPr>
              <w:t>1A</w:t>
            </w:r>
            <w:r>
              <w:rPr>
                <w:spacing w:val="-30"/>
                <w:sz w:val="21"/>
              </w:rPr>
              <w:t xml:space="preserve"> </w:t>
            </w:r>
            <w:r>
              <w:rPr>
                <w:sz w:val="21"/>
              </w:rPr>
              <w:t>(3)</w:t>
            </w:r>
          </w:p>
          <w:p w14:paraId="4EDE1473" w14:textId="77777777" w:rsidR="00AE0306" w:rsidRDefault="00AE0306" w:rsidP="00326F87">
            <w:pPr>
              <w:pStyle w:val="TableParagraph"/>
              <w:spacing w:line="224" w:lineRule="exact"/>
              <w:ind w:left="1039" w:right="1034"/>
              <w:jc w:val="center"/>
              <w:rPr>
                <w:sz w:val="21"/>
              </w:rPr>
            </w:pPr>
            <w:r>
              <w:rPr>
                <w:spacing w:val="3"/>
                <w:sz w:val="21"/>
              </w:rPr>
              <w:t>2A</w:t>
            </w:r>
            <w:r>
              <w:rPr>
                <w:spacing w:val="-30"/>
                <w:sz w:val="21"/>
              </w:rPr>
              <w:t xml:space="preserve"> </w:t>
            </w:r>
            <w:r>
              <w:rPr>
                <w:sz w:val="21"/>
              </w:rPr>
              <w:t>(3)</w:t>
            </w:r>
          </w:p>
          <w:p w14:paraId="38C34C0E" w14:textId="77777777" w:rsidR="00AE0306" w:rsidRDefault="00AE0306" w:rsidP="00326F87">
            <w:pPr>
              <w:pStyle w:val="TableParagraph"/>
              <w:spacing w:line="232" w:lineRule="exact"/>
              <w:ind w:left="1039" w:right="1034"/>
              <w:jc w:val="center"/>
              <w:rPr>
                <w:sz w:val="21"/>
              </w:rPr>
            </w:pPr>
            <w:r>
              <w:rPr>
                <w:spacing w:val="4"/>
                <w:sz w:val="21"/>
              </w:rPr>
              <w:t>3A</w:t>
            </w:r>
            <w:r>
              <w:rPr>
                <w:spacing w:val="-30"/>
                <w:sz w:val="21"/>
              </w:rPr>
              <w:t xml:space="preserve"> </w:t>
            </w:r>
            <w:r>
              <w:rPr>
                <w:sz w:val="21"/>
              </w:rPr>
              <w:t>(4)</w:t>
            </w:r>
          </w:p>
          <w:p w14:paraId="37498B7B" w14:textId="77777777" w:rsidR="00AE0306" w:rsidRDefault="00AE0306" w:rsidP="00326F87">
            <w:pPr>
              <w:pStyle w:val="TableParagraph"/>
              <w:spacing w:line="232" w:lineRule="exact"/>
              <w:ind w:left="1039" w:right="1034"/>
              <w:jc w:val="center"/>
              <w:rPr>
                <w:sz w:val="21"/>
              </w:rPr>
            </w:pPr>
            <w:r>
              <w:rPr>
                <w:spacing w:val="4"/>
                <w:sz w:val="21"/>
              </w:rPr>
              <w:t>4A</w:t>
            </w:r>
            <w:r>
              <w:rPr>
                <w:spacing w:val="-31"/>
                <w:sz w:val="21"/>
              </w:rPr>
              <w:t xml:space="preserve"> </w:t>
            </w:r>
            <w:r>
              <w:rPr>
                <w:sz w:val="21"/>
              </w:rPr>
              <w:t>(3)</w:t>
            </w:r>
          </w:p>
          <w:p w14:paraId="1B78B1B9" w14:textId="77777777" w:rsidR="00AE0306" w:rsidRDefault="00AE0306" w:rsidP="00326F87">
            <w:pPr>
              <w:pStyle w:val="TableParagraph"/>
              <w:spacing w:line="233" w:lineRule="exact"/>
              <w:ind w:left="1039" w:right="1034"/>
              <w:jc w:val="center"/>
              <w:rPr>
                <w:sz w:val="21"/>
              </w:rPr>
            </w:pPr>
            <w:r>
              <w:rPr>
                <w:spacing w:val="4"/>
                <w:sz w:val="21"/>
              </w:rPr>
              <w:t>5A</w:t>
            </w:r>
            <w:r>
              <w:rPr>
                <w:spacing w:val="-30"/>
                <w:sz w:val="21"/>
              </w:rPr>
              <w:t xml:space="preserve"> </w:t>
            </w:r>
            <w:r>
              <w:rPr>
                <w:sz w:val="21"/>
              </w:rPr>
              <w:t>(2)</w:t>
            </w:r>
          </w:p>
        </w:tc>
        <w:tc>
          <w:tcPr>
            <w:tcW w:w="272" w:type="dxa"/>
            <w:vMerge/>
            <w:tcBorders>
              <w:top w:val="nil"/>
              <w:bottom w:val="nil"/>
            </w:tcBorders>
          </w:tcPr>
          <w:p w14:paraId="0046B6FD" w14:textId="77777777" w:rsidR="00AE0306" w:rsidRDefault="00AE0306" w:rsidP="00326F87">
            <w:pPr>
              <w:rPr>
                <w:sz w:val="2"/>
                <w:szCs w:val="2"/>
              </w:rPr>
            </w:pPr>
          </w:p>
        </w:tc>
        <w:tc>
          <w:tcPr>
            <w:tcW w:w="1520" w:type="dxa"/>
          </w:tcPr>
          <w:p w14:paraId="33E6C4E7" w14:textId="77777777" w:rsidR="00AE0306" w:rsidRDefault="00AE0306" w:rsidP="00326F87">
            <w:pPr>
              <w:pStyle w:val="TableParagraph"/>
              <w:rPr>
                <w:b/>
              </w:rPr>
            </w:pPr>
          </w:p>
          <w:p w14:paraId="371CA637" w14:textId="77777777" w:rsidR="00AE0306" w:rsidRDefault="00AE0306" w:rsidP="00326F87">
            <w:pPr>
              <w:pStyle w:val="TableParagraph"/>
              <w:spacing w:before="167"/>
              <w:ind w:left="52" w:right="37"/>
              <w:jc w:val="center"/>
              <w:rPr>
                <w:sz w:val="21"/>
              </w:rPr>
            </w:pPr>
            <w:r>
              <w:rPr>
                <w:sz w:val="21"/>
              </w:rPr>
              <w:t>CDE</w:t>
            </w:r>
          </w:p>
        </w:tc>
        <w:tc>
          <w:tcPr>
            <w:tcW w:w="2800" w:type="dxa"/>
          </w:tcPr>
          <w:p w14:paraId="61215B1A" w14:textId="77777777" w:rsidR="00AE0306" w:rsidRDefault="00AE0306" w:rsidP="00326F87">
            <w:pPr>
              <w:pStyle w:val="TableParagraph"/>
              <w:spacing w:line="205" w:lineRule="exact"/>
              <w:ind w:left="1093" w:right="1101"/>
              <w:jc w:val="center"/>
              <w:rPr>
                <w:sz w:val="21"/>
              </w:rPr>
            </w:pPr>
            <w:r>
              <w:rPr>
                <w:spacing w:val="4"/>
                <w:sz w:val="21"/>
              </w:rPr>
              <w:t>1E</w:t>
            </w:r>
            <w:r>
              <w:rPr>
                <w:spacing w:val="-24"/>
                <w:sz w:val="21"/>
              </w:rPr>
              <w:t xml:space="preserve"> </w:t>
            </w:r>
            <w:r>
              <w:rPr>
                <w:sz w:val="21"/>
              </w:rPr>
              <w:t>(4)</w:t>
            </w:r>
          </w:p>
          <w:p w14:paraId="57B0ED74" w14:textId="77777777" w:rsidR="00AE0306" w:rsidRDefault="00AE0306" w:rsidP="00326F87">
            <w:pPr>
              <w:pStyle w:val="TableParagraph"/>
              <w:spacing w:line="224" w:lineRule="exact"/>
              <w:ind w:left="1106" w:right="1101"/>
              <w:jc w:val="center"/>
              <w:rPr>
                <w:sz w:val="21"/>
              </w:rPr>
            </w:pPr>
            <w:r>
              <w:rPr>
                <w:spacing w:val="4"/>
                <w:sz w:val="21"/>
              </w:rPr>
              <w:t>2D</w:t>
            </w:r>
            <w:r>
              <w:rPr>
                <w:spacing w:val="-30"/>
                <w:sz w:val="21"/>
              </w:rPr>
              <w:t xml:space="preserve"> </w:t>
            </w:r>
            <w:r>
              <w:rPr>
                <w:sz w:val="21"/>
              </w:rPr>
              <w:t>(3)</w:t>
            </w:r>
          </w:p>
          <w:p w14:paraId="39926264" w14:textId="77777777" w:rsidR="00AE0306" w:rsidRDefault="00AE0306" w:rsidP="00326F87">
            <w:pPr>
              <w:pStyle w:val="TableParagraph"/>
              <w:spacing w:line="232" w:lineRule="exact"/>
              <w:ind w:left="1093" w:right="1101"/>
              <w:jc w:val="center"/>
              <w:rPr>
                <w:sz w:val="21"/>
              </w:rPr>
            </w:pPr>
            <w:r>
              <w:rPr>
                <w:spacing w:val="4"/>
                <w:sz w:val="21"/>
              </w:rPr>
              <w:t>3E</w:t>
            </w:r>
            <w:r>
              <w:rPr>
                <w:spacing w:val="-24"/>
                <w:sz w:val="21"/>
              </w:rPr>
              <w:t xml:space="preserve"> </w:t>
            </w:r>
            <w:r>
              <w:rPr>
                <w:sz w:val="21"/>
              </w:rPr>
              <w:t>(4)</w:t>
            </w:r>
          </w:p>
          <w:p w14:paraId="3FD57BB5" w14:textId="77777777" w:rsidR="00AE0306" w:rsidRDefault="00AE0306" w:rsidP="00326F87">
            <w:pPr>
              <w:pStyle w:val="TableParagraph"/>
              <w:spacing w:line="232" w:lineRule="exact"/>
              <w:ind w:left="1093" w:right="1101"/>
              <w:jc w:val="center"/>
              <w:rPr>
                <w:sz w:val="21"/>
              </w:rPr>
            </w:pPr>
            <w:r>
              <w:rPr>
                <w:spacing w:val="4"/>
                <w:sz w:val="21"/>
              </w:rPr>
              <w:t>4E</w:t>
            </w:r>
            <w:r>
              <w:rPr>
                <w:spacing w:val="-24"/>
                <w:sz w:val="21"/>
              </w:rPr>
              <w:t xml:space="preserve"> </w:t>
            </w:r>
            <w:r>
              <w:rPr>
                <w:sz w:val="21"/>
              </w:rPr>
              <w:t>(4)</w:t>
            </w:r>
          </w:p>
          <w:p w14:paraId="7BF79F60" w14:textId="77777777" w:rsidR="00AE0306" w:rsidRDefault="00AE0306" w:rsidP="00326F87">
            <w:pPr>
              <w:pStyle w:val="TableParagraph"/>
              <w:spacing w:line="233" w:lineRule="exact"/>
              <w:ind w:left="1106" w:right="1101"/>
              <w:jc w:val="center"/>
              <w:rPr>
                <w:sz w:val="21"/>
              </w:rPr>
            </w:pPr>
            <w:r>
              <w:rPr>
                <w:spacing w:val="4"/>
                <w:sz w:val="21"/>
              </w:rPr>
              <w:t>5A</w:t>
            </w:r>
            <w:r>
              <w:rPr>
                <w:spacing w:val="-30"/>
                <w:sz w:val="21"/>
              </w:rPr>
              <w:t xml:space="preserve"> </w:t>
            </w:r>
            <w:r>
              <w:rPr>
                <w:sz w:val="21"/>
              </w:rPr>
              <w:t>(2)</w:t>
            </w:r>
          </w:p>
        </w:tc>
      </w:tr>
      <w:tr w:rsidR="00AE0306" w14:paraId="50B97C72" w14:textId="77777777" w:rsidTr="0071149A">
        <w:trPr>
          <w:trHeight w:val="1355"/>
        </w:trPr>
        <w:tc>
          <w:tcPr>
            <w:tcW w:w="1712" w:type="dxa"/>
          </w:tcPr>
          <w:p w14:paraId="485343BE" w14:textId="77777777" w:rsidR="00AE0306" w:rsidRDefault="00AE0306" w:rsidP="00326F87">
            <w:pPr>
              <w:pStyle w:val="TableParagraph"/>
              <w:rPr>
                <w:b/>
              </w:rPr>
            </w:pPr>
          </w:p>
          <w:p w14:paraId="3D5A9D80" w14:textId="77777777" w:rsidR="00AE0306" w:rsidRDefault="00AE0306" w:rsidP="00326F87">
            <w:pPr>
              <w:pStyle w:val="TableParagraph"/>
              <w:spacing w:before="3"/>
              <w:rPr>
                <w:b/>
                <w:sz w:val="24"/>
              </w:rPr>
            </w:pPr>
          </w:p>
          <w:p w14:paraId="58590A4B" w14:textId="77777777" w:rsidR="00AE0306" w:rsidRDefault="00AE0306" w:rsidP="00326F87">
            <w:pPr>
              <w:pStyle w:val="TableParagraph"/>
              <w:ind w:left="38" w:right="12"/>
              <w:jc w:val="center"/>
              <w:rPr>
                <w:sz w:val="21"/>
              </w:rPr>
            </w:pPr>
            <w:r>
              <w:rPr>
                <w:sz w:val="21"/>
              </w:rPr>
              <w:t>CDB</w:t>
            </w:r>
          </w:p>
        </w:tc>
        <w:tc>
          <w:tcPr>
            <w:tcW w:w="2704" w:type="dxa"/>
          </w:tcPr>
          <w:p w14:paraId="6AECD46F" w14:textId="77777777" w:rsidR="00AE0306" w:rsidRDefault="00AE0306" w:rsidP="00326F87">
            <w:pPr>
              <w:pStyle w:val="TableParagraph"/>
              <w:spacing w:line="197" w:lineRule="exact"/>
              <w:ind w:left="1039" w:right="1034"/>
              <w:jc w:val="center"/>
              <w:rPr>
                <w:sz w:val="21"/>
              </w:rPr>
            </w:pPr>
            <w:r>
              <w:rPr>
                <w:spacing w:val="4"/>
                <w:sz w:val="21"/>
              </w:rPr>
              <w:t>1B</w:t>
            </w:r>
            <w:r>
              <w:rPr>
                <w:spacing w:val="-19"/>
                <w:sz w:val="21"/>
              </w:rPr>
              <w:t xml:space="preserve"> </w:t>
            </w:r>
            <w:r>
              <w:rPr>
                <w:sz w:val="21"/>
              </w:rPr>
              <w:t>(3)</w:t>
            </w:r>
          </w:p>
          <w:p w14:paraId="1A9E8376" w14:textId="77777777" w:rsidR="00AE0306" w:rsidRDefault="00AE0306" w:rsidP="00326F87">
            <w:pPr>
              <w:pStyle w:val="TableParagraph"/>
              <w:spacing w:line="232" w:lineRule="exact"/>
              <w:ind w:left="1039" w:right="1034"/>
              <w:jc w:val="center"/>
              <w:rPr>
                <w:sz w:val="21"/>
              </w:rPr>
            </w:pPr>
            <w:r>
              <w:rPr>
                <w:spacing w:val="3"/>
                <w:sz w:val="21"/>
              </w:rPr>
              <w:t>2A</w:t>
            </w:r>
            <w:r>
              <w:rPr>
                <w:spacing w:val="-29"/>
                <w:sz w:val="21"/>
              </w:rPr>
              <w:t xml:space="preserve"> </w:t>
            </w:r>
            <w:r>
              <w:rPr>
                <w:sz w:val="21"/>
              </w:rPr>
              <w:t>(3)</w:t>
            </w:r>
          </w:p>
          <w:p w14:paraId="4E261750" w14:textId="77777777" w:rsidR="00AE0306" w:rsidRDefault="00AE0306" w:rsidP="00326F87">
            <w:pPr>
              <w:pStyle w:val="TableParagraph"/>
              <w:spacing w:line="224" w:lineRule="exact"/>
              <w:ind w:left="1039" w:right="1034"/>
              <w:jc w:val="center"/>
              <w:rPr>
                <w:sz w:val="21"/>
              </w:rPr>
            </w:pPr>
            <w:r>
              <w:rPr>
                <w:spacing w:val="3"/>
                <w:sz w:val="21"/>
              </w:rPr>
              <w:t>2B</w:t>
            </w:r>
            <w:r>
              <w:rPr>
                <w:spacing w:val="-19"/>
                <w:sz w:val="21"/>
              </w:rPr>
              <w:t xml:space="preserve"> </w:t>
            </w:r>
            <w:r>
              <w:rPr>
                <w:sz w:val="21"/>
              </w:rPr>
              <w:t>(3)</w:t>
            </w:r>
          </w:p>
          <w:p w14:paraId="265942EA" w14:textId="77777777" w:rsidR="00AE0306" w:rsidRDefault="00AE0306" w:rsidP="00326F87">
            <w:pPr>
              <w:pStyle w:val="TableParagraph"/>
              <w:spacing w:line="232" w:lineRule="exact"/>
              <w:ind w:left="1039" w:right="1034"/>
              <w:jc w:val="center"/>
              <w:rPr>
                <w:sz w:val="21"/>
              </w:rPr>
            </w:pPr>
            <w:r>
              <w:rPr>
                <w:spacing w:val="4"/>
                <w:sz w:val="21"/>
              </w:rPr>
              <w:t>3B</w:t>
            </w:r>
            <w:r>
              <w:rPr>
                <w:spacing w:val="-19"/>
                <w:sz w:val="21"/>
              </w:rPr>
              <w:t xml:space="preserve"> </w:t>
            </w:r>
            <w:r>
              <w:rPr>
                <w:sz w:val="21"/>
              </w:rPr>
              <w:t>(3)</w:t>
            </w:r>
          </w:p>
          <w:p w14:paraId="4968BF3C" w14:textId="77777777" w:rsidR="00AE0306" w:rsidRDefault="00AE0306" w:rsidP="00326F87">
            <w:pPr>
              <w:pStyle w:val="TableParagraph"/>
              <w:spacing w:line="232" w:lineRule="exact"/>
              <w:ind w:left="1039" w:right="1034"/>
              <w:jc w:val="center"/>
              <w:rPr>
                <w:sz w:val="21"/>
              </w:rPr>
            </w:pPr>
            <w:r>
              <w:rPr>
                <w:spacing w:val="4"/>
                <w:sz w:val="21"/>
              </w:rPr>
              <w:t>4B</w:t>
            </w:r>
            <w:r>
              <w:rPr>
                <w:spacing w:val="-19"/>
                <w:sz w:val="21"/>
              </w:rPr>
              <w:t xml:space="preserve"> </w:t>
            </w:r>
            <w:r>
              <w:rPr>
                <w:sz w:val="21"/>
              </w:rPr>
              <w:t>(3)</w:t>
            </w:r>
          </w:p>
          <w:p w14:paraId="527D2B6D" w14:textId="77777777" w:rsidR="00AE0306" w:rsidRDefault="00AE0306" w:rsidP="00326F87">
            <w:pPr>
              <w:pStyle w:val="TableParagraph"/>
              <w:spacing w:line="219" w:lineRule="exact"/>
              <w:ind w:left="1039" w:right="1034"/>
              <w:jc w:val="center"/>
              <w:rPr>
                <w:sz w:val="21"/>
              </w:rPr>
            </w:pPr>
            <w:r>
              <w:rPr>
                <w:spacing w:val="4"/>
                <w:sz w:val="21"/>
              </w:rPr>
              <w:t>5A</w:t>
            </w:r>
            <w:r>
              <w:rPr>
                <w:spacing w:val="-30"/>
                <w:sz w:val="21"/>
              </w:rPr>
              <w:t xml:space="preserve"> </w:t>
            </w:r>
            <w:r>
              <w:rPr>
                <w:sz w:val="21"/>
              </w:rPr>
              <w:t>(2)</w:t>
            </w:r>
          </w:p>
        </w:tc>
        <w:tc>
          <w:tcPr>
            <w:tcW w:w="272" w:type="dxa"/>
            <w:vMerge/>
            <w:tcBorders>
              <w:top w:val="nil"/>
              <w:bottom w:val="nil"/>
            </w:tcBorders>
          </w:tcPr>
          <w:p w14:paraId="26F7CB24" w14:textId="77777777" w:rsidR="00AE0306" w:rsidRDefault="00AE0306" w:rsidP="00326F87">
            <w:pPr>
              <w:rPr>
                <w:sz w:val="2"/>
                <w:szCs w:val="2"/>
              </w:rPr>
            </w:pPr>
          </w:p>
        </w:tc>
        <w:tc>
          <w:tcPr>
            <w:tcW w:w="1520" w:type="dxa"/>
          </w:tcPr>
          <w:p w14:paraId="0B38F60E" w14:textId="77777777" w:rsidR="00AE0306" w:rsidRDefault="00AE0306" w:rsidP="00326F87">
            <w:pPr>
              <w:pStyle w:val="TableParagraph"/>
              <w:rPr>
                <w:b/>
              </w:rPr>
            </w:pPr>
          </w:p>
          <w:p w14:paraId="23441FA0" w14:textId="77777777" w:rsidR="00AE0306" w:rsidRDefault="00AE0306" w:rsidP="00326F87">
            <w:pPr>
              <w:pStyle w:val="TableParagraph"/>
              <w:spacing w:before="3"/>
              <w:rPr>
                <w:b/>
                <w:sz w:val="24"/>
              </w:rPr>
            </w:pPr>
          </w:p>
          <w:p w14:paraId="077DFADF" w14:textId="77777777" w:rsidR="00AE0306" w:rsidRDefault="00AE0306" w:rsidP="00326F87">
            <w:pPr>
              <w:pStyle w:val="TableParagraph"/>
              <w:ind w:left="40" w:right="37"/>
              <w:jc w:val="center"/>
              <w:rPr>
                <w:sz w:val="21"/>
              </w:rPr>
            </w:pPr>
            <w:r>
              <w:rPr>
                <w:sz w:val="21"/>
              </w:rPr>
              <w:t>CDF</w:t>
            </w:r>
          </w:p>
        </w:tc>
        <w:tc>
          <w:tcPr>
            <w:tcW w:w="2800" w:type="dxa"/>
          </w:tcPr>
          <w:p w14:paraId="070DE3E7" w14:textId="77777777" w:rsidR="00AE0306" w:rsidRDefault="00AE0306" w:rsidP="00326F87">
            <w:pPr>
              <w:pStyle w:val="TableParagraph"/>
              <w:spacing w:before="68" w:line="241" w:lineRule="exact"/>
              <w:ind w:left="1106" w:right="1101"/>
              <w:jc w:val="center"/>
              <w:rPr>
                <w:sz w:val="21"/>
              </w:rPr>
            </w:pPr>
            <w:r>
              <w:rPr>
                <w:spacing w:val="4"/>
                <w:sz w:val="21"/>
              </w:rPr>
              <w:t>1B</w:t>
            </w:r>
            <w:r>
              <w:rPr>
                <w:spacing w:val="-19"/>
                <w:sz w:val="21"/>
              </w:rPr>
              <w:t xml:space="preserve"> </w:t>
            </w:r>
            <w:r>
              <w:rPr>
                <w:sz w:val="21"/>
              </w:rPr>
              <w:t>(3)</w:t>
            </w:r>
          </w:p>
          <w:p w14:paraId="3AECD2CF" w14:textId="77777777" w:rsidR="00AE0306" w:rsidRDefault="00AE0306" w:rsidP="00326F87">
            <w:pPr>
              <w:pStyle w:val="TableParagraph"/>
              <w:spacing w:line="232" w:lineRule="exact"/>
              <w:ind w:left="1093" w:right="1101"/>
              <w:jc w:val="center"/>
              <w:rPr>
                <w:sz w:val="21"/>
              </w:rPr>
            </w:pPr>
            <w:r>
              <w:rPr>
                <w:spacing w:val="4"/>
                <w:sz w:val="21"/>
              </w:rPr>
              <w:t>2E</w:t>
            </w:r>
            <w:r>
              <w:rPr>
                <w:spacing w:val="-24"/>
                <w:sz w:val="21"/>
              </w:rPr>
              <w:t xml:space="preserve"> </w:t>
            </w:r>
            <w:r>
              <w:rPr>
                <w:sz w:val="21"/>
              </w:rPr>
              <w:t>(3)</w:t>
            </w:r>
          </w:p>
          <w:p w14:paraId="2A602A63" w14:textId="77777777" w:rsidR="00AE0306" w:rsidRDefault="00AE0306" w:rsidP="00326F87">
            <w:pPr>
              <w:pStyle w:val="TableParagraph"/>
              <w:spacing w:line="224" w:lineRule="exact"/>
              <w:ind w:left="1106" w:right="1101"/>
              <w:jc w:val="center"/>
              <w:rPr>
                <w:sz w:val="21"/>
              </w:rPr>
            </w:pPr>
            <w:r>
              <w:rPr>
                <w:spacing w:val="4"/>
                <w:sz w:val="21"/>
              </w:rPr>
              <w:t>3B</w:t>
            </w:r>
            <w:r>
              <w:rPr>
                <w:spacing w:val="-19"/>
                <w:sz w:val="21"/>
              </w:rPr>
              <w:t xml:space="preserve"> </w:t>
            </w:r>
            <w:r>
              <w:rPr>
                <w:sz w:val="21"/>
              </w:rPr>
              <w:t>(3)</w:t>
            </w:r>
          </w:p>
          <w:p w14:paraId="4646F3FA" w14:textId="77777777" w:rsidR="00AE0306" w:rsidRDefault="00AE0306" w:rsidP="00326F87">
            <w:pPr>
              <w:pStyle w:val="TableParagraph"/>
              <w:spacing w:line="232" w:lineRule="exact"/>
              <w:ind w:left="1106" w:right="1101"/>
              <w:jc w:val="center"/>
              <w:rPr>
                <w:sz w:val="21"/>
              </w:rPr>
            </w:pPr>
            <w:r>
              <w:rPr>
                <w:spacing w:val="4"/>
                <w:sz w:val="21"/>
              </w:rPr>
              <w:t>4B</w:t>
            </w:r>
            <w:r>
              <w:rPr>
                <w:spacing w:val="-19"/>
                <w:sz w:val="21"/>
              </w:rPr>
              <w:t xml:space="preserve"> </w:t>
            </w:r>
            <w:r>
              <w:rPr>
                <w:sz w:val="21"/>
              </w:rPr>
              <w:t>(3)</w:t>
            </w:r>
          </w:p>
          <w:p w14:paraId="2B0A99C2" w14:textId="77777777" w:rsidR="00AE0306" w:rsidRDefault="00AE0306" w:rsidP="00326F87">
            <w:pPr>
              <w:pStyle w:val="TableParagraph"/>
              <w:spacing w:line="241" w:lineRule="exact"/>
              <w:ind w:left="1106" w:right="1101"/>
              <w:jc w:val="center"/>
              <w:rPr>
                <w:sz w:val="21"/>
              </w:rPr>
            </w:pPr>
            <w:r>
              <w:rPr>
                <w:spacing w:val="4"/>
                <w:sz w:val="21"/>
              </w:rPr>
              <w:t>5A</w:t>
            </w:r>
            <w:r>
              <w:rPr>
                <w:spacing w:val="-30"/>
                <w:sz w:val="21"/>
              </w:rPr>
              <w:t xml:space="preserve"> </w:t>
            </w:r>
            <w:r>
              <w:rPr>
                <w:sz w:val="21"/>
              </w:rPr>
              <w:t>(2)</w:t>
            </w:r>
          </w:p>
        </w:tc>
      </w:tr>
      <w:tr w:rsidR="00AE0306" w14:paraId="42500769" w14:textId="77777777" w:rsidTr="0071149A">
        <w:trPr>
          <w:trHeight w:val="1372"/>
        </w:trPr>
        <w:tc>
          <w:tcPr>
            <w:tcW w:w="1712" w:type="dxa"/>
          </w:tcPr>
          <w:p w14:paraId="76E7FA80" w14:textId="77777777" w:rsidR="00AE0306" w:rsidRDefault="00AE0306" w:rsidP="00326F87">
            <w:pPr>
              <w:pStyle w:val="TableParagraph"/>
              <w:rPr>
                <w:b/>
              </w:rPr>
            </w:pPr>
          </w:p>
          <w:p w14:paraId="3C81FF94" w14:textId="77777777" w:rsidR="00AE0306" w:rsidRDefault="00AE0306" w:rsidP="00326F87">
            <w:pPr>
              <w:pStyle w:val="TableParagraph"/>
              <w:spacing w:before="8"/>
              <w:rPr>
                <w:b/>
                <w:sz w:val="25"/>
              </w:rPr>
            </w:pPr>
          </w:p>
          <w:p w14:paraId="6236AD00" w14:textId="77777777" w:rsidR="00AE0306" w:rsidRDefault="00AE0306" w:rsidP="00326F87">
            <w:pPr>
              <w:pStyle w:val="TableParagraph"/>
              <w:ind w:left="38" w:right="12"/>
              <w:jc w:val="center"/>
              <w:rPr>
                <w:sz w:val="21"/>
              </w:rPr>
            </w:pPr>
            <w:r>
              <w:rPr>
                <w:sz w:val="21"/>
              </w:rPr>
              <w:t>CDC</w:t>
            </w:r>
          </w:p>
        </w:tc>
        <w:tc>
          <w:tcPr>
            <w:tcW w:w="2704" w:type="dxa"/>
          </w:tcPr>
          <w:p w14:paraId="6697C9D7" w14:textId="77777777" w:rsidR="00AE0306" w:rsidRDefault="00AE0306" w:rsidP="00326F87">
            <w:pPr>
              <w:pStyle w:val="TableParagraph"/>
              <w:spacing w:line="205" w:lineRule="exact"/>
              <w:ind w:left="1039" w:right="1034"/>
              <w:jc w:val="center"/>
              <w:rPr>
                <w:sz w:val="21"/>
              </w:rPr>
            </w:pPr>
            <w:r>
              <w:rPr>
                <w:spacing w:val="4"/>
                <w:sz w:val="21"/>
              </w:rPr>
              <w:t>1C</w:t>
            </w:r>
            <w:r>
              <w:rPr>
                <w:spacing w:val="-19"/>
                <w:sz w:val="21"/>
              </w:rPr>
              <w:t xml:space="preserve"> </w:t>
            </w:r>
            <w:r>
              <w:rPr>
                <w:sz w:val="21"/>
              </w:rPr>
              <w:t>(3)</w:t>
            </w:r>
          </w:p>
          <w:p w14:paraId="68272C12" w14:textId="77777777" w:rsidR="00AE0306" w:rsidRDefault="00AE0306" w:rsidP="00326F87">
            <w:pPr>
              <w:pStyle w:val="TableParagraph"/>
              <w:spacing w:line="232" w:lineRule="exact"/>
              <w:ind w:left="1039" w:right="1034"/>
              <w:jc w:val="center"/>
              <w:rPr>
                <w:sz w:val="21"/>
              </w:rPr>
            </w:pPr>
            <w:r>
              <w:rPr>
                <w:spacing w:val="3"/>
                <w:sz w:val="21"/>
              </w:rPr>
              <w:t>2B</w:t>
            </w:r>
            <w:r>
              <w:rPr>
                <w:spacing w:val="-19"/>
                <w:sz w:val="21"/>
              </w:rPr>
              <w:t xml:space="preserve"> </w:t>
            </w:r>
            <w:r>
              <w:rPr>
                <w:sz w:val="21"/>
              </w:rPr>
              <w:t>(3)</w:t>
            </w:r>
          </w:p>
          <w:p w14:paraId="41D2AF1E" w14:textId="77777777" w:rsidR="00AE0306" w:rsidRDefault="00AE0306" w:rsidP="00326F87">
            <w:pPr>
              <w:pStyle w:val="TableParagraph"/>
              <w:spacing w:line="232" w:lineRule="exact"/>
              <w:ind w:left="1039" w:right="1034"/>
              <w:jc w:val="center"/>
              <w:rPr>
                <w:sz w:val="21"/>
              </w:rPr>
            </w:pPr>
            <w:r>
              <w:rPr>
                <w:spacing w:val="3"/>
                <w:sz w:val="21"/>
              </w:rPr>
              <w:t>2C</w:t>
            </w:r>
            <w:r>
              <w:rPr>
                <w:spacing w:val="-19"/>
                <w:sz w:val="21"/>
              </w:rPr>
              <w:t xml:space="preserve"> </w:t>
            </w:r>
            <w:r>
              <w:rPr>
                <w:sz w:val="21"/>
              </w:rPr>
              <w:t>(2)</w:t>
            </w:r>
          </w:p>
          <w:p w14:paraId="4A94E00C" w14:textId="77777777" w:rsidR="00AE0306" w:rsidRDefault="00AE0306" w:rsidP="00326F87">
            <w:pPr>
              <w:pStyle w:val="TableParagraph"/>
              <w:spacing w:line="232" w:lineRule="exact"/>
              <w:ind w:left="1039" w:right="1034"/>
              <w:jc w:val="center"/>
              <w:rPr>
                <w:sz w:val="21"/>
              </w:rPr>
            </w:pPr>
            <w:r>
              <w:rPr>
                <w:spacing w:val="4"/>
                <w:sz w:val="21"/>
              </w:rPr>
              <w:t>3C</w:t>
            </w:r>
            <w:r>
              <w:rPr>
                <w:spacing w:val="-19"/>
                <w:sz w:val="21"/>
              </w:rPr>
              <w:t xml:space="preserve"> </w:t>
            </w:r>
            <w:r>
              <w:rPr>
                <w:sz w:val="21"/>
              </w:rPr>
              <w:t>(3)</w:t>
            </w:r>
          </w:p>
          <w:p w14:paraId="4C641782" w14:textId="77777777" w:rsidR="00AE0306" w:rsidRDefault="00AE0306" w:rsidP="00326F87">
            <w:pPr>
              <w:pStyle w:val="TableParagraph"/>
              <w:spacing w:line="232" w:lineRule="exact"/>
              <w:ind w:left="1039" w:right="1034"/>
              <w:jc w:val="center"/>
              <w:rPr>
                <w:sz w:val="21"/>
              </w:rPr>
            </w:pPr>
            <w:r>
              <w:rPr>
                <w:spacing w:val="4"/>
                <w:sz w:val="21"/>
              </w:rPr>
              <w:t>4C</w:t>
            </w:r>
            <w:r>
              <w:rPr>
                <w:spacing w:val="-19"/>
                <w:sz w:val="21"/>
              </w:rPr>
              <w:t xml:space="preserve"> </w:t>
            </w:r>
            <w:r>
              <w:rPr>
                <w:sz w:val="21"/>
              </w:rPr>
              <w:t>(3)</w:t>
            </w:r>
          </w:p>
          <w:p w14:paraId="36E6A653" w14:textId="77777777" w:rsidR="00AE0306" w:rsidRDefault="00AE0306" w:rsidP="00326F87">
            <w:pPr>
              <w:pStyle w:val="TableParagraph"/>
              <w:spacing w:line="219" w:lineRule="exact"/>
              <w:ind w:left="1039" w:right="1034"/>
              <w:jc w:val="center"/>
              <w:rPr>
                <w:sz w:val="21"/>
              </w:rPr>
            </w:pPr>
            <w:r>
              <w:rPr>
                <w:spacing w:val="4"/>
                <w:sz w:val="21"/>
              </w:rPr>
              <w:t>5A</w:t>
            </w:r>
            <w:r>
              <w:rPr>
                <w:spacing w:val="-30"/>
                <w:sz w:val="21"/>
              </w:rPr>
              <w:t xml:space="preserve"> </w:t>
            </w:r>
            <w:r>
              <w:rPr>
                <w:sz w:val="21"/>
              </w:rPr>
              <w:t>(2)</w:t>
            </w:r>
          </w:p>
        </w:tc>
        <w:tc>
          <w:tcPr>
            <w:tcW w:w="272" w:type="dxa"/>
            <w:vMerge/>
            <w:tcBorders>
              <w:top w:val="nil"/>
              <w:bottom w:val="nil"/>
            </w:tcBorders>
          </w:tcPr>
          <w:p w14:paraId="49879EA9" w14:textId="77777777" w:rsidR="00AE0306" w:rsidRDefault="00AE0306" w:rsidP="00326F87">
            <w:pPr>
              <w:rPr>
                <w:sz w:val="2"/>
                <w:szCs w:val="2"/>
              </w:rPr>
            </w:pPr>
          </w:p>
        </w:tc>
        <w:tc>
          <w:tcPr>
            <w:tcW w:w="1520" w:type="dxa"/>
          </w:tcPr>
          <w:p w14:paraId="72DE916F" w14:textId="77777777" w:rsidR="00AE0306" w:rsidRDefault="00AE0306" w:rsidP="00326F87">
            <w:pPr>
              <w:pStyle w:val="TableParagraph"/>
              <w:rPr>
                <w:b/>
              </w:rPr>
            </w:pPr>
          </w:p>
          <w:p w14:paraId="5F7E3992" w14:textId="77777777" w:rsidR="00AE0306" w:rsidRDefault="00AE0306" w:rsidP="00326F87">
            <w:pPr>
              <w:pStyle w:val="TableParagraph"/>
              <w:spacing w:before="8"/>
              <w:rPr>
                <w:b/>
                <w:sz w:val="25"/>
              </w:rPr>
            </w:pPr>
          </w:p>
          <w:p w14:paraId="087385C3" w14:textId="77777777" w:rsidR="00AE0306" w:rsidRDefault="00AE0306" w:rsidP="00326F87">
            <w:pPr>
              <w:pStyle w:val="TableParagraph"/>
              <w:ind w:left="43" w:right="37"/>
              <w:jc w:val="center"/>
              <w:rPr>
                <w:sz w:val="21"/>
              </w:rPr>
            </w:pPr>
            <w:r>
              <w:rPr>
                <w:sz w:val="21"/>
              </w:rPr>
              <w:t>CDG</w:t>
            </w:r>
          </w:p>
        </w:tc>
        <w:tc>
          <w:tcPr>
            <w:tcW w:w="2800" w:type="dxa"/>
          </w:tcPr>
          <w:p w14:paraId="52DF36A5" w14:textId="77777777" w:rsidR="00AE0306" w:rsidRDefault="00AE0306" w:rsidP="00326F87">
            <w:pPr>
              <w:pStyle w:val="TableParagraph"/>
              <w:spacing w:line="205" w:lineRule="exact"/>
              <w:ind w:left="1106" w:right="1101"/>
              <w:jc w:val="center"/>
              <w:rPr>
                <w:sz w:val="21"/>
              </w:rPr>
            </w:pPr>
            <w:r>
              <w:rPr>
                <w:spacing w:val="4"/>
                <w:sz w:val="21"/>
              </w:rPr>
              <w:t>1A</w:t>
            </w:r>
            <w:r>
              <w:rPr>
                <w:spacing w:val="-30"/>
                <w:sz w:val="21"/>
              </w:rPr>
              <w:t xml:space="preserve"> </w:t>
            </w:r>
            <w:r>
              <w:rPr>
                <w:sz w:val="21"/>
              </w:rPr>
              <w:t>(3)</w:t>
            </w:r>
          </w:p>
          <w:p w14:paraId="5840499B" w14:textId="77777777" w:rsidR="00AE0306" w:rsidRDefault="00AE0306" w:rsidP="00326F87">
            <w:pPr>
              <w:pStyle w:val="TableParagraph"/>
              <w:spacing w:line="232" w:lineRule="exact"/>
              <w:ind w:left="1106" w:right="1101"/>
              <w:jc w:val="center"/>
              <w:rPr>
                <w:sz w:val="21"/>
              </w:rPr>
            </w:pPr>
            <w:r>
              <w:rPr>
                <w:spacing w:val="4"/>
                <w:sz w:val="21"/>
              </w:rPr>
              <w:t>1C</w:t>
            </w:r>
            <w:r>
              <w:rPr>
                <w:spacing w:val="-20"/>
                <w:sz w:val="21"/>
              </w:rPr>
              <w:t xml:space="preserve"> </w:t>
            </w:r>
            <w:r>
              <w:rPr>
                <w:sz w:val="21"/>
              </w:rPr>
              <w:t>(2)</w:t>
            </w:r>
          </w:p>
          <w:p w14:paraId="3554AE34" w14:textId="77777777" w:rsidR="00AE0306" w:rsidRDefault="00AE0306" w:rsidP="00326F87">
            <w:pPr>
              <w:pStyle w:val="TableParagraph"/>
              <w:spacing w:line="232" w:lineRule="exact"/>
              <w:ind w:left="1093" w:right="1101"/>
              <w:jc w:val="center"/>
              <w:rPr>
                <w:sz w:val="21"/>
              </w:rPr>
            </w:pPr>
            <w:r>
              <w:rPr>
                <w:spacing w:val="4"/>
                <w:sz w:val="21"/>
              </w:rPr>
              <w:t>2E</w:t>
            </w:r>
            <w:r>
              <w:rPr>
                <w:spacing w:val="-24"/>
                <w:sz w:val="21"/>
              </w:rPr>
              <w:t xml:space="preserve"> </w:t>
            </w:r>
            <w:r>
              <w:rPr>
                <w:sz w:val="21"/>
              </w:rPr>
              <w:t>(3)</w:t>
            </w:r>
          </w:p>
          <w:p w14:paraId="0CABD424" w14:textId="77777777" w:rsidR="00AE0306" w:rsidRDefault="00AE0306" w:rsidP="00326F87">
            <w:pPr>
              <w:pStyle w:val="TableParagraph"/>
              <w:spacing w:line="232" w:lineRule="exact"/>
              <w:ind w:left="1106" w:right="1101"/>
              <w:jc w:val="center"/>
              <w:rPr>
                <w:sz w:val="21"/>
              </w:rPr>
            </w:pPr>
            <w:r>
              <w:rPr>
                <w:spacing w:val="4"/>
                <w:sz w:val="21"/>
              </w:rPr>
              <w:t>3C</w:t>
            </w:r>
            <w:r>
              <w:rPr>
                <w:spacing w:val="-19"/>
                <w:sz w:val="21"/>
              </w:rPr>
              <w:t xml:space="preserve"> </w:t>
            </w:r>
            <w:r>
              <w:rPr>
                <w:sz w:val="21"/>
              </w:rPr>
              <w:t>(3)</w:t>
            </w:r>
          </w:p>
          <w:p w14:paraId="36F614FD" w14:textId="77777777" w:rsidR="00AE0306" w:rsidRDefault="00AE0306" w:rsidP="00326F87">
            <w:pPr>
              <w:pStyle w:val="TableParagraph"/>
              <w:spacing w:line="232" w:lineRule="exact"/>
              <w:ind w:left="1106" w:right="1101"/>
              <w:jc w:val="center"/>
              <w:rPr>
                <w:sz w:val="21"/>
              </w:rPr>
            </w:pPr>
            <w:r>
              <w:rPr>
                <w:spacing w:val="4"/>
                <w:sz w:val="21"/>
              </w:rPr>
              <w:t>4C</w:t>
            </w:r>
            <w:r>
              <w:rPr>
                <w:spacing w:val="-19"/>
                <w:sz w:val="21"/>
              </w:rPr>
              <w:t xml:space="preserve"> </w:t>
            </w:r>
            <w:r>
              <w:rPr>
                <w:sz w:val="21"/>
              </w:rPr>
              <w:t>(3)</w:t>
            </w:r>
          </w:p>
          <w:p w14:paraId="198FF253" w14:textId="77777777" w:rsidR="00AE0306" w:rsidRDefault="00AE0306" w:rsidP="00326F87">
            <w:pPr>
              <w:pStyle w:val="TableParagraph"/>
              <w:spacing w:line="219" w:lineRule="exact"/>
              <w:ind w:left="1106" w:right="1101"/>
              <w:jc w:val="center"/>
              <w:rPr>
                <w:sz w:val="21"/>
              </w:rPr>
            </w:pPr>
            <w:r>
              <w:rPr>
                <w:spacing w:val="4"/>
                <w:sz w:val="21"/>
              </w:rPr>
              <w:t>5A</w:t>
            </w:r>
            <w:r>
              <w:rPr>
                <w:spacing w:val="-30"/>
                <w:sz w:val="21"/>
              </w:rPr>
              <w:t xml:space="preserve"> </w:t>
            </w:r>
            <w:r>
              <w:rPr>
                <w:sz w:val="21"/>
              </w:rPr>
              <w:t>(2)</w:t>
            </w:r>
          </w:p>
        </w:tc>
      </w:tr>
      <w:tr w:rsidR="00AE0306" w14:paraId="35CE650B" w14:textId="77777777" w:rsidTr="0071149A">
        <w:trPr>
          <w:trHeight w:val="1373"/>
        </w:trPr>
        <w:tc>
          <w:tcPr>
            <w:tcW w:w="1712" w:type="dxa"/>
          </w:tcPr>
          <w:p w14:paraId="133915E6" w14:textId="77777777" w:rsidR="00AE0306" w:rsidRDefault="00AE0306" w:rsidP="00326F87">
            <w:pPr>
              <w:pStyle w:val="TableParagraph"/>
              <w:rPr>
                <w:b/>
              </w:rPr>
            </w:pPr>
          </w:p>
          <w:p w14:paraId="1009C85D" w14:textId="77777777" w:rsidR="00AE0306" w:rsidRDefault="00AE0306" w:rsidP="00326F87">
            <w:pPr>
              <w:pStyle w:val="TableParagraph"/>
              <w:spacing w:before="8"/>
              <w:rPr>
                <w:b/>
                <w:sz w:val="25"/>
              </w:rPr>
            </w:pPr>
          </w:p>
          <w:p w14:paraId="625846EA" w14:textId="77777777" w:rsidR="00AE0306" w:rsidRDefault="00AE0306" w:rsidP="00326F87">
            <w:pPr>
              <w:pStyle w:val="TableParagraph"/>
              <w:ind w:left="50" w:right="12"/>
              <w:jc w:val="center"/>
              <w:rPr>
                <w:sz w:val="21"/>
              </w:rPr>
            </w:pPr>
            <w:r>
              <w:rPr>
                <w:sz w:val="21"/>
              </w:rPr>
              <w:t>CDD</w:t>
            </w:r>
          </w:p>
        </w:tc>
        <w:tc>
          <w:tcPr>
            <w:tcW w:w="2704" w:type="dxa"/>
          </w:tcPr>
          <w:p w14:paraId="6FA56283" w14:textId="77777777" w:rsidR="00AE0306" w:rsidRDefault="00AE0306" w:rsidP="00326F87">
            <w:pPr>
              <w:pStyle w:val="TableParagraph"/>
              <w:spacing w:line="205" w:lineRule="exact"/>
              <w:ind w:left="1039" w:right="1034"/>
              <w:jc w:val="center"/>
              <w:rPr>
                <w:sz w:val="21"/>
              </w:rPr>
            </w:pPr>
            <w:r>
              <w:rPr>
                <w:spacing w:val="4"/>
                <w:sz w:val="21"/>
              </w:rPr>
              <w:t>1D</w:t>
            </w:r>
            <w:r>
              <w:rPr>
                <w:spacing w:val="-30"/>
                <w:sz w:val="21"/>
              </w:rPr>
              <w:t xml:space="preserve"> </w:t>
            </w:r>
            <w:r>
              <w:rPr>
                <w:sz w:val="21"/>
              </w:rPr>
              <w:t>(2)</w:t>
            </w:r>
          </w:p>
          <w:p w14:paraId="36C11DD2" w14:textId="77777777" w:rsidR="00AE0306" w:rsidRDefault="00AE0306" w:rsidP="00326F87">
            <w:pPr>
              <w:pStyle w:val="TableParagraph"/>
              <w:spacing w:line="232" w:lineRule="exact"/>
              <w:ind w:left="1039" w:right="1034"/>
              <w:jc w:val="center"/>
              <w:rPr>
                <w:sz w:val="21"/>
              </w:rPr>
            </w:pPr>
            <w:r>
              <w:rPr>
                <w:spacing w:val="3"/>
                <w:sz w:val="21"/>
              </w:rPr>
              <w:t>2C</w:t>
            </w:r>
            <w:r>
              <w:rPr>
                <w:spacing w:val="-19"/>
                <w:sz w:val="21"/>
              </w:rPr>
              <w:t xml:space="preserve"> </w:t>
            </w:r>
            <w:r>
              <w:rPr>
                <w:sz w:val="21"/>
              </w:rPr>
              <w:t>(2)</w:t>
            </w:r>
          </w:p>
          <w:p w14:paraId="29A1E03A" w14:textId="77777777" w:rsidR="00AE0306" w:rsidRDefault="00AE0306" w:rsidP="00326F87">
            <w:pPr>
              <w:pStyle w:val="TableParagraph"/>
              <w:spacing w:line="232" w:lineRule="exact"/>
              <w:ind w:left="1039" w:right="1034"/>
              <w:jc w:val="center"/>
              <w:rPr>
                <w:sz w:val="21"/>
              </w:rPr>
            </w:pPr>
            <w:r>
              <w:rPr>
                <w:spacing w:val="4"/>
                <w:sz w:val="21"/>
              </w:rPr>
              <w:t>2D</w:t>
            </w:r>
            <w:r>
              <w:rPr>
                <w:spacing w:val="-30"/>
                <w:sz w:val="21"/>
              </w:rPr>
              <w:t xml:space="preserve"> </w:t>
            </w:r>
            <w:r>
              <w:rPr>
                <w:sz w:val="21"/>
              </w:rPr>
              <w:t>(3)</w:t>
            </w:r>
          </w:p>
          <w:p w14:paraId="4223C9DE" w14:textId="77777777" w:rsidR="00AE0306" w:rsidRDefault="00AE0306" w:rsidP="00326F87">
            <w:pPr>
              <w:pStyle w:val="TableParagraph"/>
              <w:spacing w:line="224" w:lineRule="exact"/>
              <w:ind w:left="1039" w:right="1034"/>
              <w:jc w:val="center"/>
              <w:rPr>
                <w:sz w:val="21"/>
              </w:rPr>
            </w:pPr>
            <w:r>
              <w:rPr>
                <w:spacing w:val="4"/>
                <w:sz w:val="21"/>
              </w:rPr>
              <w:t>3D</w:t>
            </w:r>
            <w:r>
              <w:rPr>
                <w:spacing w:val="-30"/>
                <w:sz w:val="21"/>
              </w:rPr>
              <w:t xml:space="preserve"> </w:t>
            </w:r>
            <w:r>
              <w:rPr>
                <w:sz w:val="21"/>
              </w:rPr>
              <w:t>(3)</w:t>
            </w:r>
          </w:p>
          <w:p w14:paraId="72041759" w14:textId="77777777" w:rsidR="00AE0306" w:rsidRDefault="00AE0306" w:rsidP="00326F87">
            <w:pPr>
              <w:pStyle w:val="TableParagraph"/>
              <w:spacing w:line="232" w:lineRule="exact"/>
              <w:ind w:left="1039" w:right="1034"/>
              <w:jc w:val="center"/>
              <w:rPr>
                <w:sz w:val="21"/>
              </w:rPr>
            </w:pPr>
            <w:r>
              <w:rPr>
                <w:spacing w:val="3"/>
                <w:sz w:val="21"/>
              </w:rPr>
              <w:t>4A</w:t>
            </w:r>
            <w:r>
              <w:rPr>
                <w:spacing w:val="-30"/>
                <w:sz w:val="21"/>
              </w:rPr>
              <w:t xml:space="preserve"> </w:t>
            </w:r>
            <w:r>
              <w:rPr>
                <w:sz w:val="21"/>
              </w:rPr>
              <w:t>(3)</w:t>
            </w:r>
          </w:p>
          <w:p w14:paraId="22009909" w14:textId="77777777" w:rsidR="00AE0306" w:rsidRDefault="00AE0306" w:rsidP="00326F87">
            <w:pPr>
              <w:pStyle w:val="TableParagraph"/>
              <w:spacing w:line="227" w:lineRule="exact"/>
              <w:ind w:left="1039" w:right="1034"/>
              <w:jc w:val="center"/>
              <w:rPr>
                <w:sz w:val="21"/>
              </w:rPr>
            </w:pPr>
            <w:r>
              <w:rPr>
                <w:spacing w:val="4"/>
                <w:sz w:val="21"/>
              </w:rPr>
              <w:t>5A</w:t>
            </w:r>
            <w:r>
              <w:rPr>
                <w:spacing w:val="-30"/>
                <w:sz w:val="21"/>
              </w:rPr>
              <w:t xml:space="preserve"> </w:t>
            </w:r>
            <w:r>
              <w:rPr>
                <w:sz w:val="21"/>
              </w:rPr>
              <w:t>(2)</w:t>
            </w:r>
          </w:p>
        </w:tc>
        <w:tc>
          <w:tcPr>
            <w:tcW w:w="272" w:type="dxa"/>
            <w:vMerge/>
            <w:tcBorders>
              <w:top w:val="nil"/>
              <w:bottom w:val="nil"/>
            </w:tcBorders>
          </w:tcPr>
          <w:p w14:paraId="0BFBB0BC" w14:textId="77777777" w:rsidR="00AE0306" w:rsidRDefault="00AE0306" w:rsidP="00326F87">
            <w:pPr>
              <w:rPr>
                <w:sz w:val="2"/>
                <w:szCs w:val="2"/>
              </w:rPr>
            </w:pPr>
          </w:p>
        </w:tc>
        <w:tc>
          <w:tcPr>
            <w:tcW w:w="1520" w:type="dxa"/>
          </w:tcPr>
          <w:p w14:paraId="51B7D431" w14:textId="77777777" w:rsidR="00AE0306" w:rsidRDefault="00AE0306" w:rsidP="00326F87">
            <w:pPr>
              <w:pStyle w:val="TableParagraph"/>
              <w:rPr>
                <w:b/>
              </w:rPr>
            </w:pPr>
          </w:p>
          <w:p w14:paraId="145448F9" w14:textId="77777777" w:rsidR="00AE0306" w:rsidRDefault="00AE0306" w:rsidP="00326F87">
            <w:pPr>
              <w:pStyle w:val="TableParagraph"/>
              <w:spacing w:before="8"/>
              <w:rPr>
                <w:b/>
                <w:sz w:val="25"/>
              </w:rPr>
            </w:pPr>
          </w:p>
          <w:p w14:paraId="008044E3" w14:textId="77777777" w:rsidR="00AE0306" w:rsidRDefault="00AE0306" w:rsidP="00326F87">
            <w:pPr>
              <w:pStyle w:val="TableParagraph"/>
              <w:ind w:left="43" w:right="37"/>
              <w:jc w:val="center"/>
              <w:rPr>
                <w:sz w:val="21"/>
              </w:rPr>
            </w:pPr>
            <w:r>
              <w:rPr>
                <w:sz w:val="21"/>
              </w:rPr>
              <w:t>CDH</w:t>
            </w:r>
          </w:p>
        </w:tc>
        <w:tc>
          <w:tcPr>
            <w:tcW w:w="2800" w:type="dxa"/>
          </w:tcPr>
          <w:p w14:paraId="53DF766E" w14:textId="77777777" w:rsidR="00AE0306" w:rsidRDefault="00AE0306" w:rsidP="00326F87">
            <w:pPr>
              <w:pStyle w:val="TableParagraph"/>
              <w:spacing w:before="84" w:line="233" w:lineRule="exact"/>
              <w:ind w:left="1106" w:right="1101"/>
              <w:jc w:val="center"/>
              <w:rPr>
                <w:sz w:val="21"/>
              </w:rPr>
            </w:pPr>
            <w:r>
              <w:rPr>
                <w:spacing w:val="4"/>
                <w:sz w:val="21"/>
              </w:rPr>
              <w:t>1D</w:t>
            </w:r>
            <w:r>
              <w:rPr>
                <w:spacing w:val="-30"/>
                <w:sz w:val="21"/>
              </w:rPr>
              <w:t xml:space="preserve"> </w:t>
            </w:r>
            <w:r>
              <w:rPr>
                <w:sz w:val="21"/>
              </w:rPr>
              <w:t>(3)</w:t>
            </w:r>
          </w:p>
          <w:p w14:paraId="3ECF3C1E" w14:textId="77777777" w:rsidR="00AE0306" w:rsidRDefault="00AE0306" w:rsidP="00326F87">
            <w:pPr>
              <w:pStyle w:val="TableParagraph"/>
              <w:spacing w:line="232" w:lineRule="exact"/>
              <w:ind w:left="1105" w:right="1101"/>
              <w:jc w:val="center"/>
              <w:rPr>
                <w:sz w:val="21"/>
              </w:rPr>
            </w:pPr>
            <w:r>
              <w:rPr>
                <w:spacing w:val="4"/>
                <w:sz w:val="21"/>
              </w:rPr>
              <w:t>2F</w:t>
            </w:r>
            <w:r>
              <w:rPr>
                <w:spacing w:val="-29"/>
                <w:sz w:val="21"/>
              </w:rPr>
              <w:t xml:space="preserve"> </w:t>
            </w:r>
            <w:r>
              <w:rPr>
                <w:sz w:val="21"/>
              </w:rPr>
              <w:t>(4)</w:t>
            </w:r>
          </w:p>
          <w:p w14:paraId="2F422E41" w14:textId="77777777" w:rsidR="00AE0306" w:rsidRDefault="00AE0306" w:rsidP="00326F87">
            <w:pPr>
              <w:pStyle w:val="TableParagraph"/>
              <w:spacing w:line="232" w:lineRule="exact"/>
              <w:ind w:left="1105" w:right="1101"/>
              <w:jc w:val="center"/>
              <w:rPr>
                <w:sz w:val="21"/>
              </w:rPr>
            </w:pPr>
            <w:r>
              <w:rPr>
                <w:spacing w:val="4"/>
                <w:sz w:val="21"/>
              </w:rPr>
              <w:t>3D</w:t>
            </w:r>
            <w:r>
              <w:rPr>
                <w:spacing w:val="-30"/>
                <w:sz w:val="21"/>
              </w:rPr>
              <w:t xml:space="preserve"> </w:t>
            </w:r>
            <w:r>
              <w:rPr>
                <w:sz w:val="21"/>
              </w:rPr>
              <w:t>(3)</w:t>
            </w:r>
          </w:p>
          <w:p w14:paraId="18F547E9" w14:textId="77777777" w:rsidR="00AE0306" w:rsidRDefault="00AE0306" w:rsidP="00326F87">
            <w:pPr>
              <w:pStyle w:val="TableParagraph"/>
              <w:spacing w:line="232" w:lineRule="exact"/>
              <w:ind w:left="1105" w:right="1101"/>
              <w:jc w:val="center"/>
              <w:rPr>
                <w:sz w:val="21"/>
              </w:rPr>
            </w:pPr>
            <w:r>
              <w:rPr>
                <w:spacing w:val="4"/>
                <w:sz w:val="21"/>
              </w:rPr>
              <w:t>4D</w:t>
            </w:r>
            <w:r>
              <w:rPr>
                <w:spacing w:val="-31"/>
                <w:sz w:val="21"/>
              </w:rPr>
              <w:t xml:space="preserve"> </w:t>
            </w:r>
            <w:r>
              <w:rPr>
                <w:sz w:val="21"/>
              </w:rPr>
              <w:t>(4)</w:t>
            </w:r>
          </w:p>
          <w:p w14:paraId="14D47663" w14:textId="4001A543" w:rsidR="00AE0306" w:rsidRDefault="00AE0306" w:rsidP="00326F87">
            <w:pPr>
              <w:pStyle w:val="TableParagraph"/>
              <w:spacing w:line="241" w:lineRule="exact"/>
              <w:ind w:left="1105" w:right="1101"/>
              <w:jc w:val="center"/>
              <w:rPr>
                <w:sz w:val="21"/>
              </w:rPr>
            </w:pPr>
            <w:r>
              <w:rPr>
                <w:spacing w:val="4"/>
                <w:sz w:val="21"/>
              </w:rPr>
              <w:t>5A</w:t>
            </w:r>
            <w:r>
              <w:rPr>
                <w:spacing w:val="-30"/>
                <w:sz w:val="21"/>
              </w:rPr>
              <w:t xml:space="preserve"> </w:t>
            </w:r>
            <w:r>
              <w:rPr>
                <w:sz w:val="21"/>
              </w:rPr>
              <w:t>(2)</w:t>
            </w:r>
          </w:p>
        </w:tc>
      </w:tr>
    </w:tbl>
    <w:p w14:paraId="739046A5" w14:textId="77777777" w:rsidR="00AE0306" w:rsidRDefault="00AE0306" w:rsidP="00D9003F">
      <w:pPr>
        <w:tabs>
          <w:tab w:val="left" w:pos="900"/>
        </w:tabs>
        <w:spacing w:after="0" w:line="240" w:lineRule="auto"/>
        <w:jc w:val="both"/>
        <w:rPr>
          <w:rFonts w:eastAsia="Times New Roman"/>
          <w:bCs/>
          <w:sz w:val="20"/>
          <w:szCs w:val="20"/>
        </w:rPr>
      </w:pPr>
    </w:p>
    <w:p w14:paraId="238D3174" w14:textId="77777777" w:rsidR="00D9003F" w:rsidRDefault="00D9003F" w:rsidP="00D9003F">
      <w:pPr>
        <w:tabs>
          <w:tab w:val="left" w:pos="900"/>
        </w:tabs>
        <w:spacing w:after="0" w:line="240" w:lineRule="auto"/>
        <w:jc w:val="both"/>
        <w:rPr>
          <w:rFonts w:eastAsia="Times New Roman"/>
          <w:bCs/>
          <w:sz w:val="20"/>
          <w:szCs w:val="20"/>
        </w:rPr>
      </w:pPr>
      <w:r w:rsidRPr="00D9003F">
        <w:rPr>
          <w:rFonts w:eastAsia="Times New Roman"/>
          <w:bCs/>
          <w:sz w:val="20"/>
          <w:szCs w:val="20"/>
        </w:rPr>
        <w:t xml:space="preserve">^Vaccination dates will be staggered for each group within a challenge day cohort </w:t>
      </w:r>
      <w:proofErr w:type="gramStart"/>
      <w:r w:rsidRPr="00D9003F">
        <w:rPr>
          <w:rFonts w:eastAsia="Times New Roman"/>
          <w:bCs/>
          <w:sz w:val="20"/>
          <w:szCs w:val="20"/>
        </w:rPr>
        <w:t>in order for</w:t>
      </w:r>
      <w:proofErr w:type="gramEnd"/>
      <w:r w:rsidRPr="00D9003F">
        <w:rPr>
          <w:rFonts w:eastAsia="Times New Roman"/>
          <w:bCs/>
          <w:sz w:val="20"/>
          <w:szCs w:val="20"/>
        </w:rPr>
        <w:t xml:space="preserve"> challenges to occur on the same calendar date.  </w:t>
      </w:r>
    </w:p>
    <w:p w14:paraId="05E1CC41" w14:textId="77777777" w:rsidR="00AE0306" w:rsidRPr="00D9003F" w:rsidRDefault="00AE0306" w:rsidP="00D9003F">
      <w:pPr>
        <w:tabs>
          <w:tab w:val="left" w:pos="900"/>
        </w:tabs>
        <w:spacing w:after="0" w:line="240" w:lineRule="auto"/>
        <w:jc w:val="both"/>
        <w:rPr>
          <w:rFonts w:eastAsia="Times New Roman"/>
          <w:bCs/>
          <w:sz w:val="20"/>
          <w:szCs w:val="20"/>
        </w:rPr>
      </w:pPr>
    </w:p>
    <w:p w14:paraId="6D057FE1" w14:textId="46231857" w:rsidR="00624FA8" w:rsidRPr="00E168B8" w:rsidRDefault="354C8143" w:rsidP="0041252F">
      <w:pPr>
        <w:pStyle w:val="Heading1"/>
        <w:numPr>
          <w:ilvl w:val="0"/>
          <w:numId w:val="0"/>
        </w:numPr>
        <w:spacing w:before="60" w:afterLines="60" w:after="144" w:line="240" w:lineRule="auto"/>
      </w:pPr>
      <w:bookmarkStart w:id="38" w:name="_Toc26242289"/>
      <w:bookmarkStart w:id="39" w:name="_Toc26243099"/>
      <w:bookmarkStart w:id="40" w:name="_Toc60811589"/>
      <w:r>
        <w:t>5</w:t>
      </w:r>
      <w:r w:rsidR="62BE92D0">
        <w:t>.</w:t>
      </w:r>
      <w:r w:rsidR="5C651B8A">
        <w:t>3</w:t>
      </w:r>
      <w:r w:rsidR="18ADD20B">
        <w:t xml:space="preserve"> </w:t>
      </w:r>
      <w:r w:rsidR="0041252F">
        <w:tab/>
      </w:r>
      <w:r w:rsidR="5EA3E8CF" w:rsidRPr="00E168B8">
        <w:t>Study Procedures</w:t>
      </w:r>
      <w:bookmarkEnd w:id="38"/>
      <w:bookmarkEnd w:id="39"/>
      <w:bookmarkEnd w:id="40"/>
    </w:p>
    <w:p w14:paraId="134D9EB9" w14:textId="1AF1B762" w:rsidR="009101C4" w:rsidRPr="00FE39EB" w:rsidRDefault="36958B98" w:rsidP="032B93E0">
      <w:pPr>
        <w:spacing w:before="120" w:after="120"/>
        <w:rPr>
          <w:rFonts w:eastAsia="Times New Roman"/>
          <w:szCs w:val="24"/>
        </w:rPr>
      </w:pPr>
      <w:r>
        <w:t>B</w:t>
      </w:r>
      <w:r w:rsidR="420C14A2">
        <w:t>aseline clinical pathology (hematology and clinical chemistr</w:t>
      </w:r>
      <w:r w:rsidR="5E83B081">
        <w:t>y</w:t>
      </w:r>
      <w:r w:rsidR="420C14A2">
        <w:t>) assessment will be conducted for animals prior to vaccination</w:t>
      </w:r>
      <w:r w:rsidR="4AA751F9" w:rsidRPr="032B93E0">
        <w:rPr>
          <w:rFonts w:eastAsia="Times New Roman"/>
          <w:szCs w:val="24"/>
        </w:rPr>
        <w:t xml:space="preserve"> for </w:t>
      </w:r>
      <w:r w:rsidR="1206FF45" w:rsidRPr="032B93E0">
        <w:rPr>
          <w:rFonts w:eastAsia="Times New Roman"/>
          <w:szCs w:val="24"/>
        </w:rPr>
        <w:t xml:space="preserve">the </w:t>
      </w:r>
      <w:r w:rsidR="4FF8D465" w:rsidRPr="032B93E0">
        <w:rPr>
          <w:rFonts w:eastAsia="Times New Roman"/>
          <w:szCs w:val="24"/>
        </w:rPr>
        <w:t xml:space="preserve">sole </w:t>
      </w:r>
      <w:r w:rsidR="1206FF45" w:rsidRPr="032B93E0">
        <w:rPr>
          <w:rFonts w:eastAsia="Times New Roman"/>
          <w:szCs w:val="24"/>
        </w:rPr>
        <w:t xml:space="preserve">purpose of </w:t>
      </w:r>
      <w:r w:rsidR="420C14A2" w:rsidRPr="032B93E0">
        <w:rPr>
          <w:rFonts w:eastAsia="Times New Roman"/>
          <w:szCs w:val="24"/>
        </w:rPr>
        <w:t xml:space="preserve">determination of animal health status/suitability for use on study. </w:t>
      </w:r>
    </w:p>
    <w:p w14:paraId="064B674B" w14:textId="352C5A5E" w:rsidR="009101C4" w:rsidRPr="00FE39EB" w:rsidRDefault="6BCD130C" w:rsidP="032B93E0">
      <w:pPr>
        <w:spacing w:before="120" w:after="120"/>
        <w:rPr>
          <w:rFonts w:eastAsia="Times New Roman"/>
          <w:szCs w:val="24"/>
        </w:rPr>
      </w:pPr>
      <w:r w:rsidRPr="032B93E0">
        <w:rPr>
          <w:rFonts w:eastAsia="Times New Roman"/>
          <w:szCs w:val="24"/>
        </w:rPr>
        <w:t xml:space="preserve">On </w:t>
      </w:r>
      <w:r w:rsidR="22A909E6" w:rsidRPr="032B93E0">
        <w:rPr>
          <w:rFonts w:eastAsia="Times New Roman"/>
          <w:szCs w:val="24"/>
        </w:rPr>
        <w:t>the day of challenge</w:t>
      </w:r>
      <w:r w:rsidRPr="032B93E0">
        <w:rPr>
          <w:rFonts w:eastAsia="Times New Roman"/>
          <w:szCs w:val="24"/>
        </w:rPr>
        <w:t>, NHPs will be anesthetized and challenged with SARS-CoV-2 via the intratracheal (IT) (0.5 mL) &amp; intranasal (IN) (0.25 mL per nostril) routes with a target dose of 1.0 X 10</w:t>
      </w:r>
      <w:r w:rsidRPr="032B93E0">
        <w:rPr>
          <w:rFonts w:eastAsia="Times New Roman"/>
          <w:szCs w:val="24"/>
          <w:vertAlign w:val="superscript"/>
        </w:rPr>
        <w:t>6</w:t>
      </w:r>
      <w:r w:rsidRPr="032B93E0">
        <w:rPr>
          <w:rFonts w:eastAsia="Times New Roman"/>
          <w:szCs w:val="24"/>
        </w:rPr>
        <w:t xml:space="preserve"> TCID</w:t>
      </w:r>
      <w:r w:rsidRPr="032B93E0">
        <w:rPr>
          <w:rFonts w:eastAsia="Times New Roman"/>
          <w:szCs w:val="24"/>
          <w:vertAlign w:val="subscript"/>
        </w:rPr>
        <w:t>50</w:t>
      </w:r>
      <w:r w:rsidRPr="032B93E0">
        <w:rPr>
          <w:rFonts w:eastAsia="Times New Roman"/>
          <w:szCs w:val="24"/>
        </w:rPr>
        <w:t>.</w:t>
      </w:r>
    </w:p>
    <w:p w14:paraId="2D3E859A" w14:textId="76E0CEFF" w:rsidR="009101C4" w:rsidRPr="00FE39EB" w:rsidRDefault="26A57890" w:rsidP="032B93E0">
      <w:pPr>
        <w:spacing w:before="120" w:after="20"/>
      </w:pPr>
      <w:r>
        <w:t xml:space="preserve">Planned specimen collection and measurements for each vaccine group (test and control) are </w:t>
      </w:r>
      <w:r w:rsidR="002C67F8">
        <w:t xml:space="preserve">given </w:t>
      </w:r>
      <w:r>
        <w:t xml:space="preserve">in Tables 4 – 9.  </w:t>
      </w:r>
      <w:r w:rsidR="559EC6B5">
        <w:t xml:space="preserve">The following </w:t>
      </w:r>
      <w:r w:rsidR="12C517F1">
        <w:t xml:space="preserve">study </w:t>
      </w:r>
      <w:r w:rsidR="6B996C8B">
        <w:t>endpoint</w:t>
      </w:r>
      <w:r w:rsidR="45E6F5A1">
        <w:t xml:space="preserve">s </w:t>
      </w:r>
      <w:r w:rsidR="559EC6B5">
        <w:t>will be</w:t>
      </w:r>
      <w:r w:rsidR="04BB5C98">
        <w:t xml:space="preserve"> </w:t>
      </w:r>
      <w:r w:rsidR="45E6F5A1">
        <w:t xml:space="preserve">measured </w:t>
      </w:r>
      <w:r w:rsidR="739F8EDA">
        <w:t xml:space="preserve">at least </w:t>
      </w:r>
      <w:r w:rsidR="49C3207D">
        <w:t>once prior to and at multiple time</w:t>
      </w:r>
      <w:r w:rsidR="00851CCB">
        <w:t xml:space="preserve"> </w:t>
      </w:r>
      <w:r w:rsidR="49C3207D">
        <w:t xml:space="preserve">points </w:t>
      </w:r>
      <w:r w:rsidR="4F81CBF2">
        <w:t>after</w:t>
      </w:r>
      <w:r w:rsidR="45E6F5A1">
        <w:t xml:space="preserve"> </w:t>
      </w:r>
      <w:r w:rsidR="6C2807FE">
        <w:t>study initiation</w:t>
      </w:r>
      <w:r w:rsidR="559EC6B5">
        <w:t xml:space="preserve">: </w:t>
      </w:r>
    </w:p>
    <w:p w14:paraId="086BF16C" w14:textId="0B159267" w:rsidR="009101C4" w:rsidRPr="00FE39EB" w:rsidRDefault="621E2F1C" w:rsidP="032B93E0">
      <w:pPr>
        <w:spacing w:before="120" w:after="120"/>
        <w:ind w:left="720"/>
        <w:rPr>
          <w:rFonts w:eastAsia="Times New Roman"/>
          <w:szCs w:val="24"/>
        </w:rPr>
      </w:pPr>
      <w:r w:rsidRPr="032B93E0">
        <w:rPr>
          <w:b/>
          <w:bCs/>
        </w:rPr>
        <w:t>B</w:t>
      </w:r>
      <w:r w:rsidR="5B420C0E" w:rsidRPr="032B93E0">
        <w:rPr>
          <w:b/>
          <w:bCs/>
        </w:rPr>
        <w:t>ody weight</w:t>
      </w:r>
      <w:r w:rsidR="3203B20E" w:rsidRPr="032B93E0">
        <w:rPr>
          <w:b/>
          <w:bCs/>
        </w:rPr>
        <w:t>:</w:t>
      </w:r>
      <w:r w:rsidR="3628DAF5" w:rsidRPr="032B93E0">
        <w:rPr>
          <w:b/>
          <w:bCs/>
        </w:rPr>
        <w:t xml:space="preserve"> </w:t>
      </w:r>
      <w:r w:rsidR="3628DAF5" w:rsidRPr="032B93E0">
        <w:rPr>
          <w:rFonts w:eastAsia="Times New Roman"/>
          <w:szCs w:val="24"/>
        </w:rPr>
        <w:t>Body weights will be collected at least once before the first vaccination, on Day 0</w:t>
      </w:r>
      <w:r w:rsidR="1CBC188A" w:rsidRPr="032B93E0">
        <w:rPr>
          <w:rFonts w:eastAsia="Times New Roman"/>
          <w:szCs w:val="24"/>
        </w:rPr>
        <w:t>,</w:t>
      </w:r>
      <w:r w:rsidR="3628DAF5" w:rsidRPr="032B93E0">
        <w:rPr>
          <w:rFonts w:eastAsia="Times New Roman"/>
          <w:szCs w:val="24"/>
        </w:rPr>
        <w:t xml:space="preserve"> and approximately every two weeks through the end of in-life</w:t>
      </w:r>
      <w:r w:rsidR="573E284A" w:rsidRPr="032B93E0">
        <w:rPr>
          <w:rFonts w:eastAsia="Times New Roman"/>
          <w:szCs w:val="24"/>
        </w:rPr>
        <w:t xml:space="preserve"> (the day of euthanasia)</w:t>
      </w:r>
      <w:r w:rsidR="3628DAF5" w:rsidRPr="032B93E0">
        <w:rPr>
          <w:rFonts w:eastAsia="Times New Roman"/>
          <w:szCs w:val="24"/>
        </w:rPr>
        <w:t>.</w:t>
      </w:r>
    </w:p>
    <w:p w14:paraId="75C328E5" w14:textId="029C9F08" w:rsidR="009101C4" w:rsidRPr="00FE39EB" w:rsidRDefault="05F7EB29" w:rsidP="032B93E0">
      <w:pPr>
        <w:spacing w:before="120" w:after="120"/>
        <w:ind w:left="720"/>
        <w:rPr>
          <w:rFonts w:eastAsia="Times New Roman"/>
          <w:szCs w:val="24"/>
        </w:rPr>
      </w:pPr>
      <w:r w:rsidRPr="032B93E0">
        <w:rPr>
          <w:rFonts w:eastAsia="Times New Roman"/>
          <w:b/>
          <w:bCs/>
          <w:szCs w:val="24"/>
        </w:rPr>
        <w:t>Clinical observation</w:t>
      </w:r>
      <w:r w:rsidR="4B0366BE" w:rsidRPr="032B93E0">
        <w:rPr>
          <w:rFonts w:eastAsia="Times New Roman"/>
          <w:b/>
          <w:bCs/>
          <w:szCs w:val="24"/>
        </w:rPr>
        <w:t xml:space="preserve">s: </w:t>
      </w:r>
      <w:r w:rsidR="370F8639" w:rsidRPr="032B93E0">
        <w:rPr>
          <w:rFonts w:eastAsia="Times New Roman"/>
          <w:szCs w:val="24"/>
        </w:rPr>
        <w:t xml:space="preserve"> Animals will be observed twice daily for clinical signs from Day 0 through the day prior to euthanasia. On the scheduled day of euthanasia, clinical observations will only be recorded once.</w:t>
      </w:r>
    </w:p>
    <w:p w14:paraId="358A4408" w14:textId="2B282515" w:rsidR="009101C4" w:rsidRPr="00FE39EB" w:rsidRDefault="5FDDF287" w:rsidP="032B93E0">
      <w:pPr>
        <w:spacing w:before="120" w:after="120"/>
        <w:ind w:left="720"/>
        <w:rPr>
          <w:szCs w:val="24"/>
        </w:rPr>
      </w:pPr>
      <w:r w:rsidRPr="032B93E0">
        <w:rPr>
          <w:b/>
          <w:bCs/>
          <w:szCs w:val="24"/>
        </w:rPr>
        <w:t>V</w:t>
      </w:r>
      <w:r w:rsidR="0765F754" w:rsidRPr="032B93E0">
        <w:rPr>
          <w:b/>
          <w:bCs/>
          <w:szCs w:val="24"/>
        </w:rPr>
        <w:t>irus specific</w:t>
      </w:r>
      <w:r w:rsidR="6C9AA68C" w:rsidRPr="032B93E0">
        <w:rPr>
          <w:b/>
          <w:bCs/>
          <w:szCs w:val="24"/>
        </w:rPr>
        <w:t xml:space="preserve"> antibody</w:t>
      </w:r>
      <w:r w:rsidR="640B5512" w:rsidRPr="032B93E0">
        <w:rPr>
          <w:b/>
          <w:bCs/>
          <w:szCs w:val="24"/>
        </w:rPr>
        <w:t>:</w:t>
      </w:r>
      <w:r w:rsidR="2EF88582" w:rsidRPr="032B93E0">
        <w:rPr>
          <w:b/>
          <w:bCs/>
          <w:szCs w:val="24"/>
        </w:rPr>
        <w:t xml:space="preserve"> </w:t>
      </w:r>
      <w:r w:rsidR="3CE3F85E" w:rsidRPr="032B93E0">
        <w:rPr>
          <w:szCs w:val="24"/>
        </w:rPr>
        <w:t xml:space="preserve">blood collected in serum </w:t>
      </w:r>
      <w:r w:rsidR="68EEB5FD" w:rsidRPr="032B93E0">
        <w:rPr>
          <w:szCs w:val="24"/>
        </w:rPr>
        <w:t>separator</w:t>
      </w:r>
      <w:r w:rsidR="3CE3F85E" w:rsidRPr="032B93E0">
        <w:rPr>
          <w:szCs w:val="24"/>
        </w:rPr>
        <w:t xml:space="preserve"> tubes (SSTs) </w:t>
      </w:r>
      <w:r w:rsidR="142E1D7A" w:rsidRPr="032B93E0">
        <w:rPr>
          <w:szCs w:val="24"/>
        </w:rPr>
        <w:t>will be</w:t>
      </w:r>
      <w:r w:rsidR="3CE3F85E" w:rsidRPr="032B93E0">
        <w:rPr>
          <w:szCs w:val="24"/>
        </w:rPr>
        <w:t xml:space="preserve"> processed to serum </w:t>
      </w:r>
      <w:r w:rsidR="64E63296" w:rsidRPr="032B93E0">
        <w:rPr>
          <w:szCs w:val="24"/>
        </w:rPr>
        <w:t xml:space="preserve">and tested using a combination </w:t>
      </w:r>
      <w:r w:rsidR="24F67B0A" w:rsidRPr="032B93E0">
        <w:rPr>
          <w:szCs w:val="24"/>
        </w:rPr>
        <w:t>o</w:t>
      </w:r>
      <w:r w:rsidR="64E63296" w:rsidRPr="032B93E0">
        <w:rPr>
          <w:szCs w:val="24"/>
        </w:rPr>
        <w:t>f assays including</w:t>
      </w:r>
      <w:r w:rsidR="1512C744" w:rsidRPr="032B93E0">
        <w:rPr>
          <w:szCs w:val="24"/>
        </w:rPr>
        <w:t>:</w:t>
      </w:r>
    </w:p>
    <w:p w14:paraId="38B0A962" w14:textId="2B2E30A3" w:rsidR="009101C4" w:rsidRPr="00FE39EB" w:rsidRDefault="2EF88582" w:rsidP="032B93E0">
      <w:pPr>
        <w:spacing w:before="120" w:after="120"/>
        <w:ind w:left="1440"/>
        <w:rPr>
          <w:rFonts w:eastAsia="Times New Roman"/>
          <w:szCs w:val="24"/>
        </w:rPr>
      </w:pPr>
      <w:r w:rsidRPr="032B93E0">
        <w:rPr>
          <w:rFonts w:eastAsia="Times New Roman"/>
          <w:szCs w:val="24"/>
          <w:u w:val="single"/>
        </w:rPr>
        <w:t>Microneutralization (MN)</w:t>
      </w:r>
      <w:r w:rsidR="08BB5555" w:rsidRPr="032B93E0">
        <w:rPr>
          <w:rFonts w:eastAsia="Times New Roman"/>
          <w:szCs w:val="24"/>
          <w:u w:val="single"/>
        </w:rPr>
        <w:t xml:space="preserve"> Assay</w:t>
      </w:r>
      <w:r w:rsidRPr="032B93E0">
        <w:rPr>
          <w:rFonts w:eastAsia="Times New Roman"/>
          <w:szCs w:val="24"/>
        </w:rPr>
        <w:t xml:space="preserve"> </w:t>
      </w:r>
      <w:r w:rsidR="4247D489" w:rsidRPr="032B93E0">
        <w:rPr>
          <w:rFonts w:eastAsia="Times New Roman"/>
          <w:szCs w:val="24"/>
        </w:rPr>
        <w:t xml:space="preserve">- to detect and quantify neutralizing antibodies to SARS-CoV-2. </w:t>
      </w:r>
    </w:p>
    <w:p w14:paraId="5DD7C356" w14:textId="26EB231A" w:rsidR="009101C4" w:rsidRPr="00FE39EB" w:rsidRDefault="1FB8B6E0" w:rsidP="27B4A244">
      <w:pPr>
        <w:spacing w:before="120" w:after="120"/>
        <w:ind w:left="1440"/>
        <w:rPr>
          <w:rFonts w:eastAsia="Times New Roman"/>
        </w:rPr>
      </w:pPr>
      <w:proofErr w:type="spellStart"/>
      <w:r w:rsidRPr="27B4A244">
        <w:rPr>
          <w:rFonts w:eastAsia="Times New Roman"/>
          <w:u w:val="single"/>
        </w:rPr>
        <w:t>Pseudovirus</w:t>
      </w:r>
      <w:proofErr w:type="spellEnd"/>
      <w:r w:rsidRPr="27B4A244">
        <w:rPr>
          <w:rFonts w:eastAsia="Times New Roman"/>
          <w:u w:val="single"/>
        </w:rPr>
        <w:t xml:space="preserve"> Neutralization Assay (</w:t>
      </w:r>
      <w:proofErr w:type="spellStart"/>
      <w:r w:rsidRPr="27B4A244">
        <w:rPr>
          <w:rFonts w:eastAsia="Times New Roman"/>
          <w:u w:val="single"/>
        </w:rPr>
        <w:t>PsVNA</w:t>
      </w:r>
      <w:proofErr w:type="spellEnd"/>
      <w:r w:rsidR="1040EA2F" w:rsidRPr="27B4A244">
        <w:rPr>
          <w:rFonts w:eastAsia="Times New Roman"/>
          <w:u w:val="single"/>
        </w:rPr>
        <w:t>)</w:t>
      </w:r>
      <w:r w:rsidR="00503C3D">
        <w:rPr>
          <w:rFonts w:eastAsia="Times New Roman"/>
          <w:u w:val="single"/>
        </w:rPr>
        <w:t xml:space="preserve"> </w:t>
      </w:r>
      <w:r w:rsidR="41C1A3DE" w:rsidRPr="27B4A244">
        <w:rPr>
          <w:rFonts w:eastAsia="Times New Roman"/>
        </w:rPr>
        <w:t>-</w:t>
      </w:r>
      <w:r w:rsidR="48B34DFC" w:rsidRPr="27B4A244">
        <w:rPr>
          <w:rFonts w:eastAsia="Times New Roman"/>
        </w:rPr>
        <w:t xml:space="preserve"> </w:t>
      </w:r>
      <w:r w:rsidR="2B566439" w:rsidRPr="27B4A244">
        <w:rPr>
          <w:rFonts w:eastAsia="Times New Roman"/>
        </w:rPr>
        <w:t xml:space="preserve">to </w:t>
      </w:r>
      <w:r w:rsidR="48B34DFC" w:rsidRPr="27B4A244">
        <w:rPr>
          <w:rFonts w:eastAsia="Times New Roman"/>
        </w:rPr>
        <w:t xml:space="preserve">detect and quantify neutralizing antibodies to lentivirus particles </w:t>
      </w:r>
      <w:proofErr w:type="spellStart"/>
      <w:r w:rsidR="48B34DFC" w:rsidRPr="27B4A244">
        <w:rPr>
          <w:rFonts w:eastAsia="Times New Roman"/>
        </w:rPr>
        <w:t>pseudotyped</w:t>
      </w:r>
      <w:proofErr w:type="spellEnd"/>
      <w:r w:rsidR="48B34DFC" w:rsidRPr="27B4A244">
        <w:rPr>
          <w:rFonts w:eastAsia="Times New Roman"/>
        </w:rPr>
        <w:t xml:space="preserve"> with the SARS-CoV-2 spike protein</w:t>
      </w:r>
      <w:r w:rsidR="1954D96E" w:rsidRPr="27B4A244">
        <w:rPr>
          <w:rFonts w:eastAsia="Times New Roman"/>
        </w:rPr>
        <w:t>.</w:t>
      </w:r>
    </w:p>
    <w:p w14:paraId="4F9BCD8E" w14:textId="79794AB5" w:rsidR="009101C4" w:rsidRPr="00FE39EB" w:rsidRDefault="2EF88582" w:rsidP="032B93E0">
      <w:pPr>
        <w:spacing w:before="120" w:after="120"/>
        <w:ind w:left="1440"/>
        <w:rPr>
          <w:rFonts w:eastAsia="Times New Roman"/>
          <w:szCs w:val="24"/>
        </w:rPr>
      </w:pPr>
      <w:r w:rsidRPr="032B93E0">
        <w:rPr>
          <w:rFonts w:eastAsia="Times New Roman"/>
          <w:szCs w:val="24"/>
          <w:u w:val="single"/>
        </w:rPr>
        <w:lastRenderedPageBreak/>
        <w:t>Meso Scale Discovery Electrochemiluminescence Immunoassay</w:t>
      </w:r>
      <w:r w:rsidR="7238A42F" w:rsidRPr="032B93E0">
        <w:rPr>
          <w:rFonts w:eastAsia="Times New Roman"/>
          <w:szCs w:val="24"/>
          <w:u w:val="single"/>
        </w:rPr>
        <w:t xml:space="preserve"> (</w:t>
      </w:r>
      <w:r w:rsidR="136A63B9" w:rsidRPr="032B93E0">
        <w:rPr>
          <w:rFonts w:eastAsia="Times New Roman"/>
          <w:szCs w:val="24"/>
          <w:u w:val="single"/>
        </w:rPr>
        <w:t>MSD-ECLIA</w:t>
      </w:r>
      <w:r w:rsidR="7238A42F" w:rsidRPr="032B93E0">
        <w:rPr>
          <w:rFonts w:eastAsia="Times New Roman"/>
          <w:szCs w:val="24"/>
          <w:u w:val="single"/>
        </w:rPr>
        <w:t>)</w:t>
      </w:r>
      <w:r w:rsidR="00503C3D">
        <w:rPr>
          <w:rFonts w:eastAsia="Times New Roman"/>
          <w:szCs w:val="24"/>
          <w:u w:val="single"/>
        </w:rPr>
        <w:t xml:space="preserve"> </w:t>
      </w:r>
      <w:r w:rsidR="2C18D699" w:rsidRPr="032B93E0">
        <w:rPr>
          <w:rFonts w:eastAsia="Times New Roman"/>
          <w:szCs w:val="24"/>
        </w:rPr>
        <w:t>-</w:t>
      </w:r>
      <w:r w:rsidR="7855B3D4" w:rsidRPr="032B93E0">
        <w:rPr>
          <w:rFonts w:eastAsia="Times New Roman"/>
          <w:szCs w:val="24"/>
        </w:rPr>
        <w:t xml:space="preserve"> </w:t>
      </w:r>
      <w:r w:rsidR="59A7F250" w:rsidRPr="032B93E0">
        <w:rPr>
          <w:rFonts w:eastAsia="Times New Roman"/>
          <w:szCs w:val="24"/>
        </w:rPr>
        <w:t xml:space="preserve">provides for the </w:t>
      </w:r>
      <w:r w:rsidR="7855B3D4" w:rsidRPr="032B93E0">
        <w:rPr>
          <w:rFonts w:eastAsia="Times New Roman"/>
          <w:szCs w:val="24"/>
        </w:rPr>
        <w:t>quantitative detection of IgG antibodies to SARS-CoV-2 spike protein, receptor binding domain, nucleocapsid, and a BSA control</w:t>
      </w:r>
      <w:r w:rsidR="7226DE70" w:rsidRPr="032B93E0">
        <w:rPr>
          <w:rFonts w:eastAsia="Times New Roman"/>
          <w:szCs w:val="24"/>
        </w:rPr>
        <w:t>.</w:t>
      </w:r>
    </w:p>
    <w:p w14:paraId="0A7A47AD" w14:textId="0DA80819" w:rsidR="009101C4" w:rsidRPr="00FE39EB" w:rsidRDefault="60947477" w:rsidP="032B93E0">
      <w:pPr>
        <w:spacing w:before="120" w:after="0"/>
        <w:ind w:left="720"/>
      </w:pPr>
      <w:r w:rsidRPr="27B4A244">
        <w:rPr>
          <w:b/>
          <w:bCs/>
        </w:rPr>
        <w:t xml:space="preserve">Viral load: </w:t>
      </w:r>
      <w:r>
        <w:t>nasal swab, oropharyngeal swab</w:t>
      </w:r>
      <w:r w:rsidR="0071149A">
        <w:t>,</w:t>
      </w:r>
      <w:r>
        <w:t xml:space="preserve"> and BAL samples will be tested using a combination of assays:</w:t>
      </w:r>
    </w:p>
    <w:p w14:paraId="33ED0D9D" w14:textId="1D064B43" w:rsidR="009101C4" w:rsidRPr="00FE39EB" w:rsidRDefault="60947477" w:rsidP="27B4A244">
      <w:pPr>
        <w:spacing w:before="120" w:after="0"/>
        <w:ind w:left="1440"/>
        <w:rPr>
          <w:rFonts w:eastAsia="Times New Roman"/>
        </w:rPr>
      </w:pPr>
      <w:r w:rsidRPr="27B4A244">
        <w:rPr>
          <w:u w:val="single"/>
        </w:rPr>
        <w:t>RT-qPCR Analysis</w:t>
      </w:r>
      <w:r w:rsidR="3BCE9AC7" w:rsidRPr="27B4A244">
        <w:rPr>
          <w:u w:val="single"/>
        </w:rPr>
        <w:t xml:space="preserve"> </w:t>
      </w:r>
      <w:r>
        <w:t>-</w:t>
      </w:r>
      <w:r w:rsidR="484F496A">
        <w:t xml:space="preserve"> </w:t>
      </w:r>
      <w:r w:rsidR="70099DC2">
        <w:t>viral nucleic acid</w:t>
      </w:r>
      <w:r>
        <w:t xml:space="preserve"> </w:t>
      </w:r>
      <w:r w:rsidR="3DB016E4">
        <w:t>will be quantified in nasal swab</w:t>
      </w:r>
      <w:r w:rsidR="1D3C09B6">
        <w:t>,</w:t>
      </w:r>
      <w:r w:rsidR="3DB016E4">
        <w:t xml:space="preserve"> </w:t>
      </w:r>
      <w:r w:rsidR="63F51B02">
        <w:t>o</w:t>
      </w:r>
      <w:r w:rsidR="3DB016E4">
        <w:t xml:space="preserve">ropharyngeal swab and BAL samples </w:t>
      </w:r>
      <w:r w:rsidR="0149323D">
        <w:t xml:space="preserve">by </w:t>
      </w:r>
      <w:r w:rsidRPr="27B4A244">
        <w:rPr>
          <w:rFonts w:eastAsia="Times New Roman"/>
        </w:rPr>
        <w:t xml:space="preserve">RT-qPCR using a Nucleocapsid Gene Segment N1 assay and a Small Envelope Protein (E) Gene </w:t>
      </w:r>
      <w:proofErr w:type="spellStart"/>
      <w:r w:rsidRPr="27B4A244">
        <w:rPr>
          <w:rFonts w:eastAsia="Times New Roman"/>
        </w:rPr>
        <w:t>Subgenomic</w:t>
      </w:r>
      <w:proofErr w:type="spellEnd"/>
      <w:r w:rsidRPr="27B4A244">
        <w:rPr>
          <w:rFonts w:eastAsia="Times New Roman"/>
        </w:rPr>
        <w:t xml:space="preserve"> RNA assay.</w:t>
      </w:r>
    </w:p>
    <w:p w14:paraId="469FC10E" w14:textId="1F332B3F" w:rsidR="009101C4" w:rsidRPr="00FE39EB" w:rsidRDefault="6B04CAD4" w:rsidP="27B4A244">
      <w:pPr>
        <w:spacing w:before="120" w:after="0"/>
        <w:ind w:left="1440"/>
        <w:rPr>
          <w:rFonts w:eastAsia="Times New Roman"/>
        </w:rPr>
      </w:pPr>
      <w:r w:rsidRPr="27B4A244">
        <w:rPr>
          <w:rFonts w:eastAsia="Times New Roman"/>
          <w:u w:val="single"/>
        </w:rPr>
        <w:t>Tissue Culture Infectious Dose 50</w:t>
      </w:r>
      <w:r w:rsidR="68470DFF" w:rsidRPr="27B4A244">
        <w:rPr>
          <w:rFonts w:eastAsia="Times New Roman"/>
          <w:u w:val="single"/>
        </w:rPr>
        <w:t xml:space="preserve"> (TCID</w:t>
      </w:r>
      <w:r w:rsidR="68470DFF" w:rsidRPr="002C67F8">
        <w:rPr>
          <w:rFonts w:eastAsia="Times New Roman"/>
          <w:u w:val="single"/>
          <w:vertAlign w:val="subscript"/>
        </w:rPr>
        <w:t>50</w:t>
      </w:r>
      <w:r w:rsidR="68470DFF" w:rsidRPr="27B4A244">
        <w:rPr>
          <w:rFonts w:eastAsia="Times New Roman"/>
          <w:u w:val="single"/>
        </w:rPr>
        <w:t>)</w:t>
      </w:r>
      <w:r w:rsidR="002C67F8">
        <w:rPr>
          <w:rFonts w:eastAsia="Times New Roman"/>
          <w:u w:val="single"/>
        </w:rPr>
        <w:t xml:space="preserve"> </w:t>
      </w:r>
      <w:r w:rsidRPr="27B4A244">
        <w:rPr>
          <w:rFonts w:eastAsia="Times New Roman"/>
          <w:u w:val="single"/>
        </w:rPr>
        <w:t>assay</w:t>
      </w:r>
      <w:r w:rsidR="2EA049DA" w:rsidRPr="27B4A244">
        <w:rPr>
          <w:rFonts w:eastAsia="Times New Roman"/>
        </w:rPr>
        <w:t xml:space="preserve"> – infectious virus will be quantified in </w:t>
      </w:r>
      <w:r w:rsidRPr="27B4A244">
        <w:rPr>
          <w:rFonts w:eastAsia="Times New Roman"/>
        </w:rPr>
        <w:t>nasal</w:t>
      </w:r>
      <w:r w:rsidR="43890EBD" w:rsidRPr="27B4A244">
        <w:rPr>
          <w:rFonts w:eastAsia="Times New Roman"/>
        </w:rPr>
        <w:t xml:space="preserve"> swab</w:t>
      </w:r>
      <w:r w:rsidRPr="27B4A244">
        <w:rPr>
          <w:rFonts w:eastAsia="Times New Roman"/>
        </w:rPr>
        <w:t xml:space="preserve"> and oropharyngeal swab samples</w:t>
      </w:r>
      <w:r w:rsidR="05D72458" w:rsidRPr="27B4A244">
        <w:rPr>
          <w:rFonts w:eastAsia="Times New Roman"/>
        </w:rPr>
        <w:t xml:space="preserve"> using TCID</w:t>
      </w:r>
      <w:r w:rsidR="05D72458" w:rsidRPr="27B4A244">
        <w:rPr>
          <w:rFonts w:eastAsia="Times New Roman"/>
          <w:vertAlign w:val="subscript"/>
        </w:rPr>
        <w:t>50</w:t>
      </w:r>
      <w:r w:rsidR="05D72458" w:rsidRPr="27B4A244">
        <w:rPr>
          <w:rFonts w:eastAsia="Times New Roman"/>
        </w:rPr>
        <w:t xml:space="preserve"> assays</w:t>
      </w:r>
      <w:r w:rsidRPr="27B4A244">
        <w:rPr>
          <w:rFonts w:eastAsia="Times New Roman"/>
        </w:rPr>
        <w:t xml:space="preserve">. </w:t>
      </w:r>
    </w:p>
    <w:p w14:paraId="6D748F94" w14:textId="71461272" w:rsidR="009101C4" w:rsidRPr="00FE39EB" w:rsidRDefault="009101C4" w:rsidP="032B93E0">
      <w:pPr>
        <w:spacing w:after="0"/>
        <w:ind w:left="1440"/>
        <w:rPr>
          <w:rFonts w:eastAsia="Times New Roman"/>
          <w:color w:val="D13438"/>
          <w:szCs w:val="24"/>
          <w:u w:val="single"/>
        </w:rPr>
      </w:pPr>
    </w:p>
    <w:p w14:paraId="243F399A" w14:textId="726155D8" w:rsidR="009101C4" w:rsidRPr="00FE39EB" w:rsidRDefault="7D7F3771">
      <w:pPr>
        <w:spacing w:before="120" w:after="0"/>
        <w:ind w:left="720"/>
        <w:rPr>
          <w:rFonts w:eastAsia="Times New Roman"/>
          <w:szCs w:val="24"/>
        </w:rPr>
      </w:pPr>
      <w:r w:rsidRPr="27B4A244">
        <w:rPr>
          <w:b/>
          <w:bCs/>
        </w:rPr>
        <w:t xml:space="preserve">Cell </w:t>
      </w:r>
      <w:r w:rsidR="00503C3D">
        <w:rPr>
          <w:b/>
          <w:bCs/>
        </w:rPr>
        <w:t>M</w:t>
      </w:r>
      <w:r w:rsidR="00503C3D" w:rsidRPr="27B4A244">
        <w:rPr>
          <w:b/>
          <w:bCs/>
        </w:rPr>
        <w:t xml:space="preserve">ediated </w:t>
      </w:r>
      <w:r w:rsidRPr="27B4A244">
        <w:rPr>
          <w:b/>
          <w:bCs/>
        </w:rPr>
        <w:t xml:space="preserve">Immune Response- </w:t>
      </w:r>
      <w:r>
        <w:t xml:space="preserve">peripheral blood mononuclear cells </w:t>
      </w:r>
      <w:r w:rsidR="3E48A05A">
        <w:t xml:space="preserve">(PBMCs) </w:t>
      </w:r>
      <w:r>
        <w:t xml:space="preserve">will be </w:t>
      </w:r>
      <w:r w:rsidR="36AB9056">
        <w:t>isolated</w:t>
      </w:r>
      <w:r w:rsidR="20D57AB2">
        <w:t xml:space="preserve"> from </w:t>
      </w:r>
      <w:r w:rsidR="38663C18">
        <w:t xml:space="preserve">whole blood </w:t>
      </w:r>
      <w:r w:rsidR="2836195B">
        <w:t>using</w:t>
      </w:r>
      <w:r w:rsidR="38663C18">
        <w:t xml:space="preserve"> </w:t>
      </w:r>
      <w:r w:rsidR="20D57AB2">
        <w:t xml:space="preserve">cell preparation tubes (CPTs). </w:t>
      </w:r>
      <w:r w:rsidR="7292B48E">
        <w:t xml:space="preserve">Cryopreserved PBMCs will be shipped to the McElrath Lab </w:t>
      </w:r>
      <w:r w:rsidR="00503C3D">
        <w:t>for intracellular</w:t>
      </w:r>
      <w:r w:rsidR="61102AB3">
        <w:t xml:space="preserve"> cytokine staining (ICS)</w:t>
      </w:r>
      <w:r w:rsidR="00503C3D">
        <w:t xml:space="preserve"> </w:t>
      </w:r>
      <w:r w:rsidR="6F06CF10">
        <w:t>analysis</w:t>
      </w:r>
      <w:r w:rsidR="7292B48E">
        <w:t xml:space="preserve">. Conduct of </w:t>
      </w:r>
      <w:r w:rsidR="31E66E06">
        <w:t>ICS</w:t>
      </w:r>
      <w:r w:rsidR="5A11E724">
        <w:t xml:space="preserve"> testing </w:t>
      </w:r>
      <w:r w:rsidR="2ED422BF">
        <w:t>is</w:t>
      </w:r>
      <w:r w:rsidR="5A11E724">
        <w:t xml:space="preserve"> </w:t>
      </w:r>
      <w:r w:rsidR="6DEEE5CC" w:rsidRPr="27B4A244">
        <w:rPr>
          <w:rFonts w:eastAsia="Times New Roman"/>
        </w:rPr>
        <w:t>outside the scope of th</w:t>
      </w:r>
      <w:r w:rsidR="69EDBCF8" w:rsidRPr="27B4A244">
        <w:rPr>
          <w:rFonts w:eastAsia="Times New Roman"/>
        </w:rPr>
        <w:t>e</w:t>
      </w:r>
      <w:r w:rsidR="53971989" w:rsidRPr="27B4A244">
        <w:rPr>
          <w:rFonts w:eastAsia="Times New Roman"/>
        </w:rPr>
        <w:t xml:space="preserve"> Battelle</w:t>
      </w:r>
      <w:r w:rsidR="6DEEE5CC" w:rsidRPr="27B4A244">
        <w:rPr>
          <w:rFonts w:eastAsia="Times New Roman"/>
        </w:rPr>
        <w:t xml:space="preserve"> study protocol</w:t>
      </w:r>
      <w:r w:rsidR="2923E318" w:rsidRPr="27B4A244">
        <w:rPr>
          <w:rFonts w:eastAsia="Times New Roman"/>
        </w:rPr>
        <w:t>. However, results will be included as part of the correlates of protection analysis</w:t>
      </w:r>
      <w:r w:rsidR="6E65095F" w:rsidRPr="27B4A244">
        <w:rPr>
          <w:rFonts w:eastAsia="Times New Roman"/>
        </w:rPr>
        <w:t xml:space="preserve"> and analyzed under this SAP</w:t>
      </w:r>
      <w:r w:rsidR="2923E318" w:rsidRPr="27B4A244">
        <w:rPr>
          <w:rFonts w:eastAsia="Times New Roman"/>
        </w:rPr>
        <w:t xml:space="preserve">. </w:t>
      </w:r>
    </w:p>
    <w:p w14:paraId="0DFE0B0B" w14:textId="2A17BEDD" w:rsidR="009101C4" w:rsidRPr="00FE39EB" w:rsidRDefault="364C8DEC" w:rsidP="27B4A244">
      <w:pPr>
        <w:spacing w:before="120" w:after="0"/>
        <w:ind w:left="720"/>
        <w:rPr>
          <w:rFonts w:eastAsia="Times New Roman"/>
          <w:color w:val="000000" w:themeColor="text1"/>
        </w:rPr>
      </w:pPr>
      <w:r w:rsidRPr="27B4A244">
        <w:rPr>
          <w:rFonts w:eastAsia="Times New Roman"/>
          <w:b/>
          <w:bCs/>
        </w:rPr>
        <w:t>Systems Serology</w:t>
      </w:r>
      <w:r w:rsidRPr="27B4A244">
        <w:rPr>
          <w:rFonts w:eastAsia="Times New Roman"/>
        </w:rPr>
        <w:t xml:space="preserve">- serum </w:t>
      </w:r>
      <w:r w:rsidR="541DDB5B" w:rsidRPr="27B4A244">
        <w:rPr>
          <w:rFonts w:eastAsia="Times New Roman"/>
        </w:rPr>
        <w:t xml:space="preserve">samples </w:t>
      </w:r>
      <w:r w:rsidR="666F449E" w:rsidRPr="27B4A244">
        <w:rPr>
          <w:rFonts w:eastAsia="Times New Roman"/>
        </w:rPr>
        <w:t xml:space="preserve">will be shipped to the Alter Lab for </w:t>
      </w:r>
      <w:r w:rsidR="760EC3B1" w:rsidRPr="27B4A244">
        <w:rPr>
          <w:rFonts w:eastAsia="Times New Roman"/>
        </w:rPr>
        <w:t xml:space="preserve">systems serology </w:t>
      </w:r>
      <w:r w:rsidR="666F449E" w:rsidRPr="27B4A244">
        <w:rPr>
          <w:rFonts w:eastAsia="Times New Roman"/>
        </w:rPr>
        <w:t xml:space="preserve">testing and analysis. </w:t>
      </w:r>
      <w:r>
        <w:t xml:space="preserve">Conduct of this testing </w:t>
      </w:r>
      <w:r w:rsidR="5D35F9A8">
        <w:t>is</w:t>
      </w:r>
      <w:r>
        <w:t xml:space="preserve"> </w:t>
      </w:r>
      <w:r w:rsidRPr="27B4A244">
        <w:rPr>
          <w:rFonts w:eastAsia="Times New Roman"/>
        </w:rPr>
        <w:t>outside the scope of th</w:t>
      </w:r>
      <w:r w:rsidR="1DF71422" w:rsidRPr="27B4A244">
        <w:rPr>
          <w:rFonts w:eastAsia="Times New Roman"/>
        </w:rPr>
        <w:t>e</w:t>
      </w:r>
      <w:r w:rsidRPr="27B4A244">
        <w:rPr>
          <w:rFonts w:eastAsia="Times New Roman"/>
        </w:rPr>
        <w:t xml:space="preserve"> </w:t>
      </w:r>
      <w:r w:rsidR="1A5796D6" w:rsidRPr="27B4A244">
        <w:rPr>
          <w:rFonts w:eastAsia="Times New Roman"/>
        </w:rPr>
        <w:t xml:space="preserve">Battelle </w:t>
      </w:r>
      <w:r w:rsidRPr="27B4A244">
        <w:rPr>
          <w:rFonts w:eastAsia="Times New Roman"/>
        </w:rPr>
        <w:t xml:space="preserve">study protocol </w:t>
      </w:r>
      <w:r w:rsidR="6B3FD417" w:rsidRPr="27B4A244">
        <w:rPr>
          <w:rFonts w:eastAsia="Times New Roman"/>
        </w:rPr>
        <w:t>and</w:t>
      </w:r>
      <w:r w:rsidR="6267F2C3" w:rsidRPr="27B4A244">
        <w:rPr>
          <w:rFonts w:eastAsia="Times New Roman"/>
          <w:color w:val="000000" w:themeColor="text1"/>
        </w:rPr>
        <w:t xml:space="preserve"> correlates of protection analysis</w:t>
      </w:r>
      <w:r w:rsidR="002C67F8">
        <w:rPr>
          <w:rFonts w:eastAsia="Times New Roman"/>
          <w:color w:val="000000" w:themeColor="text1"/>
        </w:rPr>
        <w:t xml:space="preserve"> for th</w:t>
      </w:r>
      <w:r w:rsidR="008B4133">
        <w:rPr>
          <w:rFonts w:eastAsia="Times New Roman"/>
          <w:color w:val="000000" w:themeColor="text1"/>
        </w:rPr>
        <w:t>ose</w:t>
      </w:r>
      <w:r w:rsidR="002C67F8">
        <w:rPr>
          <w:rFonts w:eastAsia="Times New Roman"/>
          <w:color w:val="000000" w:themeColor="text1"/>
        </w:rPr>
        <w:t xml:space="preserve"> serum sampl</w:t>
      </w:r>
      <w:r w:rsidR="008B4133">
        <w:rPr>
          <w:rFonts w:eastAsia="Times New Roman"/>
          <w:color w:val="000000" w:themeColor="text1"/>
        </w:rPr>
        <w:t xml:space="preserve">es </w:t>
      </w:r>
      <w:r w:rsidR="734805D5" w:rsidRPr="27B4A244">
        <w:rPr>
          <w:rFonts w:eastAsia="Times New Roman"/>
          <w:color w:val="000000" w:themeColor="text1"/>
        </w:rPr>
        <w:t>and will not be analyzed under this SAP</w:t>
      </w:r>
      <w:r w:rsidR="00D75740">
        <w:rPr>
          <w:rFonts w:eastAsia="Times New Roman"/>
          <w:color w:val="000000" w:themeColor="text1"/>
        </w:rPr>
        <w:t>.</w:t>
      </w:r>
    </w:p>
    <w:p w14:paraId="1AA2D2D9" w14:textId="77777777" w:rsidR="009101C4" w:rsidRDefault="009101C4" w:rsidP="001154FB">
      <w:pPr>
        <w:spacing w:after="0"/>
        <w:rPr>
          <w:b/>
          <w:bCs/>
        </w:rPr>
        <w:sectPr w:rsidR="009101C4" w:rsidSect="00857BDE">
          <w:pgSz w:w="12240" w:h="15840"/>
          <w:pgMar w:top="1440" w:right="1440" w:bottom="1440" w:left="1440" w:header="720" w:footer="720" w:gutter="0"/>
          <w:cols w:space="720"/>
          <w:titlePg/>
          <w:docGrid w:linePitch="360"/>
        </w:sectPr>
      </w:pPr>
    </w:p>
    <w:p w14:paraId="001846F5" w14:textId="0B35A368" w:rsidR="00B42913" w:rsidRPr="00344BE8" w:rsidRDefault="43380C42" w:rsidP="00344BE8">
      <w:pPr>
        <w:spacing w:after="0" w:line="240" w:lineRule="auto"/>
        <w:rPr>
          <w:b/>
          <w:bCs/>
        </w:rPr>
      </w:pPr>
      <w:r w:rsidRPr="032B93E0">
        <w:rPr>
          <w:b/>
          <w:bCs/>
        </w:rPr>
        <w:lastRenderedPageBreak/>
        <w:t xml:space="preserve">Table </w:t>
      </w:r>
      <w:r w:rsidR="545278EA" w:rsidRPr="032B93E0">
        <w:rPr>
          <w:b/>
          <w:bCs/>
        </w:rPr>
        <w:t>4</w:t>
      </w:r>
      <w:r w:rsidRPr="032B93E0">
        <w:rPr>
          <w:b/>
          <w:bCs/>
        </w:rPr>
        <w:t>. S</w:t>
      </w:r>
      <w:r w:rsidR="43B7BB0E" w:rsidRPr="032B93E0">
        <w:rPr>
          <w:b/>
          <w:bCs/>
        </w:rPr>
        <w:t>ample</w:t>
      </w:r>
      <w:r w:rsidRPr="032B93E0">
        <w:rPr>
          <w:b/>
          <w:bCs/>
        </w:rPr>
        <w:t xml:space="preserve"> Collection Schedule</w:t>
      </w:r>
      <w:r w:rsidR="35970CC9" w:rsidRPr="032B93E0">
        <w:rPr>
          <w:b/>
          <w:bCs/>
        </w:rPr>
        <w:t xml:space="preserve"> </w:t>
      </w:r>
      <w:r w:rsidR="6D17A850" w:rsidRPr="032B93E0">
        <w:rPr>
          <w:b/>
          <w:bCs/>
        </w:rPr>
        <w:t xml:space="preserve">and Testing </w:t>
      </w:r>
      <w:r w:rsidR="78AEC159" w:rsidRPr="032B93E0">
        <w:rPr>
          <w:b/>
          <w:bCs/>
        </w:rPr>
        <w:t xml:space="preserve">for Animals in Groups 1A, 1B, 1C, 1D and 1E </w:t>
      </w:r>
      <w:r w:rsidR="35970CC9" w:rsidRPr="032B93E0">
        <w:rPr>
          <w:b/>
          <w:bCs/>
        </w:rPr>
        <w:t>(Moderna)</w:t>
      </w:r>
    </w:p>
    <w:tbl>
      <w:tblPr>
        <w:tblStyle w:val="TableGrid1"/>
        <w:tblW w:w="0" w:type="auto"/>
        <w:tblLayout w:type="fixed"/>
        <w:tblLook w:val="04A0" w:firstRow="1" w:lastRow="0" w:firstColumn="1" w:lastColumn="0" w:noHBand="0" w:noVBand="1"/>
      </w:tblPr>
      <w:tblGrid>
        <w:gridCol w:w="1851"/>
        <w:gridCol w:w="1851"/>
        <w:gridCol w:w="1851"/>
        <w:gridCol w:w="1851"/>
        <w:gridCol w:w="1851"/>
        <w:gridCol w:w="1851"/>
        <w:gridCol w:w="1851"/>
      </w:tblGrid>
      <w:tr w:rsidR="032B93E0" w14:paraId="17927F56" w14:textId="77777777" w:rsidTr="032B93E0">
        <w:tc>
          <w:tcPr>
            <w:tcW w:w="1851" w:type="dxa"/>
          </w:tcPr>
          <w:p w14:paraId="06CCDAA2" w14:textId="7E1D544C" w:rsidR="032B93E0" w:rsidRDefault="032B93E0" w:rsidP="00FE7B7F">
            <w:pPr>
              <w:jc w:val="center"/>
              <w:rPr>
                <w:rFonts w:eastAsia="Times New Roman"/>
                <w:b/>
                <w:bCs/>
                <w:sz w:val="20"/>
                <w:szCs w:val="20"/>
              </w:rPr>
            </w:pPr>
            <w:r w:rsidRPr="032B93E0">
              <w:rPr>
                <w:rFonts w:eastAsia="Times New Roman"/>
                <w:b/>
                <w:bCs/>
                <w:sz w:val="20"/>
                <w:szCs w:val="20"/>
              </w:rPr>
              <w:t>Study Day (Relative to Challenge)</w:t>
            </w:r>
          </w:p>
        </w:tc>
        <w:tc>
          <w:tcPr>
            <w:tcW w:w="1851" w:type="dxa"/>
          </w:tcPr>
          <w:p w14:paraId="0C1E158F" w14:textId="4503BE9F" w:rsidR="032B93E0" w:rsidRDefault="032B93E0" w:rsidP="00FE7B7F">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Blood Collection Volume/ </w:t>
            </w:r>
          </w:p>
          <w:p w14:paraId="0C2477BF" w14:textId="3C44992F" w:rsidR="032B93E0" w:rsidRDefault="032B93E0" w:rsidP="00FE7B7F">
            <w:pPr>
              <w:jc w:val="center"/>
              <w:rPr>
                <w:rFonts w:eastAsia="Times New Roman"/>
                <w:b/>
                <w:bCs/>
                <w:color w:val="000000" w:themeColor="text1"/>
                <w:sz w:val="20"/>
                <w:szCs w:val="20"/>
              </w:rPr>
            </w:pPr>
            <w:r w:rsidRPr="032B93E0">
              <w:rPr>
                <w:rFonts w:eastAsia="Times New Roman"/>
                <w:b/>
                <w:bCs/>
                <w:color w:val="000000" w:themeColor="text1"/>
                <w:sz w:val="20"/>
                <w:szCs w:val="20"/>
              </w:rPr>
              <w:t>Blood Tube</w:t>
            </w:r>
          </w:p>
        </w:tc>
        <w:tc>
          <w:tcPr>
            <w:tcW w:w="1851" w:type="dxa"/>
          </w:tcPr>
          <w:p w14:paraId="12909006" w14:textId="5A8AA382" w:rsidR="032B93E0" w:rsidRDefault="032B93E0" w:rsidP="00FE7B7F">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Sera for MNA, MSD-ECLIA, </w:t>
            </w:r>
            <w:proofErr w:type="spellStart"/>
            <w:r w:rsidRPr="032B93E0">
              <w:rPr>
                <w:rFonts w:eastAsia="Times New Roman"/>
                <w:b/>
                <w:bCs/>
                <w:color w:val="000000" w:themeColor="text1"/>
                <w:sz w:val="20"/>
                <w:szCs w:val="20"/>
              </w:rPr>
              <w:t>PsVNA</w:t>
            </w:r>
            <w:proofErr w:type="spellEnd"/>
            <w:r w:rsidRPr="032B93E0">
              <w:rPr>
                <w:rFonts w:eastAsia="Times New Roman"/>
                <w:b/>
                <w:bCs/>
                <w:color w:val="000000" w:themeColor="text1"/>
                <w:sz w:val="20"/>
                <w:szCs w:val="20"/>
              </w:rPr>
              <w:t>, ^Systems Serology, Retentions</w:t>
            </w:r>
          </w:p>
        </w:tc>
        <w:tc>
          <w:tcPr>
            <w:tcW w:w="1851" w:type="dxa"/>
          </w:tcPr>
          <w:p w14:paraId="6FA2C64D" w14:textId="74503442" w:rsidR="032B93E0" w:rsidRDefault="032B93E0" w:rsidP="00FE7B7F">
            <w:pPr>
              <w:jc w:val="center"/>
              <w:rPr>
                <w:rFonts w:eastAsia="Times New Roman"/>
                <w:b/>
                <w:bCs/>
                <w:sz w:val="20"/>
                <w:szCs w:val="20"/>
              </w:rPr>
            </w:pPr>
            <w:r w:rsidRPr="032B93E0">
              <w:rPr>
                <w:rFonts w:eastAsia="Times New Roman"/>
                <w:b/>
                <w:bCs/>
                <w:sz w:val="20"/>
                <w:szCs w:val="20"/>
              </w:rPr>
              <w:t xml:space="preserve"> </w:t>
            </w:r>
          </w:p>
          <w:p w14:paraId="25F54645" w14:textId="791397B0" w:rsidR="032B93E0" w:rsidRDefault="032B93E0" w:rsidP="00FE7B7F">
            <w:pPr>
              <w:jc w:val="center"/>
              <w:rPr>
                <w:rFonts w:eastAsia="Times New Roman"/>
                <w:b/>
                <w:bCs/>
                <w:color w:val="000000" w:themeColor="text1"/>
                <w:sz w:val="20"/>
                <w:szCs w:val="20"/>
              </w:rPr>
            </w:pPr>
            <w:r w:rsidRPr="032B93E0">
              <w:rPr>
                <w:rFonts w:eastAsia="Times New Roman"/>
                <w:b/>
                <w:bCs/>
                <w:color w:val="000000" w:themeColor="text1"/>
                <w:sz w:val="20"/>
                <w:szCs w:val="20"/>
              </w:rPr>
              <w:t>BAL Collection</w:t>
            </w:r>
          </w:p>
        </w:tc>
        <w:tc>
          <w:tcPr>
            <w:tcW w:w="1851" w:type="dxa"/>
          </w:tcPr>
          <w:p w14:paraId="37899C2D" w14:textId="05CEBE60" w:rsidR="032B93E0" w:rsidRDefault="032B93E0" w:rsidP="00FE7B7F">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Nasal / </w:t>
            </w:r>
            <w:r w:rsidR="00503C3D" w:rsidRPr="032B93E0">
              <w:rPr>
                <w:rFonts w:eastAsia="Times New Roman"/>
                <w:b/>
                <w:bCs/>
                <w:color w:val="000000" w:themeColor="text1"/>
                <w:sz w:val="20"/>
                <w:szCs w:val="20"/>
              </w:rPr>
              <w:t>Oropharyngeal Swabs</w:t>
            </w:r>
          </w:p>
        </w:tc>
        <w:tc>
          <w:tcPr>
            <w:tcW w:w="1851" w:type="dxa"/>
          </w:tcPr>
          <w:p w14:paraId="48B20BC7" w14:textId="106E6619" w:rsidR="032B93E0" w:rsidRDefault="032B93E0" w:rsidP="00FE7B7F">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Nasal Wash </w:t>
            </w:r>
          </w:p>
        </w:tc>
        <w:tc>
          <w:tcPr>
            <w:tcW w:w="1851" w:type="dxa"/>
          </w:tcPr>
          <w:p w14:paraId="15ABDEA1" w14:textId="06289AEE" w:rsidR="032B93E0" w:rsidRDefault="032B93E0" w:rsidP="00FE7B7F">
            <w:pPr>
              <w:jc w:val="center"/>
              <w:rPr>
                <w:rFonts w:eastAsia="Times New Roman"/>
                <w:b/>
                <w:bCs/>
                <w:color w:val="000000" w:themeColor="text1"/>
                <w:sz w:val="20"/>
                <w:szCs w:val="20"/>
              </w:rPr>
            </w:pPr>
            <w:r w:rsidRPr="032B93E0">
              <w:rPr>
                <w:rFonts w:eastAsia="Times New Roman"/>
                <w:b/>
                <w:bCs/>
                <w:color w:val="000000" w:themeColor="text1"/>
                <w:sz w:val="20"/>
                <w:szCs w:val="20"/>
              </w:rPr>
              <w:t>PBMC</w:t>
            </w:r>
          </w:p>
        </w:tc>
      </w:tr>
      <w:tr w:rsidR="032B93E0" w14:paraId="2B1281D3" w14:textId="77777777" w:rsidTr="032B93E0">
        <w:tc>
          <w:tcPr>
            <w:tcW w:w="1851" w:type="dxa"/>
          </w:tcPr>
          <w:p w14:paraId="1D1A079B" w14:textId="24FDCEDF" w:rsidR="032B93E0" w:rsidRDefault="032B93E0" w:rsidP="00FE7B7F">
            <w:pPr>
              <w:jc w:val="center"/>
              <w:rPr>
                <w:rFonts w:eastAsia="Times New Roman"/>
                <w:sz w:val="20"/>
                <w:szCs w:val="20"/>
              </w:rPr>
            </w:pPr>
            <w:r w:rsidRPr="032B93E0">
              <w:rPr>
                <w:rFonts w:eastAsia="Times New Roman"/>
                <w:sz w:val="20"/>
                <w:szCs w:val="20"/>
              </w:rPr>
              <w:t>Prior to Vaccination</w:t>
            </w:r>
          </w:p>
        </w:tc>
        <w:tc>
          <w:tcPr>
            <w:tcW w:w="1851" w:type="dxa"/>
          </w:tcPr>
          <w:p w14:paraId="2C7FF278" w14:textId="2A16DD43" w:rsidR="032B93E0" w:rsidRDefault="032B93E0" w:rsidP="00FE7B7F">
            <w:pPr>
              <w:jc w:val="center"/>
              <w:rPr>
                <w:rFonts w:eastAsia="Times New Roman"/>
                <w:sz w:val="20"/>
                <w:szCs w:val="20"/>
              </w:rPr>
            </w:pPr>
            <w:r w:rsidRPr="032B93E0">
              <w:rPr>
                <w:rFonts w:eastAsia="Times New Roman"/>
                <w:sz w:val="20"/>
                <w:szCs w:val="20"/>
              </w:rPr>
              <w:t>~6 mL SST</w:t>
            </w:r>
          </w:p>
          <w:p w14:paraId="4FD9991C" w14:textId="5E80751A" w:rsidR="032B93E0" w:rsidRDefault="032B93E0" w:rsidP="00FE7B7F">
            <w:pPr>
              <w:jc w:val="center"/>
              <w:rPr>
                <w:rFonts w:eastAsia="Times New Roman"/>
                <w:sz w:val="20"/>
                <w:szCs w:val="20"/>
              </w:rPr>
            </w:pPr>
            <w:r w:rsidRPr="032B93E0">
              <w:rPr>
                <w:rFonts w:eastAsia="Times New Roman"/>
                <w:sz w:val="20"/>
                <w:szCs w:val="20"/>
              </w:rPr>
              <w:t>~16 mL CPT</w:t>
            </w:r>
          </w:p>
        </w:tc>
        <w:tc>
          <w:tcPr>
            <w:tcW w:w="1851" w:type="dxa"/>
          </w:tcPr>
          <w:p w14:paraId="055ED27E" w14:textId="3E6F0574"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36B3D5D7" w14:textId="589C3D41"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4CD05E96" w14:textId="058671F1"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3A32D231" w14:textId="170B14E7"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41D57803" w14:textId="558BA892" w:rsidR="032B93E0" w:rsidRDefault="032B93E0" w:rsidP="00FE7B7F">
            <w:pPr>
              <w:jc w:val="center"/>
              <w:rPr>
                <w:rFonts w:eastAsia="Times New Roman"/>
                <w:sz w:val="20"/>
                <w:szCs w:val="20"/>
              </w:rPr>
            </w:pPr>
            <w:r w:rsidRPr="032B93E0">
              <w:rPr>
                <w:rFonts w:eastAsia="Times New Roman"/>
                <w:sz w:val="20"/>
                <w:szCs w:val="20"/>
              </w:rPr>
              <w:t>X</w:t>
            </w:r>
          </w:p>
        </w:tc>
      </w:tr>
      <w:tr w:rsidR="032B93E0" w14:paraId="61B9F2BA" w14:textId="77777777" w:rsidTr="032B93E0">
        <w:tc>
          <w:tcPr>
            <w:tcW w:w="1851" w:type="dxa"/>
          </w:tcPr>
          <w:p w14:paraId="7E407EE9" w14:textId="0D09B4D0" w:rsidR="032B93E0" w:rsidRDefault="032B93E0" w:rsidP="00FE7B7F">
            <w:pPr>
              <w:jc w:val="center"/>
              <w:rPr>
                <w:rFonts w:eastAsia="Times New Roman"/>
                <w:sz w:val="20"/>
                <w:szCs w:val="20"/>
              </w:rPr>
            </w:pPr>
            <w:r w:rsidRPr="032B93E0">
              <w:rPr>
                <w:rFonts w:eastAsia="Times New Roman"/>
                <w:sz w:val="20"/>
                <w:szCs w:val="20"/>
              </w:rPr>
              <w:t xml:space="preserve">7 (Day -49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0C456E65" w14:textId="6C01EEB0" w:rsidR="032B93E0" w:rsidRDefault="032B93E0" w:rsidP="00FE7B7F">
            <w:pPr>
              <w:jc w:val="center"/>
              <w:rPr>
                <w:rFonts w:eastAsia="Times New Roman"/>
                <w:sz w:val="20"/>
                <w:szCs w:val="20"/>
              </w:rPr>
            </w:pPr>
            <w:r w:rsidRPr="032B93E0">
              <w:rPr>
                <w:rFonts w:eastAsia="Times New Roman"/>
                <w:sz w:val="20"/>
                <w:szCs w:val="20"/>
              </w:rPr>
              <w:t>~6 mL SST</w:t>
            </w:r>
          </w:p>
        </w:tc>
        <w:tc>
          <w:tcPr>
            <w:tcW w:w="1851" w:type="dxa"/>
          </w:tcPr>
          <w:p w14:paraId="30A5EACB" w14:textId="18F7DFD1"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34E49450" w14:textId="6683F77C"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112FC3CF" w14:textId="3CB9E2B1"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15EAD734" w14:textId="102B11E2"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0DCD1586" w14:textId="1078D213" w:rsidR="032B93E0" w:rsidRDefault="032B93E0" w:rsidP="00FE7B7F">
            <w:pPr>
              <w:jc w:val="center"/>
              <w:rPr>
                <w:rFonts w:eastAsia="Times New Roman"/>
                <w:sz w:val="20"/>
                <w:szCs w:val="20"/>
              </w:rPr>
            </w:pPr>
            <w:r w:rsidRPr="032B93E0">
              <w:rPr>
                <w:rFonts w:eastAsia="Times New Roman"/>
                <w:sz w:val="20"/>
                <w:szCs w:val="20"/>
              </w:rPr>
              <w:t xml:space="preserve"> </w:t>
            </w:r>
          </w:p>
        </w:tc>
      </w:tr>
      <w:tr w:rsidR="032B93E0" w14:paraId="24D9F5DD" w14:textId="77777777" w:rsidTr="032B93E0">
        <w:tc>
          <w:tcPr>
            <w:tcW w:w="1851" w:type="dxa"/>
          </w:tcPr>
          <w:p w14:paraId="0EBF3C46" w14:textId="51705446" w:rsidR="032B93E0" w:rsidRDefault="032B93E0" w:rsidP="00FE7B7F">
            <w:pPr>
              <w:jc w:val="center"/>
              <w:rPr>
                <w:rFonts w:eastAsia="Times New Roman"/>
                <w:sz w:val="20"/>
                <w:szCs w:val="20"/>
              </w:rPr>
            </w:pPr>
            <w:r w:rsidRPr="032B93E0">
              <w:rPr>
                <w:rFonts w:eastAsia="Times New Roman"/>
                <w:sz w:val="20"/>
                <w:szCs w:val="20"/>
              </w:rPr>
              <w:t xml:space="preserve">14 (Day -42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309988ED" w14:textId="212EBDF1" w:rsidR="032B93E0" w:rsidRDefault="032B93E0" w:rsidP="00FE7B7F">
            <w:pPr>
              <w:jc w:val="center"/>
              <w:rPr>
                <w:rFonts w:eastAsia="Times New Roman"/>
                <w:sz w:val="20"/>
                <w:szCs w:val="20"/>
              </w:rPr>
            </w:pPr>
            <w:r w:rsidRPr="032B93E0">
              <w:rPr>
                <w:rFonts w:eastAsia="Times New Roman"/>
                <w:sz w:val="20"/>
                <w:szCs w:val="20"/>
              </w:rPr>
              <w:t>~6 mL SST</w:t>
            </w:r>
          </w:p>
        </w:tc>
        <w:tc>
          <w:tcPr>
            <w:tcW w:w="1851" w:type="dxa"/>
          </w:tcPr>
          <w:p w14:paraId="5168CEFA" w14:textId="35CA9E86"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6E1BD8A3" w14:textId="1CACC2EE"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5AEE9C42" w14:textId="43776A54"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443FBF76" w14:textId="5EBD8A2A"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14EE0EC7" w14:textId="659A636F" w:rsidR="032B93E0" w:rsidRDefault="032B93E0" w:rsidP="00FE7B7F">
            <w:pPr>
              <w:jc w:val="center"/>
              <w:rPr>
                <w:rFonts w:eastAsia="Times New Roman"/>
                <w:sz w:val="20"/>
                <w:szCs w:val="20"/>
              </w:rPr>
            </w:pPr>
            <w:r w:rsidRPr="032B93E0">
              <w:rPr>
                <w:rFonts w:eastAsia="Times New Roman"/>
                <w:sz w:val="20"/>
                <w:szCs w:val="20"/>
              </w:rPr>
              <w:t xml:space="preserve"> </w:t>
            </w:r>
          </w:p>
        </w:tc>
      </w:tr>
      <w:tr w:rsidR="032B93E0" w14:paraId="461A1D07" w14:textId="77777777" w:rsidTr="032B93E0">
        <w:tc>
          <w:tcPr>
            <w:tcW w:w="1851" w:type="dxa"/>
          </w:tcPr>
          <w:p w14:paraId="1994FCD4" w14:textId="5F3D4D92" w:rsidR="032B93E0" w:rsidRDefault="032B93E0" w:rsidP="00FE7B7F">
            <w:pPr>
              <w:jc w:val="center"/>
              <w:rPr>
                <w:rFonts w:eastAsia="Times New Roman"/>
                <w:sz w:val="20"/>
                <w:szCs w:val="20"/>
              </w:rPr>
            </w:pPr>
            <w:r w:rsidRPr="032B93E0">
              <w:rPr>
                <w:rFonts w:eastAsia="Times New Roman"/>
                <w:sz w:val="20"/>
                <w:szCs w:val="20"/>
              </w:rPr>
              <w:t xml:space="preserve">21 (Day -35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3E4232AF" w14:textId="19397E86" w:rsidR="032B93E0" w:rsidRDefault="032B93E0" w:rsidP="00FE7B7F">
            <w:pPr>
              <w:jc w:val="center"/>
              <w:rPr>
                <w:rFonts w:eastAsia="Times New Roman"/>
                <w:sz w:val="20"/>
                <w:szCs w:val="20"/>
              </w:rPr>
            </w:pPr>
            <w:r w:rsidRPr="032B93E0">
              <w:rPr>
                <w:rFonts w:eastAsia="Times New Roman"/>
                <w:sz w:val="20"/>
                <w:szCs w:val="20"/>
              </w:rPr>
              <w:t>~6 mL SST</w:t>
            </w:r>
          </w:p>
        </w:tc>
        <w:tc>
          <w:tcPr>
            <w:tcW w:w="1851" w:type="dxa"/>
          </w:tcPr>
          <w:p w14:paraId="4D14437F" w14:textId="0CE741D1"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045C545D" w14:textId="58A4FAC5"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7C78B87A" w14:textId="43E82F99"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3358576A" w14:textId="5E93AC79"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2754E44E" w14:textId="5B259EAB" w:rsidR="032B93E0" w:rsidRDefault="032B93E0" w:rsidP="00FE7B7F">
            <w:pPr>
              <w:jc w:val="center"/>
              <w:rPr>
                <w:rFonts w:eastAsia="Times New Roman"/>
                <w:sz w:val="20"/>
                <w:szCs w:val="20"/>
              </w:rPr>
            </w:pPr>
            <w:r w:rsidRPr="032B93E0">
              <w:rPr>
                <w:rFonts w:eastAsia="Times New Roman"/>
                <w:sz w:val="20"/>
                <w:szCs w:val="20"/>
              </w:rPr>
              <w:t xml:space="preserve"> </w:t>
            </w:r>
          </w:p>
        </w:tc>
      </w:tr>
      <w:tr w:rsidR="032B93E0" w14:paraId="38918BB5" w14:textId="77777777" w:rsidTr="032B93E0">
        <w:tc>
          <w:tcPr>
            <w:tcW w:w="1851" w:type="dxa"/>
          </w:tcPr>
          <w:p w14:paraId="7B2C9056" w14:textId="645D6818" w:rsidR="032B93E0" w:rsidRDefault="032B93E0" w:rsidP="00FE7B7F">
            <w:pPr>
              <w:jc w:val="center"/>
              <w:rPr>
                <w:rFonts w:eastAsia="Times New Roman"/>
                <w:sz w:val="20"/>
                <w:szCs w:val="20"/>
              </w:rPr>
            </w:pPr>
            <w:r w:rsidRPr="032B93E0">
              <w:rPr>
                <w:rFonts w:eastAsia="Times New Roman"/>
                <w:sz w:val="20"/>
                <w:szCs w:val="20"/>
              </w:rPr>
              <w:t xml:space="preserve">28 (Day -28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1C6B35AE" w14:textId="4DB7A874" w:rsidR="032B93E0" w:rsidRDefault="032B93E0" w:rsidP="00FE7B7F">
            <w:pPr>
              <w:jc w:val="center"/>
              <w:rPr>
                <w:rFonts w:eastAsia="Times New Roman"/>
                <w:sz w:val="20"/>
                <w:szCs w:val="20"/>
              </w:rPr>
            </w:pPr>
            <w:r w:rsidRPr="032B93E0">
              <w:rPr>
                <w:rFonts w:eastAsia="Times New Roman"/>
                <w:sz w:val="20"/>
                <w:szCs w:val="20"/>
              </w:rPr>
              <w:t>~6 mL SST</w:t>
            </w:r>
          </w:p>
        </w:tc>
        <w:tc>
          <w:tcPr>
            <w:tcW w:w="1851" w:type="dxa"/>
          </w:tcPr>
          <w:p w14:paraId="3825DE08" w14:textId="56DB972A"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719FC0FF" w14:textId="4F3DBED9"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3AF2B944" w14:textId="17747400"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28F42F56" w14:textId="74D6C8A8"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7EEF24A2" w14:textId="28A12448" w:rsidR="032B93E0" w:rsidRDefault="032B93E0" w:rsidP="00FE7B7F">
            <w:pPr>
              <w:jc w:val="center"/>
              <w:rPr>
                <w:rFonts w:eastAsia="Times New Roman"/>
                <w:sz w:val="20"/>
                <w:szCs w:val="20"/>
              </w:rPr>
            </w:pPr>
            <w:r w:rsidRPr="032B93E0">
              <w:rPr>
                <w:rFonts w:eastAsia="Times New Roman"/>
                <w:sz w:val="20"/>
                <w:szCs w:val="20"/>
              </w:rPr>
              <w:t xml:space="preserve"> </w:t>
            </w:r>
          </w:p>
        </w:tc>
      </w:tr>
      <w:tr w:rsidR="032B93E0" w14:paraId="6ED48C20" w14:textId="77777777" w:rsidTr="032B93E0">
        <w:tc>
          <w:tcPr>
            <w:tcW w:w="1851" w:type="dxa"/>
          </w:tcPr>
          <w:p w14:paraId="09518633" w14:textId="6304589E" w:rsidR="032B93E0" w:rsidRDefault="032B93E0" w:rsidP="00FE7B7F">
            <w:pPr>
              <w:jc w:val="center"/>
              <w:rPr>
                <w:rFonts w:eastAsia="Times New Roman"/>
                <w:sz w:val="20"/>
                <w:szCs w:val="20"/>
              </w:rPr>
            </w:pPr>
            <w:r w:rsidRPr="032B93E0">
              <w:rPr>
                <w:rFonts w:eastAsia="Times New Roman"/>
                <w:sz w:val="20"/>
                <w:szCs w:val="20"/>
              </w:rPr>
              <w:t xml:space="preserve">35 (Day -21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5E4DDB16" w14:textId="19C658D0" w:rsidR="032B93E0" w:rsidRDefault="032B93E0" w:rsidP="00FE7B7F">
            <w:pPr>
              <w:jc w:val="center"/>
              <w:rPr>
                <w:rFonts w:eastAsia="Times New Roman"/>
                <w:sz w:val="20"/>
                <w:szCs w:val="20"/>
              </w:rPr>
            </w:pPr>
            <w:r w:rsidRPr="032B93E0">
              <w:rPr>
                <w:rFonts w:eastAsia="Times New Roman"/>
                <w:sz w:val="20"/>
                <w:szCs w:val="20"/>
              </w:rPr>
              <w:t>~6 mL SST</w:t>
            </w:r>
          </w:p>
        </w:tc>
        <w:tc>
          <w:tcPr>
            <w:tcW w:w="1851" w:type="dxa"/>
          </w:tcPr>
          <w:p w14:paraId="49333ADC" w14:textId="50252BFB"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1715C63C" w14:textId="010AA0A7"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583FDF66" w14:textId="7F9DCFE3"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4B6F7127" w14:textId="1C18D435"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1959FDB0" w14:textId="0D841BE8" w:rsidR="032B93E0" w:rsidRDefault="032B93E0" w:rsidP="00FE7B7F">
            <w:pPr>
              <w:jc w:val="center"/>
              <w:rPr>
                <w:rFonts w:eastAsia="Times New Roman"/>
                <w:sz w:val="20"/>
                <w:szCs w:val="20"/>
              </w:rPr>
            </w:pPr>
            <w:r w:rsidRPr="032B93E0">
              <w:rPr>
                <w:rFonts w:eastAsia="Times New Roman"/>
                <w:sz w:val="20"/>
                <w:szCs w:val="20"/>
              </w:rPr>
              <w:t xml:space="preserve"> </w:t>
            </w:r>
          </w:p>
        </w:tc>
      </w:tr>
      <w:tr w:rsidR="032B93E0" w14:paraId="0601A1A1" w14:textId="77777777" w:rsidTr="032B93E0">
        <w:tc>
          <w:tcPr>
            <w:tcW w:w="1851" w:type="dxa"/>
          </w:tcPr>
          <w:p w14:paraId="217ECA4B" w14:textId="0E361E70" w:rsidR="032B93E0" w:rsidRDefault="032B93E0" w:rsidP="00FE7B7F">
            <w:pPr>
              <w:jc w:val="center"/>
              <w:rPr>
                <w:rFonts w:eastAsia="Times New Roman"/>
                <w:sz w:val="20"/>
                <w:szCs w:val="20"/>
              </w:rPr>
            </w:pPr>
            <w:r w:rsidRPr="032B93E0">
              <w:rPr>
                <w:rFonts w:eastAsia="Times New Roman"/>
                <w:sz w:val="20"/>
                <w:szCs w:val="20"/>
              </w:rPr>
              <w:t xml:space="preserve">42 (Day -14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49EE71A9" w14:textId="6949E1E7" w:rsidR="032B93E0" w:rsidRDefault="032B93E0" w:rsidP="00FE7B7F">
            <w:pPr>
              <w:jc w:val="center"/>
              <w:rPr>
                <w:rFonts w:eastAsia="Times New Roman"/>
                <w:sz w:val="20"/>
                <w:szCs w:val="20"/>
              </w:rPr>
            </w:pPr>
            <w:r w:rsidRPr="032B93E0">
              <w:rPr>
                <w:rFonts w:eastAsia="Times New Roman"/>
                <w:sz w:val="20"/>
                <w:szCs w:val="20"/>
              </w:rPr>
              <w:t>~6 mL SST</w:t>
            </w:r>
          </w:p>
          <w:p w14:paraId="70B9487D" w14:textId="5344E242" w:rsidR="032B93E0" w:rsidRDefault="032B93E0" w:rsidP="00FE7B7F">
            <w:pPr>
              <w:jc w:val="center"/>
              <w:rPr>
                <w:rFonts w:eastAsia="Times New Roman"/>
                <w:sz w:val="20"/>
                <w:szCs w:val="20"/>
              </w:rPr>
            </w:pPr>
            <w:r w:rsidRPr="032B93E0">
              <w:rPr>
                <w:rFonts w:eastAsia="Times New Roman"/>
                <w:sz w:val="20"/>
                <w:szCs w:val="20"/>
              </w:rPr>
              <w:t>~16 mL CPT</w:t>
            </w:r>
          </w:p>
        </w:tc>
        <w:tc>
          <w:tcPr>
            <w:tcW w:w="1851" w:type="dxa"/>
          </w:tcPr>
          <w:p w14:paraId="6EFFAC4C" w14:textId="269F1392"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2FA932EF" w14:textId="33398247"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168347CD" w14:textId="76587547"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467363A1" w14:textId="767B7895"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679A613B" w14:textId="7D9B3031" w:rsidR="032B93E0" w:rsidRDefault="032B93E0" w:rsidP="00FE7B7F">
            <w:pPr>
              <w:jc w:val="center"/>
              <w:rPr>
                <w:rFonts w:eastAsia="Times New Roman"/>
                <w:sz w:val="20"/>
                <w:szCs w:val="20"/>
              </w:rPr>
            </w:pPr>
            <w:r w:rsidRPr="032B93E0">
              <w:rPr>
                <w:rFonts w:eastAsia="Times New Roman"/>
                <w:sz w:val="20"/>
                <w:szCs w:val="20"/>
              </w:rPr>
              <w:t>X</w:t>
            </w:r>
          </w:p>
        </w:tc>
      </w:tr>
      <w:tr w:rsidR="032B93E0" w14:paraId="0A6EBFC6" w14:textId="77777777" w:rsidTr="032B93E0">
        <w:tc>
          <w:tcPr>
            <w:tcW w:w="1851" w:type="dxa"/>
          </w:tcPr>
          <w:p w14:paraId="60246A3D" w14:textId="25AF754B" w:rsidR="032B93E0" w:rsidRDefault="032B93E0" w:rsidP="00FE7B7F">
            <w:pPr>
              <w:jc w:val="center"/>
              <w:rPr>
                <w:rFonts w:eastAsia="Times New Roman"/>
                <w:sz w:val="20"/>
                <w:szCs w:val="20"/>
              </w:rPr>
            </w:pPr>
            <w:r w:rsidRPr="032B93E0">
              <w:rPr>
                <w:rFonts w:eastAsia="Times New Roman"/>
                <w:sz w:val="20"/>
                <w:szCs w:val="20"/>
              </w:rPr>
              <w:t xml:space="preserve">49 (Day -7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3817B976" w14:textId="526C398D" w:rsidR="032B93E0" w:rsidRDefault="032B93E0" w:rsidP="00FE7B7F">
            <w:pPr>
              <w:jc w:val="center"/>
              <w:rPr>
                <w:rFonts w:eastAsia="Times New Roman"/>
                <w:sz w:val="20"/>
                <w:szCs w:val="20"/>
              </w:rPr>
            </w:pPr>
            <w:r w:rsidRPr="032B93E0">
              <w:rPr>
                <w:rFonts w:eastAsia="Times New Roman"/>
                <w:sz w:val="20"/>
                <w:szCs w:val="20"/>
              </w:rPr>
              <w:t>~6 mL SST</w:t>
            </w:r>
          </w:p>
        </w:tc>
        <w:tc>
          <w:tcPr>
            <w:tcW w:w="1851" w:type="dxa"/>
          </w:tcPr>
          <w:p w14:paraId="262871C2" w14:textId="43925354"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71B8DD76" w14:textId="14CF321B"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65C10DB6" w14:textId="04336A27"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4B42CD75" w14:textId="72A3B63E"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63AE0843" w14:textId="3A88C8C4" w:rsidR="032B93E0" w:rsidRDefault="032B93E0" w:rsidP="00FE7B7F">
            <w:pPr>
              <w:jc w:val="center"/>
              <w:rPr>
                <w:rFonts w:eastAsia="Times New Roman"/>
                <w:sz w:val="20"/>
                <w:szCs w:val="20"/>
              </w:rPr>
            </w:pPr>
            <w:r w:rsidRPr="032B93E0">
              <w:rPr>
                <w:rFonts w:eastAsia="Times New Roman"/>
                <w:sz w:val="20"/>
                <w:szCs w:val="20"/>
              </w:rPr>
              <w:t xml:space="preserve"> </w:t>
            </w:r>
          </w:p>
        </w:tc>
      </w:tr>
      <w:tr w:rsidR="032B93E0" w14:paraId="5488B0B2" w14:textId="77777777" w:rsidTr="032B93E0">
        <w:tc>
          <w:tcPr>
            <w:tcW w:w="1851" w:type="dxa"/>
          </w:tcPr>
          <w:p w14:paraId="7600249C" w14:textId="087A7B00" w:rsidR="032B93E0" w:rsidRDefault="032B93E0" w:rsidP="00FE7B7F">
            <w:pPr>
              <w:jc w:val="center"/>
              <w:rPr>
                <w:rFonts w:eastAsia="Times New Roman"/>
                <w:sz w:val="20"/>
                <w:szCs w:val="20"/>
              </w:rPr>
            </w:pPr>
            <w:r w:rsidRPr="032B93E0">
              <w:rPr>
                <w:rFonts w:eastAsia="Times New Roman"/>
                <w:sz w:val="20"/>
                <w:szCs w:val="20"/>
              </w:rPr>
              <w:t>*56 (Challenge)</w:t>
            </w:r>
          </w:p>
        </w:tc>
        <w:tc>
          <w:tcPr>
            <w:tcW w:w="1851" w:type="dxa"/>
          </w:tcPr>
          <w:p w14:paraId="3EA119B1" w14:textId="1CE8BFE0" w:rsidR="032B93E0" w:rsidRDefault="032B93E0" w:rsidP="00FE7B7F">
            <w:pPr>
              <w:jc w:val="center"/>
              <w:rPr>
                <w:rFonts w:eastAsia="Times New Roman"/>
                <w:sz w:val="20"/>
                <w:szCs w:val="20"/>
              </w:rPr>
            </w:pPr>
            <w:r w:rsidRPr="032B93E0">
              <w:rPr>
                <w:rFonts w:eastAsia="Times New Roman"/>
                <w:sz w:val="20"/>
                <w:szCs w:val="20"/>
              </w:rPr>
              <w:t>~6 mL SST</w:t>
            </w:r>
          </w:p>
        </w:tc>
        <w:tc>
          <w:tcPr>
            <w:tcW w:w="1851" w:type="dxa"/>
          </w:tcPr>
          <w:p w14:paraId="22F6B032" w14:textId="4D260B4A"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4A5D40E1" w14:textId="2D361FEF"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52FECC03" w14:textId="45C3753C"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0C229DC8" w14:textId="4F9843EF"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2DDB975D" w14:textId="1F7EE5CC" w:rsidR="032B93E0" w:rsidRDefault="032B93E0" w:rsidP="00FE7B7F">
            <w:pPr>
              <w:jc w:val="center"/>
              <w:rPr>
                <w:rFonts w:eastAsia="Times New Roman"/>
                <w:sz w:val="20"/>
                <w:szCs w:val="20"/>
              </w:rPr>
            </w:pPr>
            <w:r w:rsidRPr="032B93E0">
              <w:rPr>
                <w:rFonts w:eastAsia="Times New Roman"/>
                <w:sz w:val="20"/>
                <w:szCs w:val="20"/>
              </w:rPr>
              <w:t xml:space="preserve"> </w:t>
            </w:r>
          </w:p>
        </w:tc>
      </w:tr>
      <w:tr w:rsidR="032B93E0" w14:paraId="6A4DDC69" w14:textId="77777777" w:rsidTr="032B93E0">
        <w:tc>
          <w:tcPr>
            <w:tcW w:w="1851" w:type="dxa"/>
          </w:tcPr>
          <w:p w14:paraId="5A71866F" w14:textId="51E037DA" w:rsidR="032B93E0" w:rsidRDefault="032B93E0" w:rsidP="00FE7B7F">
            <w:pPr>
              <w:jc w:val="center"/>
              <w:rPr>
                <w:rFonts w:eastAsia="Times New Roman"/>
                <w:sz w:val="20"/>
                <w:szCs w:val="20"/>
              </w:rPr>
            </w:pPr>
            <w:r w:rsidRPr="032B93E0">
              <w:rPr>
                <w:rFonts w:eastAsia="Times New Roman"/>
                <w:sz w:val="20"/>
                <w:szCs w:val="20"/>
              </w:rPr>
              <w:t>57 (Day 1 PC)</w:t>
            </w:r>
          </w:p>
        </w:tc>
        <w:tc>
          <w:tcPr>
            <w:tcW w:w="1851" w:type="dxa"/>
          </w:tcPr>
          <w:p w14:paraId="5BCFB876" w14:textId="47026242"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045E145C" w14:textId="27FC959D"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3507C279" w14:textId="624972C3"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35BF9462" w14:textId="52C3DE9A"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2AF4B56B" w14:textId="75F20CFA"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1252403E" w14:textId="52A3BBE2" w:rsidR="032B93E0" w:rsidRDefault="032B93E0" w:rsidP="00FE7B7F">
            <w:pPr>
              <w:jc w:val="center"/>
              <w:rPr>
                <w:rFonts w:eastAsia="Times New Roman"/>
                <w:sz w:val="20"/>
                <w:szCs w:val="20"/>
              </w:rPr>
            </w:pPr>
            <w:r w:rsidRPr="032B93E0">
              <w:rPr>
                <w:rFonts w:eastAsia="Times New Roman"/>
                <w:sz w:val="20"/>
                <w:szCs w:val="20"/>
              </w:rPr>
              <w:t xml:space="preserve"> </w:t>
            </w:r>
          </w:p>
        </w:tc>
      </w:tr>
      <w:tr w:rsidR="032B93E0" w14:paraId="7335749B" w14:textId="77777777" w:rsidTr="032B93E0">
        <w:tc>
          <w:tcPr>
            <w:tcW w:w="1851" w:type="dxa"/>
          </w:tcPr>
          <w:p w14:paraId="2C08A0B7" w14:textId="4797F2B5" w:rsidR="032B93E0" w:rsidRDefault="032B93E0" w:rsidP="00FE7B7F">
            <w:pPr>
              <w:jc w:val="center"/>
              <w:rPr>
                <w:rFonts w:eastAsia="Times New Roman"/>
                <w:sz w:val="20"/>
                <w:szCs w:val="20"/>
              </w:rPr>
            </w:pPr>
            <w:r w:rsidRPr="032B93E0">
              <w:rPr>
                <w:rFonts w:eastAsia="Times New Roman"/>
                <w:sz w:val="20"/>
                <w:szCs w:val="20"/>
              </w:rPr>
              <w:t>58 (Day 2 PC)</w:t>
            </w:r>
          </w:p>
        </w:tc>
        <w:tc>
          <w:tcPr>
            <w:tcW w:w="1851" w:type="dxa"/>
          </w:tcPr>
          <w:p w14:paraId="5D2D5977" w14:textId="2815AC33" w:rsidR="032B93E0" w:rsidRDefault="032B93E0" w:rsidP="00FE7B7F">
            <w:pPr>
              <w:jc w:val="center"/>
              <w:rPr>
                <w:rFonts w:eastAsia="Times New Roman"/>
                <w:sz w:val="20"/>
                <w:szCs w:val="20"/>
              </w:rPr>
            </w:pPr>
            <w:r w:rsidRPr="032B93E0">
              <w:rPr>
                <w:rFonts w:eastAsia="Times New Roman"/>
                <w:sz w:val="20"/>
                <w:szCs w:val="20"/>
              </w:rPr>
              <w:t>~3 mL SST</w:t>
            </w:r>
          </w:p>
        </w:tc>
        <w:tc>
          <w:tcPr>
            <w:tcW w:w="1851" w:type="dxa"/>
          </w:tcPr>
          <w:p w14:paraId="0506CD5D" w14:textId="5C69311D"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62D2CF95" w14:textId="24DB822C"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1FB01CA1" w14:textId="30E150F3"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546DE6C5" w14:textId="340732E4"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44E463A8" w14:textId="452D229C" w:rsidR="032B93E0" w:rsidRDefault="032B93E0" w:rsidP="00FE7B7F">
            <w:pPr>
              <w:jc w:val="center"/>
              <w:rPr>
                <w:rFonts w:eastAsia="Times New Roman"/>
                <w:sz w:val="20"/>
                <w:szCs w:val="20"/>
              </w:rPr>
            </w:pPr>
            <w:r w:rsidRPr="032B93E0">
              <w:rPr>
                <w:rFonts w:eastAsia="Times New Roman"/>
                <w:sz w:val="20"/>
                <w:szCs w:val="20"/>
              </w:rPr>
              <w:t xml:space="preserve"> </w:t>
            </w:r>
          </w:p>
        </w:tc>
      </w:tr>
      <w:tr w:rsidR="032B93E0" w14:paraId="1C85450C" w14:textId="77777777" w:rsidTr="032B93E0">
        <w:tc>
          <w:tcPr>
            <w:tcW w:w="1851" w:type="dxa"/>
          </w:tcPr>
          <w:p w14:paraId="7400AE3E" w14:textId="6B2CFB6C" w:rsidR="032B93E0" w:rsidRDefault="032B93E0" w:rsidP="00FE7B7F">
            <w:pPr>
              <w:jc w:val="center"/>
              <w:rPr>
                <w:rFonts w:eastAsia="Times New Roman"/>
                <w:sz w:val="20"/>
                <w:szCs w:val="20"/>
              </w:rPr>
            </w:pPr>
            <w:r w:rsidRPr="032B93E0">
              <w:rPr>
                <w:rFonts w:eastAsia="Times New Roman"/>
                <w:sz w:val="20"/>
                <w:szCs w:val="20"/>
              </w:rPr>
              <w:t>59 (Day 3 PC)</w:t>
            </w:r>
          </w:p>
        </w:tc>
        <w:tc>
          <w:tcPr>
            <w:tcW w:w="1851" w:type="dxa"/>
          </w:tcPr>
          <w:p w14:paraId="45FAED81" w14:textId="505A01EB"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17022402" w14:textId="3F26C518" w:rsidR="032B93E0" w:rsidRDefault="032B93E0" w:rsidP="00FE7B7F"/>
        </w:tc>
        <w:tc>
          <w:tcPr>
            <w:tcW w:w="1851" w:type="dxa"/>
          </w:tcPr>
          <w:p w14:paraId="72C75505" w14:textId="19195072"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73CC3F4A" w14:textId="4AA479BA"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4C2C3869" w14:textId="0DD1D6BD"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33EC733A" w14:textId="232F3B49" w:rsidR="032B93E0" w:rsidRDefault="032B93E0" w:rsidP="00FE7B7F">
            <w:pPr>
              <w:jc w:val="center"/>
              <w:rPr>
                <w:rFonts w:eastAsia="Times New Roman"/>
                <w:sz w:val="20"/>
                <w:szCs w:val="20"/>
              </w:rPr>
            </w:pPr>
            <w:r w:rsidRPr="032B93E0">
              <w:rPr>
                <w:rFonts w:eastAsia="Times New Roman"/>
                <w:sz w:val="20"/>
                <w:szCs w:val="20"/>
              </w:rPr>
              <w:t xml:space="preserve"> </w:t>
            </w:r>
          </w:p>
        </w:tc>
      </w:tr>
      <w:tr w:rsidR="032B93E0" w14:paraId="4EE49B43" w14:textId="77777777" w:rsidTr="032B93E0">
        <w:tc>
          <w:tcPr>
            <w:tcW w:w="1851" w:type="dxa"/>
          </w:tcPr>
          <w:p w14:paraId="3E7FEDCC" w14:textId="44E0F9B9" w:rsidR="032B93E0" w:rsidRDefault="032B93E0" w:rsidP="00FE7B7F">
            <w:pPr>
              <w:jc w:val="center"/>
              <w:rPr>
                <w:rFonts w:eastAsia="Times New Roman"/>
                <w:sz w:val="20"/>
                <w:szCs w:val="20"/>
              </w:rPr>
            </w:pPr>
            <w:r w:rsidRPr="032B93E0">
              <w:rPr>
                <w:rFonts w:eastAsia="Times New Roman"/>
                <w:sz w:val="20"/>
                <w:szCs w:val="20"/>
              </w:rPr>
              <w:t>60 (Day 4 PC)</w:t>
            </w:r>
          </w:p>
        </w:tc>
        <w:tc>
          <w:tcPr>
            <w:tcW w:w="1851" w:type="dxa"/>
          </w:tcPr>
          <w:p w14:paraId="53C545BD" w14:textId="627BE05D" w:rsidR="032B93E0" w:rsidRDefault="032B93E0" w:rsidP="00FE7B7F">
            <w:pPr>
              <w:jc w:val="center"/>
              <w:rPr>
                <w:rFonts w:eastAsia="Times New Roman"/>
                <w:sz w:val="20"/>
                <w:szCs w:val="20"/>
              </w:rPr>
            </w:pPr>
            <w:r w:rsidRPr="032B93E0">
              <w:rPr>
                <w:rFonts w:eastAsia="Times New Roman"/>
                <w:sz w:val="20"/>
                <w:szCs w:val="20"/>
              </w:rPr>
              <w:t>~3 mL SST</w:t>
            </w:r>
          </w:p>
        </w:tc>
        <w:tc>
          <w:tcPr>
            <w:tcW w:w="1851" w:type="dxa"/>
          </w:tcPr>
          <w:p w14:paraId="6721D2B6" w14:textId="5F88A88F"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050AB275" w14:textId="5D4FC255"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4250DB50" w14:textId="55D71663"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60918544" w14:textId="4D951355"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1A9B2684" w14:textId="08C48E3D" w:rsidR="032B93E0" w:rsidRDefault="032B93E0" w:rsidP="00FE7B7F">
            <w:pPr>
              <w:jc w:val="center"/>
              <w:rPr>
                <w:rFonts w:eastAsia="Times New Roman"/>
                <w:sz w:val="20"/>
                <w:szCs w:val="20"/>
              </w:rPr>
            </w:pPr>
            <w:r w:rsidRPr="032B93E0">
              <w:rPr>
                <w:rFonts w:eastAsia="Times New Roman"/>
                <w:sz w:val="20"/>
                <w:szCs w:val="20"/>
              </w:rPr>
              <w:t xml:space="preserve"> </w:t>
            </w:r>
          </w:p>
        </w:tc>
      </w:tr>
      <w:tr w:rsidR="032B93E0" w14:paraId="3B6FC2D2" w14:textId="77777777" w:rsidTr="032B93E0">
        <w:tc>
          <w:tcPr>
            <w:tcW w:w="1851" w:type="dxa"/>
          </w:tcPr>
          <w:p w14:paraId="3979F4D6" w14:textId="33B8189F" w:rsidR="032B93E0" w:rsidRDefault="032B93E0" w:rsidP="00FE7B7F">
            <w:pPr>
              <w:jc w:val="center"/>
              <w:rPr>
                <w:rFonts w:eastAsia="Times New Roman"/>
                <w:sz w:val="20"/>
                <w:szCs w:val="20"/>
              </w:rPr>
            </w:pPr>
            <w:r w:rsidRPr="032B93E0">
              <w:rPr>
                <w:rFonts w:eastAsia="Times New Roman"/>
                <w:sz w:val="20"/>
                <w:szCs w:val="20"/>
              </w:rPr>
              <w:lastRenderedPageBreak/>
              <w:t>61 (Day 5 PC)</w:t>
            </w:r>
          </w:p>
        </w:tc>
        <w:tc>
          <w:tcPr>
            <w:tcW w:w="1851" w:type="dxa"/>
          </w:tcPr>
          <w:p w14:paraId="0031DA4E" w14:textId="1CB92950"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6B21EEA8" w14:textId="54DB3EEF"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5A734AC0" w14:textId="6C4312A0"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4423A848" w14:textId="40B242AF"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3A27CE0F" w14:textId="4ADF2BEE"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24F1EFAF" w14:textId="1D4AF932" w:rsidR="032B93E0" w:rsidRDefault="032B93E0" w:rsidP="00FE7B7F">
            <w:pPr>
              <w:jc w:val="center"/>
              <w:rPr>
                <w:rFonts w:eastAsia="Times New Roman"/>
                <w:sz w:val="20"/>
                <w:szCs w:val="20"/>
              </w:rPr>
            </w:pPr>
            <w:r w:rsidRPr="032B93E0">
              <w:rPr>
                <w:rFonts w:eastAsia="Times New Roman"/>
                <w:sz w:val="20"/>
                <w:szCs w:val="20"/>
              </w:rPr>
              <w:t xml:space="preserve"> </w:t>
            </w:r>
          </w:p>
        </w:tc>
      </w:tr>
      <w:tr w:rsidR="032B93E0" w14:paraId="546AE544" w14:textId="77777777" w:rsidTr="032B93E0">
        <w:tc>
          <w:tcPr>
            <w:tcW w:w="1851" w:type="dxa"/>
          </w:tcPr>
          <w:p w14:paraId="79D5CA7D" w14:textId="53694F8E" w:rsidR="032B93E0" w:rsidRDefault="032B93E0" w:rsidP="00FE7B7F">
            <w:pPr>
              <w:jc w:val="center"/>
              <w:rPr>
                <w:rFonts w:eastAsia="Times New Roman"/>
                <w:sz w:val="20"/>
                <w:szCs w:val="20"/>
              </w:rPr>
            </w:pPr>
            <w:r w:rsidRPr="032B93E0">
              <w:rPr>
                <w:rFonts w:eastAsia="Times New Roman"/>
                <w:sz w:val="20"/>
                <w:szCs w:val="20"/>
              </w:rPr>
              <w:t>62 (Day 6 PC)</w:t>
            </w:r>
          </w:p>
        </w:tc>
        <w:tc>
          <w:tcPr>
            <w:tcW w:w="1851" w:type="dxa"/>
          </w:tcPr>
          <w:p w14:paraId="5BF530A1" w14:textId="1920EB89"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5D44DC3B" w14:textId="6BA65DDA"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453FE39F" w14:textId="6DEA604C"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305C43EB" w14:textId="2D48801C"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367B01BF" w14:textId="6E67273F"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38865C28" w14:textId="2EEDD2F8" w:rsidR="032B93E0" w:rsidRDefault="032B93E0" w:rsidP="00FE7B7F">
            <w:pPr>
              <w:jc w:val="center"/>
              <w:rPr>
                <w:rFonts w:eastAsia="Times New Roman"/>
                <w:sz w:val="20"/>
                <w:szCs w:val="20"/>
              </w:rPr>
            </w:pPr>
            <w:r w:rsidRPr="032B93E0">
              <w:rPr>
                <w:rFonts w:eastAsia="Times New Roman"/>
                <w:sz w:val="20"/>
                <w:szCs w:val="20"/>
              </w:rPr>
              <w:t xml:space="preserve"> </w:t>
            </w:r>
          </w:p>
        </w:tc>
      </w:tr>
      <w:tr w:rsidR="032B93E0" w14:paraId="21AC7E9E" w14:textId="77777777" w:rsidTr="032B93E0">
        <w:tc>
          <w:tcPr>
            <w:tcW w:w="1851" w:type="dxa"/>
          </w:tcPr>
          <w:p w14:paraId="18DF662A" w14:textId="5F9661C1" w:rsidR="032B93E0" w:rsidRDefault="032B93E0" w:rsidP="00FE7B7F">
            <w:pPr>
              <w:jc w:val="center"/>
              <w:rPr>
                <w:rFonts w:eastAsia="Times New Roman"/>
                <w:sz w:val="20"/>
                <w:szCs w:val="20"/>
              </w:rPr>
            </w:pPr>
            <w:r w:rsidRPr="032B93E0">
              <w:rPr>
                <w:rFonts w:eastAsia="Times New Roman"/>
                <w:sz w:val="20"/>
                <w:szCs w:val="20"/>
              </w:rPr>
              <w:t>63 (Day 7 PC)</w:t>
            </w:r>
          </w:p>
        </w:tc>
        <w:tc>
          <w:tcPr>
            <w:tcW w:w="1851" w:type="dxa"/>
          </w:tcPr>
          <w:p w14:paraId="760F36EC" w14:textId="455B46B2" w:rsidR="032B93E0" w:rsidRDefault="032B93E0" w:rsidP="00FE7B7F">
            <w:pPr>
              <w:jc w:val="center"/>
              <w:rPr>
                <w:rFonts w:eastAsia="Times New Roman"/>
                <w:sz w:val="20"/>
                <w:szCs w:val="20"/>
              </w:rPr>
            </w:pPr>
            <w:r w:rsidRPr="032B93E0">
              <w:rPr>
                <w:rFonts w:eastAsia="Times New Roman"/>
                <w:sz w:val="20"/>
                <w:szCs w:val="20"/>
              </w:rPr>
              <w:t>~3 mL SST</w:t>
            </w:r>
          </w:p>
        </w:tc>
        <w:tc>
          <w:tcPr>
            <w:tcW w:w="1851" w:type="dxa"/>
          </w:tcPr>
          <w:p w14:paraId="34417A74" w14:textId="1451802F"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436AD5B3" w14:textId="02417B26"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280C7B73" w14:textId="1E9584C9"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24B5B51C" w14:textId="2347A74E"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1A0BABE6" w14:textId="2D9A8A84" w:rsidR="032B93E0" w:rsidRDefault="032B93E0" w:rsidP="00FE7B7F">
            <w:pPr>
              <w:jc w:val="center"/>
              <w:rPr>
                <w:rFonts w:eastAsia="Times New Roman"/>
                <w:sz w:val="20"/>
                <w:szCs w:val="20"/>
              </w:rPr>
            </w:pPr>
            <w:r w:rsidRPr="032B93E0">
              <w:rPr>
                <w:rFonts w:eastAsia="Times New Roman"/>
                <w:sz w:val="20"/>
                <w:szCs w:val="20"/>
              </w:rPr>
              <w:t xml:space="preserve"> </w:t>
            </w:r>
          </w:p>
        </w:tc>
      </w:tr>
      <w:tr w:rsidR="032B93E0" w14:paraId="720DAB0F" w14:textId="77777777" w:rsidTr="032B93E0">
        <w:tc>
          <w:tcPr>
            <w:tcW w:w="1851" w:type="dxa"/>
          </w:tcPr>
          <w:p w14:paraId="72E66BF3" w14:textId="724D95B7" w:rsidR="032B93E0" w:rsidRDefault="032B93E0" w:rsidP="00FE7B7F">
            <w:pPr>
              <w:jc w:val="center"/>
              <w:rPr>
                <w:rFonts w:eastAsia="Times New Roman"/>
                <w:sz w:val="20"/>
                <w:szCs w:val="20"/>
              </w:rPr>
            </w:pPr>
            <w:r w:rsidRPr="032B93E0">
              <w:rPr>
                <w:rFonts w:eastAsia="Times New Roman"/>
                <w:sz w:val="20"/>
                <w:szCs w:val="20"/>
              </w:rPr>
              <w:t xml:space="preserve">65 (Day 9 PC) </w:t>
            </w:r>
          </w:p>
        </w:tc>
        <w:tc>
          <w:tcPr>
            <w:tcW w:w="1851" w:type="dxa"/>
          </w:tcPr>
          <w:p w14:paraId="4B04402D" w14:textId="59B3FE9E" w:rsidR="032B93E0" w:rsidRDefault="032B93E0" w:rsidP="00FE7B7F">
            <w:pPr>
              <w:jc w:val="center"/>
              <w:rPr>
                <w:rFonts w:eastAsia="Times New Roman"/>
                <w:sz w:val="20"/>
                <w:szCs w:val="20"/>
              </w:rPr>
            </w:pPr>
            <w:r w:rsidRPr="032B93E0">
              <w:rPr>
                <w:rFonts w:eastAsia="Times New Roman"/>
                <w:sz w:val="20"/>
                <w:szCs w:val="20"/>
              </w:rPr>
              <w:t>~3 mL SST</w:t>
            </w:r>
          </w:p>
        </w:tc>
        <w:tc>
          <w:tcPr>
            <w:tcW w:w="1851" w:type="dxa"/>
          </w:tcPr>
          <w:p w14:paraId="0F4E3F5C" w14:textId="28F98657"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5718F1AA" w14:textId="73C19E5B"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60F44F87" w14:textId="148AF3C9"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0D9BBD1A" w14:textId="010D0A46"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42408786" w14:textId="48C97E2E" w:rsidR="032B93E0" w:rsidRDefault="032B93E0" w:rsidP="00FE7B7F">
            <w:pPr>
              <w:jc w:val="center"/>
              <w:rPr>
                <w:rFonts w:eastAsia="Times New Roman"/>
                <w:sz w:val="20"/>
                <w:szCs w:val="20"/>
              </w:rPr>
            </w:pPr>
            <w:r w:rsidRPr="032B93E0">
              <w:rPr>
                <w:rFonts w:eastAsia="Times New Roman"/>
                <w:sz w:val="20"/>
                <w:szCs w:val="20"/>
              </w:rPr>
              <w:t xml:space="preserve"> </w:t>
            </w:r>
          </w:p>
        </w:tc>
      </w:tr>
      <w:tr w:rsidR="032B93E0" w14:paraId="4BA47A30" w14:textId="77777777" w:rsidTr="032B93E0">
        <w:tc>
          <w:tcPr>
            <w:tcW w:w="1851" w:type="dxa"/>
          </w:tcPr>
          <w:p w14:paraId="088C3FF9" w14:textId="3EBD0B33" w:rsidR="032B93E0" w:rsidRDefault="032B93E0" w:rsidP="00FE7B7F">
            <w:pPr>
              <w:jc w:val="center"/>
              <w:rPr>
                <w:rFonts w:eastAsia="Times New Roman"/>
                <w:sz w:val="20"/>
                <w:szCs w:val="20"/>
              </w:rPr>
            </w:pPr>
            <w:r w:rsidRPr="032B93E0">
              <w:rPr>
                <w:rFonts w:eastAsia="Times New Roman"/>
                <w:sz w:val="20"/>
                <w:szCs w:val="20"/>
              </w:rPr>
              <w:t>70 (Day 14 PC)</w:t>
            </w:r>
          </w:p>
        </w:tc>
        <w:tc>
          <w:tcPr>
            <w:tcW w:w="1851" w:type="dxa"/>
          </w:tcPr>
          <w:p w14:paraId="63FB13DE" w14:textId="693BD913" w:rsidR="032B93E0" w:rsidRDefault="032B93E0" w:rsidP="00FE7B7F">
            <w:pPr>
              <w:jc w:val="center"/>
              <w:rPr>
                <w:rFonts w:eastAsia="Times New Roman"/>
                <w:sz w:val="20"/>
                <w:szCs w:val="20"/>
              </w:rPr>
            </w:pPr>
            <w:r w:rsidRPr="032B93E0">
              <w:rPr>
                <w:rFonts w:eastAsia="Times New Roman"/>
                <w:sz w:val="20"/>
                <w:szCs w:val="20"/>
              </w:rPr>
              <w:t>~40 mL SST</w:t>
            </w:r>
          </w:p>
        </w:tc>
        <w:tc>
          <w:tcPr>
            <w:tcW w:w="1851" w:type="dxa"/>
          </w:tcPr>
          <w:p w14:paraId="5B03A248" w14:textId="70466A3D"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2F935DE2" w14:textId="1B4C8819"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08964132" w14:textId="3AFB5909" w:rsidR="032B93E0" w:rsidRDefault="032B93E0" w:rsidP="00FE7B7F">
            <w:pPr>
              <w:jc w:val="center"/>
              <w:rPr>
                <w:rFonts w:eastAsia="Times New Roman"/>
                <w:sz w:val="20"/>
                <w:szCs w:val="20"/>
              </w:rPr>
            </w:pPr>
            <w:r w:rsidRPr="032B93E0">
              <w:rPr>
                <w:rFonts w:eastAsia="Times New Roman"/>
                <w:sz w:val="20"/>
                <w:szCs w:val="20"/>
              </w:rPr>
              <w:t>X</w:t>
            </w:r>
          </w:p>
        </w:tc>
        <w:tc>
          <w:tcPr>
            <w:tcW w:w="1851" w:type="dxa"/>
          </w:tcPr>
          <w:p w14:paraId="7556F4AB" w14:textId="15E059DA" w:rsidR="032B93E0" w:rsidRDefault="032B93E0" w:rsidP="00FE7B7F">
            <w:pPr>
              <w:jc w:val="center"/>
              <w:rPr>
                <w:rFonts w:eastAsia="Times New Roman"/>
                <w:sz w:val="20"/>
                <w:szCs w:val="20"/>
              </w:rPr>
            </w:pPr>
            <w:r w:rsidRPr="032B93E0">
              <w:rPr>
                <w:rFonts w:eastAsia="Times New Roman"/>
                <w:sz w:val="20"/>
                <w:szCs w:val="20"/>
              </w:rPr>
              <w:t xml:space="preserve"> </w:t>
            </w:r>
          </w:p>
        </w:tc>
        <w:tc>
          <w:tcPr>
            <w:tcW w:w="1851" w:type="dxa"/>
          </w:tcPr>
          <w:p w14:paraId="722651A0" w14:textId="115D851F" w:rsidR="032B93E0" w:rsidRDefault="032B93E0" w:rsidP="00FE7B7F">
            <w:pPr>
              <w:jc w:val="center"/>
              <w:rPr>
                <w:rFonts w:eastAsia="Times New Roman"/>
                <w:sz w:val="20"/>
                <w:szCs w:val="20"/>
              </w:rPr>
            </w:pPr>
          </w:p>
        </w:tc>
      </w:tr>
    </w:tbl>
    <w:p w14:paraId="5CD0893F" w14:textId="184608A4" w:rsidR="58DE9FB2" w:rsidRPr="004E2940" w:rsidRDefault="58DE9FB2" w:rsidP="004E2940">
      <w:pPr>
        <w:spacing w:line="240" w:lineRule="auto"/>
        <w:rPr>
          <w:rFonts w:eastAsia="Times New Roman"/>
          <w:sz w:val="16"/>
          <w:szCs w:val="16"/>
        </w:rPr>
      </w:pPr>
      <w:r w:rsidRPr="004E2940">
        <w:rPr>
          <w:rFonts w:eastAsia="Times New Roman"/>
          <w:sz w:val="16"/>
          <w:szCs w:val="16"/>
        </w:rPr>
        <w:t xml:space="preserve">BAL = Bronchoalveolar Lavage </w:t>
      </w:r>
    </w:p>
    <w:p w14:paraId="1E3961F2" w14:textId="7B804D4D" w:rsidR="58DE9FB2" w:rsidRPr="004E2940" w:rsidRDefault="58DE9FB2" w:rsidP="004E2940">
      <w:pPr>
        <w:spacing w:after="120" w:line="240" w:lineRule="auto"/>
        <w:rPr>
          <w:rFonts w:eastAsia="Times New Roman"/>
          <w:sz w:val="16"/>
          <w:szCs w:val="16"/>
        </w:rPr>
      </w:pPr>
      <w:r w:rsidRPr="004E2940">
        <w:rPr>
          <w:rFonts w:eastAsia="Times New Roman"/>
          <w:sz w:val="16"/>
          <w:szCs w:val="16"/>
        </w:rPr>
        <w:t>CPT = Cell Preparation Tubes</w:t>
      </w:r>
    </w:p>
    <w:p w14:paraId="2513AF79" w14:textId="55E21539" w:rsidR="58DE9FB2" w:rsidRPr="004E2940" w:rsidRDefault="58DE9FB2" w:rsidP="004E2940">
      <w:pPr>
        <w:spacing w:after="120" w:line="240" w:lineRule="auto"/>
        <w:rPr>
          <w:rFonts w:eastAsia="Times New Roman"/>
          <w:sz w:val="16"/>
          <w:szCs w:val="16"/>
        </w:rPr>
      </w:pPr>
      <w:r w:rsidRPr="004E2940">
        <w:rPr>
          <w:rFonts w:eastAsia="Times New Roman"/>
          <w:sz w:val="16"/>
          <w:szCs w:val="16"/>
        </w:rPr>
        <w:t>MN = Microneutralization</w:t>
      </w:r>
    </w:p>
    <w:p w14:paraId="661FED44" w14:textId="16E923B8" w:rsidR="58DE9FB2" w:rsidRPr="004E2940" w:rsidRDefault="58DE9FB2" w:rsidP="004E2940">
      <w:pPr>
        <w:spacing w:after="120" w:line="240" w:lineRule="auto"/>
        <w:rPr>
          <w:rFonts w:eastAsia="Times New Roman"/>
          <w:sz w:val="16"/>
          <w:szCs w:val="16"/>
        </w:rPr>
      </w:pPr>
      <w:r w:rsidRPr="004E2940">
        <w:rPr>
          <w:rFonts w:eastAsia="Times New Roman"/>
          <w:sz w:val="16"/>
          <w:szCs w:val="16"/>
        </w:rPr>
        <w:t>MSD-ECLIA = Meso Scale Discovery Electrochemiluminescence Immunoassay</w:t>
      </w:r>
    </w:p>
    <w:p w14:paraId="0179DA9B" w14:textId="1214D1B7" w:rsidR="58DE9FB2" w:rsidRPr="004E2940" w:rsidRDefault="58DE9FB2" w:rsidP="004E2940">
      <w:pPr>
        <w:spacing w:after="120" w:line="240" w:lineRule="auto"/>
        <w:rPr>
          <w:rFonts w:eastAsia="Times New Roman"/>
          <w:sz w:val="16"/>
          <w:szCs w:val="16"/>
        </w:rPr>
      </w:pPr>
      <w:r w:rsidRPr="004E2940">
        <w:rPr>
          <w:rFonts w:eastAsia="Times New Roman"/>
          <w:sz w:val="16"/>
          <w:szCs w:val="16"/>
        </w:rPr>
        <w:t>PC = Post-challenge</w:t>
      </w:r>
    </w:p>
    <w:p w14:paraId="1E104F14" w14:textId="26C28CE1" w:rsidR="58DE9FB2" w:rsidRPr="004E2940" w:rsidRDefault="58DE9FB2" w:rsidP="004E2940">
      <w:pPr>
        <w:spacing w:after="120" w:line="240" w:lineRule="auto"/>
        <w:rPr>
          <w:rFonts w:eastAsia="Times New Roman"/>
          <w:sz w:val="16"/>
          <w:szCs w:val="16"/>
        </w:rPr>
      </w:pPr>
      <w:r w:rsidRPr="004E2940">
        <w:rPr>
          <w:rFonts w:eastAsia="Times New Roman"/>
          <w:sz w:val="16"/>
          <w:szCs w:val="16"/>
        </w:rPr>
        <w:t>PBMC = peripheral blood mononuclear cells</w:t>
      </w:r>
    </w:p>
    <w:p w14:paraId="16B71047" w14:textId="78E3F380" w:rsidR="58DE9FB2" w:rsidRPr="004E2940" w:rsidRDefault="58DE9FB2" w:rsidP="004E2940">
      <w:pPr>
        <w:spacing w:after="120" w:line="240" w:lineRule="auto"/>
        <w:rPr>
          <w:rFonts w:eastAsia="Times New Roman"/>
          <w:sz w:val="16"/>
          <w:szCs w:val="16"/>
        </w:rPr>
      </w:pPr>
      <w:proofErr w:type="spellStart"/>
      <w:r w:rsidRPr="004E2940">
        <w:rPr>
          <w:rFonts w:eastAsia="Times New Roman"/>
          <w:sz w:val="16"/>
          <w:szCs w:val="16"/>
        </w:rPr>
        <w:t>PreC</w:t>
      </w:r>
      <w:proofErr w:type="spellEnd"/>
      <w:r w:rsidRPr="004E2940">
        <w:rPr>
          <w:rFonts w:eastAsia="Times New Roman"/>
          <w:sz w:val="16"/>
          <w:szCs w:val="16"/>
        </w:rPr>
        <w:t xml:space="preserve"> = Pre-challenge</w:t>
      </w:r>
    </w:p>
    <w:p w14:paraId="05733F43" w14:textId="7A179097" w:rsidR="58DE9FB2" w:rsidRPr="004E2940" w:rsidRDefault="58DE9FB2" w:rsidP="004E2940">
      <w:pPr>
        <w:spacing w:after="120" w:line="240" w:lineRule="auto"/>
        <w:rPr>
          <w:rFonts w:eastAsia="Times New Roman"/>
          <w:sz w:val="16"/>
          <w:szCs w:val="16"/>
        </w:rPr>
      </w:pPr>
      <w:proofErr w:type="spellStart"/>
      <w:r w:rsidRPr="004E2940">
        <w:rPr>
          <w:rFonts w:eastAsia="Times New Roman"/>
          <w:sz w:val="16"/>
          <w:szCs w:val="16"/>
        </w:rPr>
        <w:t>PsVNA</w:t>
      </w:r>
      <w:proofErr w:type="spellEnd"/>
      <w:r w:rsidRPr="004E2940">
        <w:rPr>
          <w:rFonts w:eastAsia="Times New Roman"/>
          <w:sz w:val="16"/>
          <w:szCs w:val="16"/>
        </w:rPr>
        <w:t xml:space="preserve"> = </w:t>
      </w:r>
      <w:proofErr w:type="spellStart"/>
      <w:r w:rsidRPr="004E2940">
        <w:rPr>
          <w:rFonts w:eastAsia="Times New Roman"/>
          <w:sz w:val="16"/>
          <w:szCs w:val="16"/>
        </w:rPr>
        <w:t>Pseudovirus</w:t>
      </w:r>
      <w:proofErr w:type="spellEnd"/>
      <w:r w:rsidRPr="004E2940">
        <w:rPr>
          <w:rFonts w:eastAsia="Times New Roman"/>
          <w:sz w:val="16"/>
          <w:szCs w:val="16"/>
        </w:rPr>
        <w:t xml:space="preserve"> Neutralization Assay</w:t>
      </w:r>
    </w:p>
    <w:p w14:paraId="37FE3882" w14:textId="16C8D0A6" w:rsidR="58DE9FB2" w:rsidRPr="004E2940" w:rsidRDefault="58DE9FB2" w:rsidP="004E2940">
      <w:pPr>
        <w:spacing w:after="120" w:line="240" w:lineRule="auto"/>
        <w:rPr>
          <w:rFonts w:eastAsia="Times New Roman"/>
          <w:sz w:val="16"/>
          <w:szCs w:val="16"/>
        </w:rPr>
      </w:pPr>
      <w:r w:rsidRPr="004E2940">
        <w:rPr>
          <w:rFonts w:eastAsia="Times New Roman"/>
          <w:sz w:val="16"/>
          <w:szCs w:val="16"/>
        </w:rPr>
        <w:t xml:space="preserve">SST = Serum separator tube </w:t>
      </w:r>
    </w:p>
    <w:p w14:paraId="7BD86691" w14:textId="341F379F" w:rsidR="58DE9FB2" w:rsidRPr="004E2940" w:rsidRDefault="58DE9FB2" w:rsidP="004E2940">
      <w:pPr>
        <w:spacing w:after="120" w:line="240" w:lineRule="auto"/>
        <w:rPr>
          <w:rFonts w:eastAsia="Times New Roman"/>
          <w:sz w:val="16"/>
          <w:szCs w:val="16"/>
        </w:rPr>
      </w:pPr>
      <w:r w:rsidRPr="004E2940">
        <w:rPr>
          <w:rFonts w:eastAsia="Times New Roman"/>
          <w:sz w:val="16"/>
          <w:szCs w:val="16"/>
        </w:rPr>
        <w:t>^ System Serology only performed on pre-challenge samples</w:t>
      </w:r>
    </w:p>
    <w:p w14:paraId="5799AE7A" w14:textId="06CB23C3" w:rsidR="58DE9FB2" w:rsidRPr="004E2940" w:rsidRDefault="58DE9FB2" w:rsidP="004E2940">
      <w:pPr>
        <w:spacing w:after="120" w:line="240" w:lineRule="auto"/>
        <w:jc w:val="both"/>
        <w:rPr>
          <w:rFonts w:eastAsia="Times New Roman"/>
          <w:szCs w:val="24"/>
        </w:rPr>
      </w:pPr>
      <w:r w:rsidRPr="004E2940">
        <w:rPr>
          <w:rFonts w:eastAsia="Times New Roman"/>
          <w:sz w:val="16"/>
          <w:szCs w:val="16"/>
        </w:rPr>
        <w:t>*Collected before challenge</w:t>
      </w:r>
      <w:r w:rsidRPr="004E2940">
        <w:rPr>
          <w:rFonts w:eastAsia="Times New Roman"/>
          <w:szCs w:val="24"/>
        </w:rPr>
        <w:t xml:space="preserve"> </w:t>
      </w:r>
    </w:p>
    <w:p w14:paraId="4B71CDA0" w14:textId="13329FB3" w:rsidR="032B93E0" w:rsidRDefault="032B93E0" w:rsidP="032B93E0"/>
    <w:p w14:paraId="692EB4E4" w14:textId="7992AB58" w:rsidR="032B93E0" w:rsidRDefault="032B93E0"/>
    <w:p w14:paraId="7580FB48" w14:textId="58CDCC71" w:rsidR="1DC7B1E2" w:rsidRDefault="1DC7B1E2">
      <w:r>
        <w:br w:type="page"/>
      </w:r>
    </w:p>
    <w:p w14:paraId="09A078CF" w14:textId="21E6C4F9" w:rsidR="032B93E0" w:rsidRDefault="032B93E0"/>
    <w:p w14:paraId="0C446CC3" w14:textId="03848DF0" w:rsidR="77060737" w:rsidRDefault="77060737" w:rsidP="032B93E0">
      <w:pPr>
        <w:spacing w:after="0" w:line="240" w:lineRule="auto"/>
        <w:rPr>
          <w:b/>
          <w:bCs/>
        </w:rPr>
      </w:pPr>
      <w:r w:rsidRPr="032B93E0">
        <w:rPr>
          <w:b/>
          <w:bCs/>
        </w:rPr>
        <w:t xml:space="preserve">Table </w:t>
      </w:r>
      <w:r w:rsidR="62634B94" w:rsidRPr="032B93E0">
        <w:rPr>
          <w:b/>
          <w:bCs/>
        </w:rPr>
        <w:t>5</w:t>
      </w:r>
      <w:r w:rsidRPr="032B93E0">
        <w:rPr>
          <w:b/>
          <w:bCs/>
        </w:rPr>
        <w:t xml:space="preserve">. Sample Collection Schedule </w:t>
      </w:r>
      <w:r w:rsidR="172A45F2" w:rsidRPr="032B93E0">
        <w:rPr>
          <w:b/>
          <w:bCs/>
        </w:rPr>
        <w:t xml:space="preserve">for Animals in Groups 2A, 2B, 2C and 2D </w:t>
      </w:r>
      <w:r w:rsidRPr="032B93E0">
        <w:rPr>
          <w:b/>
          <w:bCs/>
        </w:rPr>
        <w:t>(Janssen Single Dose Regimen)</w:t>
      </w:r>
    </w:p>
    <w:tbl>
      <w:tblPr>
        <w:tblStyle w:val="TableGrid1"/>
        <w:tblW w:w="0" w:type="auto"/>
        <w:tblLayout w:type="fixed"/>
        <w:tblLook w:val="04A0" w:firstRow="1" w:lastRow="0" w:firstColumn="1" w:lastColumn="0" w:noHBand="0" w:noVBand="1"/>
      </w:tblPr>
      <w:tblGrid>
        <w:gridCol w:w="1851"/>
        <w:gridCol w:w="1851"/>
        <w:gridCol w:w="1851"/>
        <w:gridCol w:w="1851"/>
        <w:gridCol w:w="1851"/>
        <w:gridCol w:w="1851"/>
        <w:gridCol w:w="1851"/>
      </w:tblGrid>
      <w:tr w:rsidR="032B93E0" w14:paraId="260A74A3" w14:textId="77777777" w:rsidTr="032B93E0">
        <w:tc>
          <w:tcPr>
            <w:tcW w:w="1851" w:type="dxa"/>
          </w:tcPr>
          <w:p w14:paraId="77C296CE" w14:textId="69CE436F" w:rsidR="032B93E0" w:rsidRDefault="032B93E0" w:rsidP="004E2940">
            <w:pPr>
              <w:jc w:val="center"/>
              <w:rPr>
                <w:rFonts w:eastAsia="Times New Roman"/>
                <w:b/>
                <w:bCs/>
                <w:sz w:val="20"/>
                <w:szCs w:val="20"/>
              </w:rPr>
            </w:pPr>
            <w:r w:rsidRPr="032B93E0">
              <w:rPr>
                <w:rFonts w:eastAsia="Times New Roman"/>
                <w:b/>
                <w:bCs/>
                <w:sz w:val="20"/>
                <w:szCs w:val="20"/>
              </w:rPr>
              <w:t>Study Day (Relative to Challenge)</w:t>
            </w:r>
          </w:p>
        </w:tc>
        <w:tc>
          <w:tcPr>
            <w:tcW w:w="1851" w:type="dxa"/>
          </w:tcPr>
          <w:p w14:paraId="7CC378F9" w14:textId="775CAA35" w:rsidR="032B93E0" w:rsidRDefault="032B93E0" w:rsidP="004E294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Blood Collection Volume/ </w:t>
            </w:r>
          </w:p>
          <w:p w14:paraId="311743C6" w14:textId="1C4A29C5" w:rsidR="032B93E0" w:rsidRDefault="032B93E0" w:rsidP="004E2940">
            <w:pPr>
              <w:jc w:val="center"/>
              <w:rPr>
                <w:rFonts w:eastAsia="Times New Roman"/>
                <w:b/>
                <w:bCs/>
                <w:color w:val="000000" w:themeColor="text1"/>
                <w:sz w:val="20"/>
                <w:szCs w:val="20"/>
              </w:rPr>
            </w:pPr>
            <w:r w:rsidRPr="032B93E0">
              <w:rPr>
                <w:rFonts w:eastAsia="Times New Roman"/>
                <w:b/>
                <w:bCs/>
                <w:color w:val="000000" w:themeColor="text1"/>
                <w:sz w:val="20"/>
                <w:szCs w:val="20"/>
              </w:rPr>
              <w:t>Blood Tube</w:t>
            </w:r>
          </w:p>
        </w:tc>
        <w:tc>
          <w:tcPr>
            <w:tcW w:w="1851" w:type="dxa"/>
          </w:tcPr>
          <w:p w14:paraId="1B0D22FC" w14:textId="4872A35F" w:rsidR="032B93E0" w:rsidRDefault="032B93E0" w:rsidP="004E294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Sera for MNA, MSD-ECLIA, </w:t>
            </w:r>
            <w:proofErr w:type="spellStart"/>
            <w:r w:rsidRPr="032B93E0">
              <w:rPr>
                <w:rFonts w:eastAsia="Times New Roman"/>
                <w:b/>
                <w:bCs/>
                <w:color w:val="000000" w:themeColor="text1"/>
                <w:sz w:val="20"/>
                <w:szCs w:val="20"/>
              </w:rPr>
              <w:t>PsVNA</w:t>
            </w:r>
            <w:proofErr w:type="spellEnd"/>
            <w:r w:rsidRPr="032B93E0">
              <w:rPr>
                <w:rFonts w:eastAsia="Times New Roman"/>
                <w:b/>
                <w:bCs/>
                <w:color w:val="000000" w:themeColor="text1"/>
                <w:sz w:val="20"/>
                <w:szCs w:val="20"/>
              </w:rPr>
              <w:t>, ^Systems Serology, Retentions</w:t>
            </w:r>
          </w:p>
        </w:tc>
        <w:tc>
          <w:tcPr>
            <w:tcW w:w="1851" w:type="dxa"/>
          </w:tcPr>
          <w:p w14:paraId="56D2BC21" w14:textId="33E1D847" w:rsidR="032B93E0" w:rsidRDefault="032B93E0" w:rsidP="004E2940">
            <w:pPr>
              <w:jc w:val="center"/>
              <w:rPr>
                <w:rFonts w:eastAsia="Times New Roman"/>
                <w:b/>
                <w:bCs/>
                <w:sz w:val="20"/>
                <w:szCs w:val="20"/>
              </w:rPr>
            </w:pPr>
            <w:r w:rsidRPr="032B93E0">
              <w:rPr>
                <w:rFonts w:eastAsia="Times New Roman"/>
                <w:b/>
                <w:bCs/>
                <w:sz w:val="20"/>
                <w:szCs w:val="20"/>
              </w:rPr>
              <w:t xml:space="preserve"> </w:t>
            </w:r>
          </w:p>
          <w:p w14:paraId="37CD01EE" w14:textId="57DE29B4" w:rsidR="032B93E0" w:rsidRDefault="032B93E0" w:rsidP="004E2940">
            <w:pPr>
              <w:jc w:val="center"/>
              <w:rPr>
                <w:rFonts w:eastAsia="Times New Roman"/>
                <w:b/>
                <w:bCs/>
                <w:color w:val="000000" w:themeColor="text1"/>
                <w:sz w:val="20"/>
                <w:szCs w:val="20"/>
              </w:rPr>
            </w:pPr>
            <w:r w:rsidRPr="032B93E0">
              <w:rPr>
                <w:rFonts w:eastAsia="Times New Roman"/>
                <w:b/>
                <w:bCs/>
                <w:color w:val="000000" w:themeColor="text1"/>
                <w:sz w:val="20"/>
                <w:szCs w:val="20"/>
              </w:rPr>
              <w:t>BAL Collection</w:t>
            </w:r>
          </w:p>
        </w:tc>
        <w:tc>
          <w:tcPr>
            <w:tcW w:w="1851" w:type="dxa"/>
          </w:tcPr>
          <w:p w14:paraId="01B2EAC8" w14:textId="0CD17972" w:rsidR="032B93E0" w:rsidRDefault="032B93E0" w:rsidP="004E294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Nasal / </w:t>
            </w:r>
            <w:proofErr w:type="gramStart"/>
            <w:r w:rsidRPr="032B93E0">
              <w:rPr>
                <w:rFonts w:eastAsia="Times New Roman"/>
                <w:b/>
                <w:bCs/>
                <w:color w:val="000000" w:themeColor="text1"/>
                <w:sz w:val="20"/>
                <w:szCs w:val="20"/>
              </w:rPr>
              <w:t>Oropharyngeal  Swabs</w:t>
            </w:r>
            <w:proofErr w:type="gramEnd"/>
          </w:p>
        </w:tc>
        <w:tc>
          <w:tcPr>
            <w:tcW w:w="1851" w:type="dxa"/>
          </w:tcPr>
          <w:p w14:paraId="5C97330F" w14:textId="733AEC27" w:rsidR="032B93E0" w:rsidRDefault="032B93E0" w:rsidP="004E294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Nasal Wash </w:t>
            </w:r>
          </w:p>
        </w:tc>
        <w:tc>
          <w:tcPr>
            <w:tcW w:w="1851" w:type="dxa"/>
          </w:tcPr>
          <w:p w14:paraId="5C8E3F8D" w14:textId="543FAE43" w:rsidR="032B93E0" w:rsidRDefault="032B93E0" w:rsidP="004E2940">
            <w:pPr>
              <w:jc w:val="center"/>
              <w:rPr>
                <w:rFonts w:eastAsia="Times New Roman"/>
                <w:b/>
                <w:bCs/>
                <w:color w:val="000000" w:themeColor="text1"/>
                <w:sz w:val="20"/>
                <w:szCs w:val="20"/>
              </w:rPr>
            </w:pPr>
            <w:r w:rsidRPr="032B93E0">
              <w:rPr>
                <w:rFonts w:eastAsia="Times New Roman"/>
                <w:b/>
                <w:bCs/>
                <w:color w:val="000000" w:themeColor="text1"/>
                <w:sz w:val="20"/>
                <w:szCs w:val="20"/>
              </w:rPr>
              <w:t>PBMC</w:t>
            </w:r>
          </w:p>
        </w:tc>
      </w:tr>
      <w:tr w:rsidR="032B93E0" w14:paraId="4BB38EF7" w14:textId="77777777" w:rsidTr="032B93E0">
        <w:tc>
          <w:tcPr>
            <w:tcW w:w="1851" w:type="dxa"/>
          </w:tcPr>
          <w:p w14:paraId="777627D7" w14:textId="0C147B24" w:rsidR="032B93E0" w:rsidRDefault="032B93E0" w:rsidP="004E2940">
            <w:pPr>
              <w:jc w:val="center"/>
              <w:rPr>
                <w:rFonts w:eastAsia="Times New Roman"/>
                <w:sz w:val="20"/>
                <w:szCs w:val="20"/>
              </w:rPr>
            </w:pPr>
            <w:r w:rsidRPr="032B93E0">
              <w:rPr>
                <w:rFonts w:eastAsia="Times New Roman"/>
                <w:sz w:val="20"/>
                <w:szCs w:val="20"/>
              </w:rPr>
              <w:t>Prior to Vaccination</w:t>
            </w:r>
          </w:p>
        </w:tc>
        <w:tc>
          <w:tcPr>
            <w:tcW w:w="1851" w:type="dxa"/>
          </w:tcPr>
          <w:p w14:paraId="03D7DEA1" w14:textId="11AEA611" w:rsidR="032B93E0" w:rsidRDefault="032B93E0" w:rsidP="004E2940">
            <w:pPr>
              <w:jc w:val="center"/>
              <w:rPr>
                <w:rFonts w:eastAsia="Times New Roman"/>
                <w:sz w:val="20"/>
                <w:szCs w:val="20"/>
              </w:rPr>
            </w:pPr>
            <w:r w:rsidRPr="032B93E0">
              <w:rPr>
                <w:rFonts w:eastAsia="Times New Roman"/>
                <w:sz w:val="20"/>
                <w:szCs w:val="20"/>
              </w:rPr>
              <w:t>~6 mL SST</w:t>
            </w:r>
          </w:p>
          <w:p w14:paraId="30700C08" w14:textId="735B22E6" w:rsidR="032B93E0" w:rsidRDefault="032B93E0" w:rsidP="004E2940">
            <w:pPr>
              <w:jc w:val="center"/>
              <w:rPr>
                <w:rFonts w:eastAsia="Times New Roman"/>
                <w:sz w:val="20"/>
                <w:szCs w:val="20"/>
              </w:rPr>
            </w:pPr>
            <w:r w:rsidRPr="032B93E0">
              <w:rPr>
                <w:rFonts w:eastAsia="Times New Roman"/>
                <w:sz w:val="20"/>
                <w:szCs w:val="20"/>
              </w:rPr>
              <w:t>~16 mL CPT</w:t>
            </w:r>
          </w:p>
        </w:tc>
        <w:tc>
          <w:tcPr>
            <w:tcW w:w="1851" w:type="dxa"/>
          </w:tcPr>
          <w:p w14:paraId="7B20737B" w14:textId="65C2CDE5"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164E94B0" w14:textId="6A1C4204"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43F475A0" w14:textId="26120852"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192A1E58" w14:textId="34B17B03"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0654D916" w14:textId="42D007E1" w:rsidR="032B93E0" w:rsidRDefault="032B93E0" w:rsidP="004E2940">
            <w:pPr>
              <w:jc w:val="center"/>
              <w:rPr>
                <w:rFonts w:eastAsia="Times New Roman"/>
                <w:sz w:val="20"/>
                <w:szCs w:val="20"/>
              </w:rPr>
            </w:pPr>
            <w:r w:rsidRPr="032B93E0">
              <w:rPr>
                <w:rFonts w:eastAsia="Times New Roman"/>
                <w:sz w:val="20"/>
                <w:szCs w:val="20"/>
              </w:rPr>
              <w:t>X</w:t>
            </w:r>
          </w:p>
        </w:tc>
      </w:tr>
      <w:tr w:rsidR="032B93E0" w14:paraId="202C179B" w14:textId="77777777" w:rsidTr="032B93E0">
        <w:tc>
          <w:tcPr>
            <w:tcW w:w="1851" w:type="dxa"/>
          </w:tcPr>
          <w:p w14:paraId="23124057" w14:textId="7ADA2028" w:rsidR="032B93E0" w:rsidRDefault="032B93E0" w:rsidP="004E2940">
            <w:pPr>
              <w:jc w:val="center"/>
              <w:rPr>
                <w:rFonts w:eastAsia="Times New Roman"/>
                <w:sz w:val="20"/>
                <w:szCs w:val="20"/>
              </w:rPr>
            </w:pPr>
            <w:r w:rsidRPr="032B93E0">
              <w:rPr>
                <w:rFonts w:eastAsia="Times New Roman"/>
                <w:sz w:val="20"/>
                <w:szCs w:val="20"/>
              </w:rPr>
              <w:t xml:space="preserve">7 (Day -35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113499C4" w14:textId="73062CFE" w:rsidR="032B93E0" w:rsidRDefault="032B93E0" w:rsidP="004E2940">
            <w:pPr>
              <w:jc w:val="center"/>
              <w:rPr>
                <w:rFonts w:eastAsia="Times New Roman"/>
                <w:sz w:val="20"/>
                <w:szCs w:val="20"/>
              </w:rPr>
            </w:pPr>
            <w:r w:rsidRPr="032B93E0">
              <w:rPr>
                <w:rFonts w:eastAsia="Times New Roman"/>
                <w:sz w:val="20"/>
                <w:szCs w:val="20"/>
              </w:rPr>
              <w:t>~6 mL SST</w:t>
            </w:r>
          </w:p>
        </w:tc>
        <w:tc>
          <w:tcPr>
            <w:tcW w:w="1851" w:type="dxa"/>
          </w:tcPr>
          <w:p w14:paraId="0327C42C" w14:textId="76B26A04"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09FA8419" w14:textId="5E6C5B14"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0AA16516" w14:textId="7934C17E"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00BE0184" w14:textId="785F8D1F"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4CF2782A" w14:textId="285679B5" w:rsidR="032B93E0" w:rsidRDefault="032B93E0" w:rsidP="004E2940">
            <w:pPr>
              <w:jc w:val="center"/>
              <w:rPr>
                <w:rFonts w:eastAsia="Times New Roman"/>
                <w:sz w:val="20"/>
                <w:szCs w:val="20"/>
              </w:rPr>
            </w:pPr>
            <w:r w:rsidRPr="032B93E0">
              <w:rPr>
                <w:rFonts w:eastAsia="Times New Roman"/>
                <w:sz w:val="20"/>
                <w:szCs w:val="20"/>
              </w:rPr>
              <w:t xml:space="preserve"> </w:t>
            </w:r>
          </w:p>
        </w:tc>
      </w:tr>
      <w:tr w:rsidR="032B93E0" w14:paraId="37631BBA" w14:textId="77777777" w:rsidTr="032B93E0">
        <w:tc>
          <w:tcPr>
            <w:tcW w:w="1851" w:type="dxa"/>
          </w:tcPr>
          <w:p w14:paraId="2E1E6DB3" w14:textId="598AE680" w:rsidR="032B93E0" w:rsidRDefault="032B93E0" w:rsidP="004E2940">
            <w:pPr>
              <w:jc w:val="center"/>
              <w:rPr>
                <w:rFonts w:eastAsia="Times New Roman"/>
                <w:sz w:val="20"/>
                <w:szCs w:val="20"/>
              </w:rPr>
            </w:pPr>
            <w:r w:rsidRPr="032B93E0">
              <w:rPr>
                <w:rFonts w:eastAsia="Times New Roman"/>
                <w:sz w:val="20"/>
                <w:szCs w:val="20"/>
              </w:rPr>
              <w:t xml:space="preserve">14 (Day -28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6655327A" w14:textId="01A9913F" w:rsidR="032B93E0" w:rsidRDefault="032B93E0" w:rsidP="004E2940">
            <w:pPr>
              <w:jc w:val="center"/>
              <w:rPr>
                <w:rFonts w:eastAsia="Times New Roman"/>
                <w:sz w:val="20"/>
                <w:szCs w:val="20"/>
              </w:rPr>
            </w:pPr>
            <w:r w:rsidRPr="032B93E0">
              <w:rPr>
                <w:rFonts w:eastAsia="Times New Roman"/>
                <w:sz w:val="20"/>
                <w:szCs w:val="20"/>
              </w:rPr>
              <w:t>~6 mL SST</w:t>
            </w:r>
          </w:p>
        </w:tc>
        <w:tc>
          <w:tcPr>
            <w:tcW w:w="1851" w:type="dxa"/>
          </w:tcPr>
          <w:p w14:paraId="7921AED5" w14:textId="562D8FC0"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3CD77842" w14:textId="77461470"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4093617B" w14:textId="16D15C5C"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32A959FB" w14:textId="1E9E79E1"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702622B0" w14:textId="4AEA7502" w:rsidR="032B93E0" w:rsidRDefault="032B93E0" w:rsidP="004E2940">
            <w:pPr>
              <w:jc w:val="center"/>
              <w:rPr>
                <w:rFonts w:eastAsia="Times New Roman"/>
                <w:sz w:val="20"/>
                <w:szCs w:val="20"/>
              </w:rPr>
            </w:pPr>
            <w:r w:rsidRPr="032B93E0">
              <w:rPr>
                <w:rFonts w:eastAsia="Times New Roman"/>
                <w:sz w:val="20"/>
                <w:szCs w:val="20"/>
              </w:rPr>
              <w:t xml:space="preserve"> </w:t>
            </w:r>
          </w:p>
        </w:tc>
      </w:tr>
      <w:tr w:rsidR="032B93E0" w14:paraId="70D16ACF" w14:textId="77777777" w:rsidTr="032B93E0">
        <w:tc>
          <w:tcPr>
            <w:tcW w:w="1851" w:type="dxa"/>
          </w:tcPr>
          <w:p w14:paraId="7C687A70" w14:textId="6215831E" w:rsidR="032B93E0" w:rsidRDefault="032B93E0" w:rsidP="004E2940">
            <w:pPr>
              <w:jc w:val="center"/>
              <w:rPr>
                <w:rFonts w:eastAsia="Times New Roman"/>
                <w:sz w:val="20"/>
                <w:szCs w:val="20"/>
              </w:rPr>
            </w:pPr>
            <w:r w:rsidRPr="032B93E0">
              <w:rPr>
                <w:rFonts w:eastAsia="Times New Roman"/>
                <w:sz w:val="20"/>
                <w:szCs w:val="20"/>
              </w:rPr>
              <w:t xml:space="preserve">21 (Day -21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6BA3EB35" w14:textId="38039A66" w:rsidR="032B93E0" w:rsidRDefault="032B93E0" w:rsidP="004E2940">
            <w:pPr>
              <w:jc w:val="center"/>
              <w:rPr>
                <w:rFonts w:eastAsia="Times New Roman"/>
                <w:sz w:val="20"/>
                <w:szCs w:val="20"/>
              </w:rPr>
            </w:pPr>
            <w:r w:rsidRPr="032B93E0">
              <w:rPr>
                <w:rFonts w:eastAsia="Times New Roman"/>
                <w:sz w:val="20"/>
                <w:szCs w:val="20"/>
              </w:rPr>
              <w:t>~6 mL SST</w:t>
            </w:r>
          </w:p>
        </w:tc>
        <w:tc>
          <w:tcPr>
            <w:tcW w:w="1851" w:type="dxa"/>
          </w:tcPr>
          <w:p w14:paraId="28A938BB" w14:textId="57AEA475"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625D4830" w14:textId="5016410A"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0E228507" w14:textId="2AB66BA8"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737B0E5D" w14:textId="56AA587F"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22E83FD1" w14:textId="0FB14216" w:rsidR="032B93E0" w:rsidRDefault="032B93E0" w:rsidP="004E2940">
            <w:pPr>
              <w:jc w:val="center"/>
              <w:rPr>
                <w:rFonts w:eastAsia="Times New Roman"/>
                <w:sz w:val="20"/>
                <w:szCs w:val="20"/>
              </w:rPr>
            </w:pPr>
            <w:r w:rsidRPr="032B93E0">
              <w:rPr>
                <w:rFonts w:eastAsia="Times New Roman"/>
                <w:sz w:val="20"/>
                <w:szCs w:val="20"/>
              </w:rPr>
              <w:t xml:space="preserve"> </w:t>
            </w:r>
          </w:p>
        </w:tc>
      </w:tr>
      <w:tr w:rsidR="032B93E0" w14:paraId="6324C949" w14:textId="77777777" w:rsidTr="032B93E0">
        <w:tc>
          <w:tcPr>
            <w:tcW w:w="1851" w:type="dxa"/>
          </w:tcPr>
          <w:p w14:paraId="60BA5E9F" w14:textId="53DEDC74" w:rsidR="032B93E0" w:rsidRDefault="032B93E0" w:rsidP="004E2940">
            <w:pPr>
              <w:jc w:val="center"/>
              <w:rPr>
                <w:rFonts w:eastAsia="Times New Roman"/>
                <w:sz w:val="20"/>
                <w:szCs w:val="20"/>
              </w:rPr>
            </w:pPr>
            <w:r w:rsidRPr="032B93E0">
              <w:rPr>
                <w:rFonts w:eastAsia="Times New Roman"/>
                <w:sz w:val="20"/>
                <w:szCs w:val="20"/>
              </w:rPr>
              <w:t xml:space="preserve">28 (Day -14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5BBB1B05" w14:textId="111E6A48" w:rsidR="032B93E0" w:rsidRDefault="032B93E0" w:rsidP="004E2940">
            <w:pPr>
              <w:jc w:val="center"/>
              <w:rPr>
                <w:rFonts w:eastAsia="Times New Roman"/>
                <w:sz w:val="20"/>
                <w:szCs w:val="20"/>
              </w:rPr>
            </w:pPr>
            <w:r w:rsidRPr="032B93E0">
              <w:rPr>
                <w:rFonts w:eastAsia="Times New Roman"/>
                <w:sz w:val="20"/>
                <w:szCs w:val="20"/>
              </w:rPr>
              <w:t>~6 mL SST</w:t>
            </w:r>
          </w:p>
          <w:p w14:paraId="0160C75B" w14:textId="1371EC15" w:rsidR="032B93E0" w:rsidRDefault="032B93E0" w:rsidP="004E2940">
            <w:pPr>
              <w:jc w:val="center"/>
              <w:rPr>
                <w:rFonts w:eastAsia="Times New Roman"/>
                <w:sz w:val="20"/>
                <w:szCs w:val="20"/>
              </w:rPr>
            </w:pPr>
            <w:r w:rsidRPr="032B93E0">
              <w:rPr>
                <w:rFonts w:eastAsia="Times New Roman"/>
                <w:sz w:val="20"/>
                <w:szCs w:val="20"/>
              </w:rPr>
              <w:t>~16 mL CPT</w:t>
            </w:r>
          </w:p>
        </w:tc>
        <w:tc>
          <w:tcPr>
            <w:tcW w:w="1851" w:type="dxa"/>
          </w:tcPr>
          <w:p w14:paraId="180DBD6F" w14:textId="0B67EA04"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23F37D86" w14:textId="43F027B5"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18C59A0E" w14:textId="0A2EFA9D"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4C79FCA1" w14:textId="79B04982"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357BED49" w14:textId="0D1787D9" w:rsidR="032B93E0" w:rsidRDefault="032B93E0" w:rsidP="004E2940">
            <w:pPr>
              <w:jc w:val="center"/>
              <w:rPr>
                <w:rFonts w:eastAsia="Times New Roman"/>
                <w:sz w:val="20"/>
                <w:szCs w:val="20"/>
              </w:rPr>
            </w:pPr>
            <w:r w:rsidRPr="032B93E0">
              <w:rPr>
                <w:rFonts w:eastAsia="Times New Roman"/>
                <w:sz w:val="20"/>
                <w:szCs w:val="20"/>
              </w:rPr>
              <w:t>X</w:t>
            </w:r>
          </w:p>
        </w:tc>
      </w:tr>
      <w:tr w:rsidR="032B93E0" w14:paraId="6A7C7CF3" w14:textId="77777777" w:rsidTr="032B93E0">
        <w:tc>
          <w:tcPr>
            <w:tcW w:w="1851" w:type="dxa"/>
          </w:tcPr>
          <w:p w14:paraId="2D3B7B32" w14:textId="79D3A418" w:rsidR="032B93E0" w:rsidRDefault="032B93E0" w:rsidP="004E2940">
            <w:pPr>
              <w:jc w:val="center"/>
              <w:rPr>
                <w:rFonts w:eastAsia="Times New Roman"/>
                <w:sz w:val="20"/>
                <w:szCs w:val="20"/>
              </w:rPr>
            </w:pPr>
            <w:r w:rsidRPr="032B93E0">
              <w:rPr>
                <w:rFonts w:eastAsia="Times New Roman"/>
                <w:sz w:val="20"/>
                <w:szCs w:val="20"/>
              </w:rPr>
              <w:t xml:space="preserve">35 (Day -7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1714EDAA" w14:textId="60E55352" w:rsidR="032B93E0" w:rsidRDefault="032B93E0" w:rsidP="004E2940">
            <w:pPr>
              <w:jc w:val="center"/>
              <w:rPr>
                <w:rFonts w:eastAsia="Times New Roman"/>
                <w:sz w:val="20"/>
                <w:szCs w:val="20"/>
              </w:rPr>
            </w:pPr>
            <w:r w:rsidRPr="032B93E0">
              <w:rPr>
                <w:rFonts w:eastAsia="Times New Roman"/>
                <w:sz w:val="20"/>
                <w:szCs w:val="20"/>
              </w:rPr>
              <w:t>~6 mL SST</w:t>
            </w:r>
          </w:p>
        </w:tc>
        <w:tc>
          <w:tcPr>
            <w:tcW w:w="1851" w:type="dxa"/>
          </w:tcPr>
          <w:p w14:paraId="1A908C44" w14:textId="30FA9EB9"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6958C5A1" w14:textId="656A8598"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58FCCEC3" w14:textId="7AEF08EA"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7AD8B6D9" w14:textId="71CA2023"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45094365" w14:textId="352D87EF" w:rsidR="032B93E0" w:rsidRDefault="032B93E0" w:rsidP="004E2940">
            <w:pPr>
              <w:jc w:val="center"/>
              <w:rPr>
                <w:rFonts w:eastAsia="Times New Roman"/>
                <w:sz w:val="20"/>
                <w:szCs w:val="20"/>
              </w:rPr>
            </w:pPr>
            <w:r w:rsidRPr="032B93E0">
              <w:rPr>
                <w:rFonts w:eastAsia="Times New Roman"/>
                <w:sz w:val="20"/>
                <w:szCs w:val="20"/>
              </w:rPr>
              <w:t xml:space="preserve"> </w:t>
            </w:r>
          </w:p>
        </w:tc>
      </w:tr>
      <w:tr w:rsidR="032B93E0" w14:paraId="69C090C1" w14:textId="77777777" w:rsidTr="032B93E0">
        <w:tc>
          <w:tcPr>
            <w:tcW w:w="1851" w:type="dxa"/>
          </w:tcPr>
          <w:p w14:paraId="79ACF9C5" w14:textId="1F87D2FD" w:rsidR="032B93E0" w:rsidRDefault="032B93E0" w:rsidP="004E2940">
            <w:pPr>
              <w:jc w:val="center"/>
              <w:rPr>
                <w:rFonts w:eastAsia="Times New Roman"/>
                <w:sz w:val="20"/>
                <w:szCs w:val="20"/>
              </w:rPr>
            </w:pPr>
            <w:r w:rsidRPr="032B93E0">
              <w:rPr>
                <w:rFonts w:eastAsia="Times New Roman"/>
                <w:sz w:val="20"/>
                <w:szCs w:val="20"/>
              </w:rPr>
              <w:t>*42 (Challenge)</w:t>
            </w:r>
          </w:p>
        </w:tc>
        <w:tc>
          <w:tcPr>
            <w:tcW w:w="1851" w:type="dxa"/>
          </w:tcPr>
          <w:p w14:paraId="6C7B9373" w14:textId="102875B7" w:rsidR="032B93E0" w:rsidRDefault="032B93E0" w:rsidP="004E2940">
            <w:pPr>
              <w:jc w:val="center"/>
              <w:rPr>
                <w:rFonts w:eastAsia="Times New Roman"/>
                <w:sz w:val="20"/>
                <w:szCs w:val="20"/>
              </w:rPr>
            </w:pPr>
            <w:r w:rsidRPr="032B93E0">
              <w:rPr>
                <w:rFonts w:eastAsia="Times New Roman"/>
                <w:sz w:val="20"/>
                <w:szCs w:val="20"/>
              </w:rPr>
              <w:t>~6 mL SST</w:t>
            </w:r>
          </w:p>
        </w:tc>
        <w:tc>
          <w:tcPr>
            <w:tcW w:w="1851" w:type="dxa"/>
          </w:tcPr>
          <w:p w14:paraId="21F6FC08" w14:textId="4A62EFFB"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51DDC2DB" w14:textId="0AC5ABEF"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2ECDE628" w14:textId="7597C0D8"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5DE4AA42" w14:textId="7C653832"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528FFE84" w14:textId="70A63DF2" w:rsidR="032B93E0" w:rsidRDefault="032B93E0" w:rsidP="004E2940">
            <w:pPr>
              <w:jc w:val="center"/>
              <w:rPr>
                <w:rFonts w:eastAsia="Times New Roman"/>
                <w:sz w:val="20"/>
                <w:szCs w:val="20"/>
              </w:rPr>
            </w:pPr>
            <w:r w:rsidRPr="032B93E0">
              <w:rPr>
                <w:rFonts w:eastAsia="Times New Roman"/>
                <w:sz w:val="20"/>
                <w:szCs w:val="20"/>
              </w:rPr>
              <w:t xml:space="preserve"> </w:t>
            </w:r>
          </w:p>
        </w:tc>
      </w:tr>
      <w:tr w:rsidR="032B93E0" w14:paraId="210AD1EA" w14:textId="77777777" w:rsidTr="032B93E0">
        <w:tc>
          <w:tcPr>
            <w:tcW w:w="1851" w:type="dxa"/>
          </w:tcPr>
          <w:p w14:paraId="48BB92FD" w14:textId="67D76DBE" w:rsidR="032B93E0" w:rsidRDefault="032B93E0" w:rsidP="004E2940">
            <w:pPr>
              <w:jc w:val="center"/>
              <w:rPr>
                <w:rFonts w:eastAsia="Times New Roman"/>
                <w:sz w:val="20"/>
                <w:szCs w:val="20"/>
              </w:rPr>
            </w:pPr>
            <w:r w:rsidRPr="032B93E0">
              <w:rPr>
                <w:rFonts w:eastAsia="Times New Roman"/>
                <w:sz w:val="20"/>
                <w:szCs w:val="20"/>
              </w:rPr>
              <w:t>43 (Day 1 PC)</w:t>
            </w:r>
          </w:p>
        </w:tc>
        <w:tc>
          <w:tcPr>
            <w:tcW w:w="1851" w:type="dxa"/>
          </w:tcPr>
          <w:p w14:paraId="5EF6E13F" w14:textId="500FF462"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2ED3E142" w14:textId="1E010D87"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23BFEC19" w14:textId="3518598D"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22A67D76" w14:textId="1E210EE5"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744FB127" w14:textId="715B1DC5"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497BAB0B" w14:textId="616113B3" w:rsidR="032B93E0" w:rsidRDefault="032B93E0" w:rsidP="004E2940">
            <w:pPr>
              <w:jc w:val="center"/>
              <w:rPr>
                <w:rFonts w:eastAsia="Times New Roman"/>
                <w:sz w:val="20"/>
                <w:szCs w:val="20"/>
              </w:rPr>
            </w:pPr>
            <w:r w:rsidRPr="032B93E0">
              <w:rPr>
                <w:rFonts w:eastAsia="Times New Roman"/>
                <w:sz w:val="20"/>
                <w:szCs w:val="20"/>
              </w:rPr>
              <w:t xml:space="preserve"> </w:t>
            </w:r>
          </w:p>
        </w:tc>
      </w:tr>
      <w:tr w:rsidR="032B93E0" w14:paraId="7DC98A4A" w14:textId="77777777" w:rsidTr="032B93E0">
        <w:tc>
          <w:tcPr>
            <w:tcW w:w="1851" w:type="dxa"/>
          </w:tcPr>
          <w:p w14:paraId="4B362400" w14:textId="35CEDD64" w:rsidR="032B93E0" w:rsidRDefault="032B93E0" w:rsidP="004E2940">
            <w:pPr>
              <w:jc w:val="center"/>
              <w:rPr>
                <w:rFonts w:eastAsia="Times New Roman"/>
                <w:sz w:val="20"/>
                <w:szCs w:val="20"/>
              </w:rPr>
            </w:pPr>
            <w:r w:rsidRPr="032B93E0">
              <w:rPr>
                <w:rFonts w:eastAsia="Times New Roman"/>
                <w:sz w:val="20"/>
                <w:szCs w:val="20"/>
              </w:rPr>
              <w:t>44 (Day 2 PC)</w:t>
            </w:r>
          </w:p>
        </w:tc>
        <w:tc>
          <w:tcPr>
            <w:tcW w:w="1851" w:type="dxa"/>
          </w:tcPr>
          <w:p w14:paraId="23D75542" w14:textId="7D47157D" w:rsidR="032B93E0" w:rsidRDefault="032B93E0" w:rsidP="004E2940">
            <w:pPr>
              <w:jc w:val="center"/>
              <w:rPr>
                <w:rFonts w:eastAsia="Times New Roman"/>
                <w:sz w:val="20"/>
                <w:szCs w:val="20"/>
              </w:rPr>
            </w:pPr>
            <w:r w:rsidRPr="032B93E0">
              <w:rPr>
                <w:rFonts w:eastAsia="Times New Roman"/>
                <w:sz w:val="20"/>
                <w:szCs w:val="20"/>
              </w:rPr>
              <w:t>~3 mL SST</w:t>
            </w:r>
          </w:p>
        </w:tc>
        <w:tc>
          <w:tcPr>
            <w:tcW w:w="1851" w:type="dxa"/>
          </w:tcPr>
          <w:p w14:paraId="4D213006" w14:textId="3280DB1E"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1F423497" w14:textId="24CEAED1"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04F324F5" w14:textId="64B869F6"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44E0FDE6" w14:textId="64F48151"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72812526" w14:textId="48E5E936" w:rsidR="032B93E0" w:rsidRDefault="032B93E0" w:rsidP="004E2940">
            <w:pPr>
              <w:jc w:val="center"/>
              <w:rPr>
                <w:rFonts w:eastAsia="Times New Roman"/>
                <w:sz w:val="20"/>
                <w:szCs w:val="20"/>
              </w:rPr>
            </w:pPr>
            <w:r w:rsidRPr="032B93E0">
              <w:rPr>
                <w:rFonts w:eastAsia="Times New Roman"/>
                <w:sz w:val="20"/>
                <w:szCs w:val="20"/>
              </w:rPr>
              <w:t xml:space="preserve"> </w:t>
            </w:r>
          </w:p>
        </w:tc>
      </w:tr>
      <w:tr w:rsidR="032B93E0" w14:paraId="3D99EDC3" w14:textId="77777777" w:rsidTr="032B93E0">
        <w:tc>
          <w:tcPr>
            <w:tcW w:w="1851" w:type="dxa"/>
          </w:tcPr>
          <w:p w14:paraId="2D098EFD" w14:textId="4B733D0C" w:rsidR="032B93E0" w:rsidRDefault="032B93E0" w:rsidP="004E2940">
            <w:pPr>
              <w:jc w:val="center"/>
              <w:rPr>
                <w:rFonts w:eastAsia="Times New Roman"/>
                <w:sz w:val="20"/>
                <w:szCs w:val="20"/>
              </w:rPr>
            </w:pPr>
            <w:r w:rsidRPr="032B93E0">
              <w:rPr>
                <w:rFonts w:eastAsia="Times New Roman"/>
                <w:sz w:val="20"/>
                <w:szCs w:val="20"/>
              </w:rPr>
              <w:t>45 (Day 3 PC)</w:t>
            </w:r>
          </w:p>
        </w:tc>
        <w:tc>
          <w:tcPr>
            <w:tcW w:w="1851" w:type="dxa"/>
          </w:tcPr>
          <w:p w14:paraId="45CAF45D" w14:textId="1FD05B8E"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3B061014" w14:textId="2D8BB2E1" w:rsidR="032B93E0" w:rsidRDefault="032B93E0"/>
        </w:tc>
        <w:tc>
          <w:tcPr>
            <w:tcW w:w="1851" w:type="dxa"/>
          </w:tcPr>
          <w:p w14:paraId="677F4AA6" w14:textId="6754A6E3"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214850F7" w14:textId="1C20BB21"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1BF57752" w14:textId="22F14244"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569015EE" w14:textId="75992AA0" w:rsidR="032B93E0" w:rsidRDefault="032B93E0" w:rsidP="004E2940">
            <w:pPr>
              <w:jc w:val="center"/>
              <w:rPr>
                <w:rFonts w:eastAsia="Times New Roman"/>
                <w:sz w:val="20"/>
                <w:szCs w:val="20"/>
              </w:rPr>
            </w:pPr>
            <w:r w:rsidRPr="032B93E0">
              <w:rPr>
                <w:rFonts w:eastAsia="Times New Roman"/>
                <w:sz w:val="20"/>
                <w:szCs w:val="20"/>
              </w:rPr>
              <w:t xml:space="preserve"> </w:t>
            </w:r>
          </w:p>
        </w:tc>
      </w:tr>
      <w:tr w:rsidR="032B93E0" w14:paraId="037FB287" w14:textId="77777777" w:rsidTr="032B93E0">
        <w:tc>
          <w:tcPr>
            <w:tcW w:w="1851" w:type="dxa"/>
          </w:tcPr>
          <w:p w14:paraId="36DF3371" w14:textId="7C36E5FE" w:rsidR="032B93E0" w:rsidRDefault="032B93E0" w:rsidP="004E2940">
            <w:pPr>
              <w:jc w:val="center"/>
              <w:rPr>
                <w:rFonts w:eastAsia="Times New Roman"/>
                <w:sz w:val="20"/>
                <w:szCs w:val="20"/>
              </w:rPr>
            </w:pPr>
            <w:r w:rsidRPr="032B93E0">
              <w:rPr>
                <w:rFonts w:eastAsia="Times New Roman"/>
                <w:sz w:val="20"/>
                <w:szCs w:val="20"/>
              </w:rPr>
              <w:t>46 (Day 4 PC)</w:t>
            </w:r>
          </w:p>
        </w:tc>
        <w:tc>
          <w:tcPr>
            <w:tcW w:w="1851" w:type="dxa"/>
          </w:tcPr>
          <w:p w14:paraId="19A61295" w14:textId="2B1065D5" w:rsidR="032B93E0" w:rsidRDefault="032B93E0" w:rsidP="004E2940">
            <w:pPr>
              <w:jc w:val="center"/>
              <w:rPr>
                <w:rFonts w:eastAsia="Times New Roman"/>
                <w:sz w:val="20"/>
                <w:szCs w:val="20"/>
              </w:rPr>
            </w:pPr>
            <w:r w:rsidRPr="032B93E0">
              <w:rPr>
                <w:rFonts w:eastAsia="Times New Roman"/>
                <w:sz w:val="20"/>
                <w:szCs w:val="20"/>
              </w:rPr>
              <w:t>~3 mL SST</w:t>
            </w:r>
          </w:p>
        </w:tc>
        <w:tc>
          <w:tcPr>
            <w:tcW w:w="1851" w:type="dxa"/>
          </w:tcPr>
          <w:p w14:paraId="084964F2" w14:textId="62738F63"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0C28BFCF" w14:textId="0774F136"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277E2B7C" w14:textId="136948D8"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0C888627" w14:textId="2D7BFB5D"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59B91C9E" w14:textId="7CBD8100" w:rsidR="032B93E0" w:rsidRDefault="032B93E0" w:rsidP="004E2940">
            <w:pPr>
              <w:jc w:val="center"/>
              <w:rPr>
                <w:rFonts w:eastAsia="Times New Roman"/>
                <w:sz w:val="20"/>
                <w:szCs w:val="20"/>
              </w:rPr>
            </w:pPr>
            <w:r w:rsidRPr="032B93E0">
              <w:rPr>
                <w:rFonts w:eastAsia="Times New Roman"/>
                <w:sz w:val="20"/>
                <w:szCs w:val="20"/>
              </w:rPr>
              <w:t xml:space="preserve"> </w:t>
            </w:r>
          </w:p>
        </w:tc>
      </w:tr>
      <w:tr w:rsidR="032B93E0" w14:paraId="75431697" w14:textId="77777777" w:rsidTr="032B93E0">
        <w:tc>
          <w:tcPr>
            <w:tcW w:w="1851" w:type="dxa"/>
          </w:tcPr>
          <w:p w14:paraId="5D3F2802" w14:textId="35222F24" w:rsidR="032B93E0" w:rsidRDefault="032B93E0" w:rsidP="004E2940">
            <w:pPr>
              <w:jc w:val="center"/>
              <w:rPr>
                <w:rFonts w:eastAsia="Times New Roman"/>
                <w:sz w:val="20"/>
                <w:szCs w:val="20"/>
              </w:rPr>
            </w:pPr>
            <w:r w:rsidRPr="032B93E0">
              <w:rPr>
                <w:rFonts w:eastAsia="Times New Roman"/>
                <w:sz w:val="20"/>
                <w:szCs w:val="20"/>
              </w:rPr>
              <w:t>47 (Day 5 PC)</w:t>
            </w:r>
          </w:p>
        </w:tc>
        <w:tc>
          <w:tcPr>
            <w:tcW w:w="1851" w:type="dxa"/>
          </w:tcPr>
          <w:p w14:paraId="28DD90E8" w14:textId="719FB5FD"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70FCE1A9" w14:textId="67989C40"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2DCEB52F" w14:textId="65E78A84"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1E9F51E6" w14:textId="05F5B95A"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599B2286" w14:textId="1E070814"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1AB68253" w14:textId="240078A5" w:rsidR="032B93E0" w:rsidRDefault="032B93E0" w:rsidP="004E2940">
            <w:pPr>
              <w:jc w:val="center"/>
              <w:rPr>
                <w:rFonts w:eastAsia="Times New Roman"/>
                <w:sz w:val="20"/>
                <w:szCs w:val="20"/>
              </w:rPr>
            </w:pPr>
            <w:r w:rsidRPr="032B93E0">
              <w:rPr>
                <w:rFonts w:eastAsia="Times New Roman"/>
                <w:sz w:val="20"/>
                <w:szCs w:val="20"/>
              </w:rPr>
              <w:t xml:space="preserve"> </w:t>
            </w:r>
          </w:p>
        </w:tc>
      </w:tr>
      <w:tr w:rsidR="032B93E0" w14:paraId="13F6BACC" w14:textId="77777777" w:rsidTr="032B93E0">
        <w:tc>
          <w:tcPr>
            <w:tcW w:w="1851" w:type="dxa"/>
          </w:tcPr>
          <w:p w14:paraId="0C564FB1" w14:textId="21E6C943" w:rsidR="032B93E0" w:rsidRDefault="032B93E0" w:rsidP="004E2940">
            <w:pPr>
              <w:jc w:val="center"/>
              <w:rPr>
                <w:rFonts w:eastAsia="Times New Roman"/>
                <w:sz w:val="20"/>
                <w:szCs w:val="20"/>
              </w:rPr>
            </w:pPr>
            <w:r w:rsidRPr="032B93E0">
              <w:rPr>
                <w:rFonts w:eastAsia="Times New Roman"/>
                <w:sz w:val="20"/>
                <w:szCs w:val="20"/>
              </w:rPr>
              <w:lastRenderedPageBreak/>
              <w:t>48 (Day 6 PC)</w:t>
            </w:r>
          </w:p>
        </w:tc>
        <w:tc>
          <w:tcPr>
            <w:tcW w:w="1851" w:type="dxa"/>
          </w:tcPr>
          <w:p w14:paraId="364B653F" w14:textId="2979ACB0"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27CAB7BD" w14:textId="40895CAB"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04843DD3" w14:textId="3FB8D1AD"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4F4B043C" w14:textId="4D243DFF"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63900AFB" w14:textId="572E17E9"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0FD31F8B" w14:textId="62019134" w:rsidR="032B93E0" w:rsidRDefault="032B93E0" w:rsidP="004E2940">
            <w:pPr>
              <w:jc w:val="center"/>
              <w:rPr>
                <w:rFonts w:eastAsia="Times New Roman"/>
                <w:sz w:val="20"/>
                <w:szCs w:val="20"/>
              </w:rPr>
            </w:pPr>
            <w:r w:rsidRPr="032B93E0">
              <w:rPr>
                <w:rFonts w:eastAsia="Times New Roman"/>
                <w:sz w:val="20"/>
                <w:szCs w:val="20"/>
              </w:rPr>
              <w:t xml:space="preserve"> </w:t>
            </w:r>
          </w:p>
        </w:tc>
      </w:tr>
      <w:tr w:rsidR="032B93E0" w14:paraId="2A037B9A" w14:textId="77777777" w:rsidTr="032B93E0">
        <w:tc>
          <w:tcPr>
            <w:tcW w:w="1851" w:type="dxa"/>
          </w:tcPr>
          <w:p w14:paraId="283B14A4" w14:textId="6AE69AE5" w:rsidR="032B93E0" w:rsidRDefault="032B93E0" w:rsidP="004E2940">
            <w:pPr>
              <w:jc w:val="center"/>
              <w:rPr>
                <w:rFonts w:eastAsia="Times New Roman"/>
                <w:sz w:val="20"/>
                <w:szCs w:val="20"/>
              </w:rPr>
            </w:pPr>
            <w:r w:rsidRPr="032B93E0">
              <w:rPr>
                <w:rFonts w:eastAsia="Times New Roman"/>
                <w:sz w:val="20"/>
                <w:szCs w:val="20"/>
              </w:rPr>
              <w:t>49 (Day 7 PC)</w:t>
            </w:r>
          </w:p>
        </w:tc>
        <w:tc>
          <w:tcPr>
            <w:tcW w:w="1851" w:type="dxa"/>
          </w:tcPr>
          <w:p w14:paraId="6E767FB9" w14:textId="2F1F54F3" w:rsidR="032B93E0" w:rsidRDefault="032B93E0" w:rsidP="004E2940">
            <w:pPr>
              <w:jc w:val="center"/>
              <w:rPr>
                <w:rFonts w:eastAsia="Times New Roman"/>
                <w:sz w:val="20"/>
                <w:szCs w:val="20"/>
              </w:rPr>
            </w:pPr>
            <w:r w:rsidRPr="032B93E0">
              <w:rPr>
                <w:rFonts w:eastAsia="Times New Roman"/>
                <w:sz w:val="20"/>
                <w:szCs w:val="20"/>
              </w:rPr>
              <w:t>~3 mL SST</w:t>
            </w:r>
          </w:p>
        </w:tc>
        <w:tc>
          <w:tcPr>
            <w:tcW w:w="1851" w:type="dxa"/>
          </w:tcPr>
          <w:p w14:paraId="6BA08B97" w14:textId="617777EE"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708B379E" w14:textId="62FBEF89"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53F2842D" w14:textId="169A8BF6"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76374943" w14:textId="43CF2AA9"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31CCF63B" w14:textId="2827C278" w:rsidR="032B93E0" w:rsidRDefault="032B93E0" w:rsidP="004E2940">
            <w:pPr>
              <w:jc w:val="center"/>
              <w:rPr>
                <w:rFonts w:eastAsia="Times New Roman"/>
                <w:sz w:val="20"/>
                <w:szCs w:val="20"/>
              </w:rPr>
            </w:pPr>
            <w:r w:rsidRPr="032B93E0">
              <w:rPr>
                <w:rFonts w:eastAsia="Times New Roman"/>
                <w:sz w:val="20"/>
                <w:szCs w:val="20"/>
              </w:rPr>
              <w:t xml:space="preserve"> </w:t>
            </w:r>
          </w:p>
        </w:tc>
      </w:tr>
      <w:tr w:rsidR="032B93E0" w14:paraId="22D6DB37" w14:textId="77777777" w:rsidTr="032B93E0">
        <w:tc>
          <w:tcPr>
            <w:tcW w:w="1851" w:type="dxa"/>
          </w:tcPr>
          <w:p w14:paraId="6902DC79" w14:textId="26F2EB47" w:rsidR="032B93E0" w:rsidRDefault="032B93E0" w:rsidP="004E2940">
            <w:pPr>
              <w:jc w:val="center"/>
              <w:rPr>
                <w:rFonts w:eastAsia="Times New Roman"/>
                <w:sz w:val="20"/>
                <w:szCs w:val="20"/>
              </w:rPr>
            </w:pPr>
            <w:r w:rsidRPr="032B93E0">
              <w:rPr>
                <w:rFonts w:eastAsia="Times New Roman"/>
                <w:sz w:val="20"/>
                <w:szCs w:val="20"/>
              </w:rPr>
              <w:t xml:space="preserve">51 (Day 9 PC) </w:t>
            </w:r>
          </w:p>
        </w:tc>
        <w:tc>
          <w:tcPr>
            <w:tcW w:w="1851" w:type="dxa"/>
          </w:tcPr>
          <w:p w14:paraId="005C553D" w14:textId="600ACD6F" w:rsidR="032B93E0" w:rsidRDefault="032B93E0" w:rsidP="004E2940">
            <w:pPr>
              <w:jc w:val="center"/>
              <w:rPr>
                <w:rFonts w:eastAsia="Times New Roman"/>
                <w:sz w:val="20"/>
                <w:szCs w:val="20"/>
              </w:rPr>
            </w:pPr>
            <w:r w:rsidRPr="032B93E0">
              <w:rPr>
                <w:rFonts w:eastAsia="Times New Roman"/>
                <w:sz w:val="20"/>
                <w:szCs w:val="20"/>
              </w:rPr>
              <w:t>~3 mL SST</w:t>
            </w:r>
          </w:p>
        </w:tc>
        <w:tc>
          <w:tcPr>
            <w:tcW w:w="1851" w:type="dxa"/>
          </w:tcPr>
          <w:p w14:paraId="3773A3EB" w14:textId="38EEA4C0"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69D9C7CE" w14:textId="2F3909A6"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0E03779E" w14:textId="4F78C189"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7A50B551" w14:textId="781F3C56"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67B37B1C" w14:textId="2237B63A" w:rsidR="032B93E0" w:rsidRDefault="032B93E0" w:rsidP="004E2940">
            <w:pPr>
              <w:jc w:val="center"/>
              <w:rPr>
                <w:rFonts w:eastAsia="Times New Roman"/>
                <w:sz w:val="20"/>
                <w:szCs w:val="20"/>
              </w:rPr>
            </w:pPr>
            <w:r w:rsidRPr="032B93E0">
              <w:rPr>
                <w:rFonts w:eastAsia="Times New Roman"/>
                <w:sz w:val="20"/>
                <w:szCs w:val="20"/>
              </w:rPr>
              <w:t xml:space="preserve"> </w:t>
            </w:r>
          </w:p>
        </w:tc>
      </w:tr>
      <w:tr w:rsidR="032B93E0" w14:paraId="733D0EF7" w14:textId="77777777" w:rsidTr="032B93E0">
        <w:tc>
          <w:tcPr>
            <w:tcW w:w="1851" w:type="dxa"/>
          </w:tcPr>
          <w:p w14:paraId="4B8D8FB9" w14:textId="5C684AE3" w:rsidR="032B93E0" w:rsidRDefault="032B93E0" w:rsidP="004E2940">
            <w:pPr>
              <w:jc w:val="center"/>
              <w:rPr>
                <w:rFonts w:eastAsia="Times New Roman"/>
                <w:sz w:val="20"/>
                <w:szCs w:val="20"/>
              </w:rPr>
            </w:pPr>
            <w:r w:rsidRPr="032B93E0">
              <w:rPr>
                <w:rFonts w:eastAsia="Times New Roman"/>
                <w:sz w:val="20"/>
                <w:szCs w:val="20"/>
              </w:rPr>
              <w:t>56 (Day 14 PC)</w:t>
            </w:r>
          </w:p>
        </w:tc>
        <w:tc>
          <w:tcPr>
            <w:tcW w:w="1851" w:type="dxa"/>
          </w:tcPr>
          <w:p w14:paraId="7DF8C4C3" w14:textId="19780F64" w:rsidR="032B93E0" w:rsidRDefault="032B93E0" w:rsidP="004E2940">
            <w:pPr>
              <w:jc w:val="center"/>
              <w:rPr>
                <w:rFonts w:eastAsia="Times New Roman"/>
                <w:sz w:val="20"/>
                <w:szCs w:val="20"/>
              </w:rPr>
            </w:pPr>
            <w:r w:rsidRPr="032B93E0">
              <w:rPr>
                <w:rFonts w:eastAsia="Times New Roman"/>
                <w:sz w:val="20"/>
                <w:szCs w:val="20"/>
              </w:rPr>
              <w:t>~</w:t>
            </w:r>
            <w:r w:rsidR="004870F6">
              <w:rPr>
                <w:rFonts w:eastAsia="Times New Roman"/>
                <w:sz w:val="20"/>
                <w:szCs w:val="20"/>
              </w:rPr>
              <w:t>4</w:t>
            </w:r>
            <w:r w:rsidR="004870F6" w:rsidRPr="032B93E0">
              <w:rPr>
                <w:rFonts w:eastAsia="Times New Roman"/>
                <w:sz w:val="20"/>
                <w:szCs w:val="20"/>
              </w:rPr>
              <w:t xml:space="preserve">0 </w:t>
            </w:r>
            <w:r w:rsidRPr="032B93E0">
              <w:rPr>
                <w:rFonts w:eastAsia="Times New Roman"/>
                <w:sz w:val="20"/>
                <w:szCs w:val="20"/>
              </w:rPr>
              <w:t>mL SST</w:t>
            </w:r>
          </w:p>
        </w:tc>
        <w:tc>
          <w:tcPr>
            <w:tcW w:w="1851" w:type="dxa"/>
          </w:tcPr>
          <w:p w14:paraId="7F9D7B3D" w14:textId="1412BF8D"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701D1DB3" w14:textId="0BB545DC"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47D38AEF" w14:textId="1B34AD11" w:rsidR="032B93E0" w:rsidRDefault="032B93E0" w:rsidP="004E2940">
            <w:pPr>
              <w:jc w:val="center"/>
              <w:rPr>
                <w:rFonts w:eastAsia="Times New Roman"/>
                <w:sz w:val="20"/>
                <w:szCs w:val="20"/>
              </w:rPr>
            </w:pPr>
            <w:r w:rsidRPr="032B93E0">
              <w:rPr>
                <w:rFonts w:eastAsia="Times New Roman"/>
                <w:sz w:val="20"/>
                <w:szCs w:val="20"/>
              </w:rPr>
              <w:t>X</w:t>
            </w:r>
          </w:p>
        </w:tc>
        <w:tc>
          <w:tcPr>
            <w:tcW w:w="1851" w:type="dxa"/>
          </w:tcPr>
          <w:p w14:paraId="643E7909" w14:textId="7477FDA5" w:rsidR="032B93E0" w:rsidRDefault="032B93E0" w:rsidP="004E2940">
            <w:pPr>
              <w:jc w:val="center"/>
              <w:rPr>
                <w:rFonts w:eastAsia="Times New Roman"/>
                <w:sz w:val="20"/>
                <w:szCs w:val="20"/>
              </w:rPr>
            </w:pPr>
            <w:r w:rsidRPr="032B93E0">
              <w:rPr>
                <w:rFonts w:eastAsia="Times New Roman"/>
                <w:sz w:val="20"/>
                <w:szCs w:val="20"/>
              </w:rPr>
              <w:t xml:space="preserve"> </w:t>
            </w:r>
          </w:p>
        </w:tc>
        <w:tc>
          <w:tcPr>
            <w:tcW w:w="1851" w:type="dxa"/>
          </w:tcPr>
          <w:p w14:paraId="3C935FD2" w14:textId="0F9A78D0" w:rsidR="032B93E0" w:rsidRDefault="032B93E0" w:rsidP="004E2940">
            <w:pPr>
              <w:jc w:val="center"/>
              <w:rPr>
                <w:rFonts w:eastAsia="Times New Roman"/>
                <w:sz w:val="20"/>
                <w:szCs w:val="20"/>
              </w:rPr>
            </w:pPr>
          </w:p>
        </w:tc>
      </w:tr>
    </w:tbl>
    <w:p w14:paraId="5C2AC939" w14:textId="65501A23" w:rsidR="45E3E60F" w:rsidRPr="004E2940" w:rsidRDefault="45E3E60F" w:rsidP="004E2940">
      <w:pPr>
        <w:spacing w:after="120" w:line="240" w:lineRule="auto"/>
        <w:rPr>
          <w:rFonts w:eastAsia="Times New Roman"/>
          <w:sz w:val="16"/>
          <w:szCs w:val="16"/>
        </w:rPr>
      </w:pPr>
      <w:r w:rsidRPr="004E2940">
        <w:rPr>
          <w:rFonts w:eastAsia="Times New Roman"/>
          <w:sz w:val="16"/>
          <w:szCs w:val="16"/>
        </w:rPr>
        <w:t xml:space="preserve">BAL = Bronchoalveolar Lavage </w:t>
      </w:r>
    </w:p>
    <w:p w14:paraId="6F36E5E2" w14:textId="7B804D4D" w:rsidR="45E3E60F" w:rsidRPr="004E2940" w:rsidRDefault="45E3E60F" w:rsidP="004E2940">
      <w:pPr>
        <w:spacing w:after="120" w:line="240" w:lineRule="auto"/>
        <w:rPr>
          <w:rFonts w:eastAsia="Times New Roman"/>
          <w:sz w:val="16"/>
          <w:szCs w:val="16"/>
        </w:rPr>
      </w:pPr>
      <w:r w:rsidRPr="004E2940">
        <w:rPr>
          <w:rFonts w:eastAsia="Times New Roman"/>
          <w:sz w:val="16"/>
          <w:szCs w:val="16"/>
        </w:rPr>
        <w:t>CPT = Cell Preparation Tubes</w:t>
      </w:r>
    </w:p>
    <w:p w14:paraId="11E30BDF" w14:textId="55E21539" w:rsidR="45E3E60F" w:rsidRPr="004E2940" w:rsidRDefault="45E3E60F" w:rsidP="004E2940">
      <w:pPr>
        <w:spacing w:after="120" w:line="240" w:lineRule="auto"/>
        <w:rPr>
          <w:rFonts w:eastAsia="Times New Roman"/>
          <w:sz w:val="16"/>
          <w:szCs w:val="16"/>
        </w:rPr>
      </w:pPr>
      <w:r w:rsidRPr="004E2940">
        <w:rPr>
          <w:rFonts w:eastAsia="Times New Roman"/>
          <w:sz w:val="16"/>
          <w:szCs w:val="16"/>
        </w:rPr>
        <w:t>MN = Microneutralization</w:t>
      </w:r>
    </w:p>
    <w:p w14:paraId="6CD3C155" w14:textId="16E923B8" w:rsidR="45E3E60F" w:rsidRPr="004E2940" w:rsidRDefault="45E3E60F" w:rsidP="004E2940">
      <w:pPr>
        <w:spacing w:after="120" w:line="240" w:lineRule="auto"/>
        <w:rPr>
          <w:rFonts w:eastAsia="Times New Roman"/>
          <w:sz w:val="16"/>
          <w:szCs w:val="16"/>
        </w:rPr>
      </w:pPr>
      <w:r w:rsidRPr="004E2940">
        <w:rPr>
          <w:rFonts w:eastAsia="Times New Roman"/>
          <w:sz w:val="16"/>
          <w:szCs w:val="16"/>
        </w:rPr>
        <w:t>MSD-ECLIA = Meso Scale Discovery Electrochemiluminescence Immunoassay</w:t>
      </w:r>
    </w:p>
    <w:p w14:paraId="4CB6EDD8" w14:textId="1214D1B7" w:rsidR="45E3E60F" w:rsidRPr="004E2940" w:rsidRDefault="45E3E60F" w:rsidP="004E2940">
      <w:pPr>
        <w:spacing w:after="120" w:line="240" w:lineRule="auto"/>
        <w:rPr>
          <w:rFonts w:eastAsia="Times New Roman"/>
          <w:sz w:val="16"/>
          <w:szCs w:val="16"/>
        </w:rPr>
      </w:pPr>
      <w:r w:rsidRPr="004E2940">
        <w:rPr>
          <w:rFonts w:eastAsia="Times New Roman"/>
          <w:sz w:val="16"/>
          <w:szCs w:val="16"/>
        </w:rPr>
        <w:t>PC = Post-challenge</w:t>
      </w:r>
    </w:p>
    <w:p w14:paraId="09AA2980" w14:textId="26C28CE1" w:rsidR="45E3E60F" w:rsidRPr="004E2940" w:rsidRDefault="45E3E60F" w:rsidP="004E2940">
      <w:pPr>
        <w:spacing w:after="120" w:line="240" w:lineRule="auto"/>
        <w:rPr>
          <w:rFonts w:eastAsia="Times New Roman"/>
          <w:sz w:val="16"/>
          <w:szCs w:val="16"/>
        </w:rPr>
      </w:pPr>
      <w:r w:rsidRPr="004E2940">
        <w:rPr>
          <w:rFonts w:eastAsia="Times New Roman"/>
          <w:sz w:val="16"/>
          <w:szCs w:val="16"/>
        </w:rPr>
        <w:t>PBMC = peripheral blood mononuclear cells</w:t>
      </w:r>
    </w:p>
    <w:p w14:paraId="5D325327" w14:textId="78E3F380" w:rsidR="45E3E60F" w:rsidRPr="004E2940" w:rsidRDefault="45E3E60F" w:rsidP="004E2940">
      <w:pPr>
        <w:spacing w:after="120" w:line="240" w:lineRule="auto"/>
        <w:rPr>
          <w:rFonts w:eastAsia="Times New Roman"/>
          <w:sz w:val="16"/>
          <w:szCs w:val="16"/>
        </w:rPr>
      </w:pPr>
      <w:proofErr w:type="spellStart"/>
      <w:r w:rsidRPr="004E2940">
        <w:rPr>
          <w:rFonts w:eastAsia="Times New Roman"/>
          <w:sz w:val="16"/>
          <w:szCs w:val="16"/>
        </w:rPr>
        <w:t>PreC</w:t>
      </w:r>
      <w:proofErr w:type="spellEnd"/>
      <w:r w:rsidRPr="004E2940">
        <w:rPr>
          <w:rFonts w:eastAsia="Times New Roman"/>
          <w:sz w:val="16"/>
          <w:szCs w:val="16"/>
        </w:rPr>
        <w:t xml:space="preserve"> = Pre-challenge</w:t>
      </w:r>
    </w:p>
    <w:p w14:paraId="0F3A05F3" w14:textId="7A179097" w:rsidR="45E3E60F" w:rsidRPr="004E2940" w:rsidRDefault="45E3E60F" w:rsidP="004E2940">
      <w:pPr>
        <w:spacing w:after="120" w:line="240" w:lineRule="auto"/>
        <w:rPr>
          <w:rFonts w:eastAsia="Times New Roman"/>
          <w:sz w:val="16"/>
          <w:szCs w:val="16"/>
        </w:rPr>
      </w:pPr>
      <w:proofErr w:type="spellStart"/>
      <w:r w:rsidRPr="004E2940">
        <w:rPr>
          <w:rFonts w:eastAsia="Times New Roman"/>
          <w:sz w:val="16"/>
          <w:szCs w:val="16"/>
        </w:rPr>
        <w:t>PsVNA</w:t>
      </w:r>
      <w:proofErr w:type="spellEnd"/>
      <w:r w:rsidRPr="004E2940">
        <w:rPr>
          <w:rFonts w:eastAsia="Times New Roman"/>
          <w:sz w:val="16"/>
          <w:szCs w:val="16"/>
        </w:rPr>
        <w:t xml:space="preserve"> = </w:t>
      </w:r>
      <w:proofErr w:type="spellStart"/>
      <w:r w:rsidRPr="004E2940">
        <w:rPr>
          <w:rFonts w:eastAsia="Times New Roman"/>
          <w:sz w:val="16"/>
          <w:szCs w:val="16"/>
        </w:rPr>
        <w:t>Pseudovirus</w:t>
      </w:r>
      <w:proofErr w:type="spellEnd"/>
      <w:r w:rsidRPr="004E2940">
        <w:rPr>
          <w:rFonts w:eastAsia="Times New Roman"/>
          <w:sz w:val="16"/>
          <w:szCs w:val="16"/>
        </w:rPr>
        <w:t xml:space="preserve"> Neutralization Assay</w:t>
      </w:r>
    </w:p>
    <w:p w14:paraId="54AC23D4" w14:textId="16C8D0A6" w:rsidR="45E3E60F" w:rsidRPr="004E2940" w:rsidRDefault="45E3E60F" w:rsidP="004E2940">
      <w:pPr>
        <w:spacing w:after="120" w:line="240" w:lineRule="auto"/>
        <w:rPr>
          <w:rFonts w:eastAsia="Times New Roman"/>
          <w:sz w:val="16"/>
          <w:szCs w:val="16"/>
        </w:rPr>
      </w:pPr>
      <w:r w:rsidRPr="004E2940">
        <w:rPr>
          <w:rFonts w:eastAsia="Times New Roman"/>
          <w:sz w:val="16"/>
          <w:szCs w:val="16"/>
        </w:rPr>
        <w:t xml:space="preserve">SST = Serum separator tube </w:t>
      </w:r>
    </w:p>
    <w:p w14:paraId="2B3BABBA" w14:textId="341F379F" w:rsidR="45E3E60F" w:rsidRPr="004E2940" w:rsidRDefault="45E3E60F" w:rsidP="004E2940">
      <w:pPr>
        <w:spacing w:after="120" w:line="240" w:lineRule="auto"/>
        <w:rPr>
          <w:rFonts w:eastAsia="Times New Roman"/>
          <w:sz w:val="16"/>
          <w:szCs w:val="16"/>
        </w:rPr>
      </w:pPr>
      <w:r w:rsidRPr="004E2940">
        <w:rPr>
          <w:rFonts w:eastAsia="Times New Roman"/>
          <w:sz w:val="16"/>
          <w:szCs w:val="16"/>
        </w:rPr>
        <w:t>^ System Serology only performed on pre-challenge samples</w:t>
      </w:r>
    </w:p>
    <w:p w14:paraId="7CBB5B1A" w14:textId="444EDD29" w:rsidR="45E3E60F" w:rsidRPr="004E2940" w:rsidRDefault="45E3E60F" w:rsidP="004E2940">
      <w:pPr>
        <w:spacing w:after="120" w:line="240" w:lineRule="auto"/>
        <w:jc w:val="both"/>
        <w:rPr>
          <w:rFonts w:eastAsia="Times New Roman"/>
          <w:sz w:val="16"/>
          <w:szCs w:val="16"/>
        </w:rPr>
      </w:pPr>
      <w:r w:rsidRPr="004E2940">
        <w:rPr>
          <w:rFonts w:eastAsia="Times New Roman"/>
          <w:sz w:val="16"/>
          <w:szCs w:val="16"/>
        </w:rPr>
        <w:t>*Collected before challenge</w:t>
      </w:r>
    </w:p>
    <w:p w14:paraId="29442A0A" w14:textId="6B38FE9F" w:rsidR="1DC7B1E2" w:rsidRDefault="1DC7B1E2">
      <w:r>
        <w:br w:type="page"/>
      </w:r>
    </w:p>
    <w:p w14:paraId="3F4B5094" w14:textId="0D1F5CC6" w:rsidR="032B93E0" w:rsidRPr="004E2940" w:rsidRDefault="032B93E0" w:rsidP="004E2940">
      <w:pPr>
        <w:spacing w:line="240" w:lineRule="auto"/>
        <w:rPr>
          <w:sz w:val="16"/>
          <w:szCs w:val="16"/>
        </w:rPr>
      </w:pPr>
    </w:p>
    <w:p w14:paraId="1DBBEF8A" w14:textId="6F5BC85C" w:rsidR="11DC6898" w:rsidRDefault="11DC6898" w:rsidP="032B93E0">
      <w:pPr>
        <w:spacing w:after="0" w:line="240" w:lineRule="auto"/>
        <w:rPr>
          <w:b/>
          <w:bCs/>
        </w:rPr>
      </w:pPr>
      <w:r w:rsidRPr="032B93E0">
        <w:rPr>
          <w:b/>
          <w:bCs/>
        </w:rPr>
        <w:t xml:space="preserve">Table 6. Sample Collection Schedule </w:t>
      </w:r>
      <w:r w:rsidR="2F4C5474" w:rsidRPr="032B93E0">
        <w:rPr>
          <w:b/>
          <w:bCs/>
        </w:rPr>
        <w:t xml:space="preserve">for Animals in Groups 2E and 2F </w:t>
      </w:r>
      <w:r w:rsidRPr="032B93E0">
        <w:rPr>
          <w:b/>
          <w:bCs/>
        </w:rPr>
        <w:t>(Janssen Two Dose Regimen)</w:t>
      </w:r>
    </w:p>
    <w:tbl>
      <w:tblPr>
        <w:tblStyle w:val="TableGrid1"/>
        <w:tblW w:w="0" w:type="auto"/>
        <w:tblLayout w:type="fixed"/>
        <w:tblLook w:val="04A0" w:firstRow="1" w:lastRow="0" w:firstColumn="1" w:lastColumn="0" w:noHBand="0" w:noVBand="1"/>
      </w:tblPr>
      <w:tblGrid>
        <w:gridCol w:w="1851"/>
        <w:gridCol w:w="1851"/>
        <w:gridCol w:w="1851"/>
        <w:gridCol w:w="1851"/>
        <w:gridCol w:w="1851"/>
        <w:gridCol w:w="1851"/>
        <w:gridCol w:w="1851"/>
      </w:tblGrid>
      <w:tr w:rsidR="032B93E0" w14:paraId="0563EB3E" w14:textId="77777777" w:rsidTr="004E2940">
        <w:tc>
          <w:tcPr>
            <w:tcW w:w="1851" w:type="dxa"/>
          </w:tcPr>
          <w:p w14:paraId="787780B8" w14:textId="28CF2F03" w:rsidR="032B93E0" w:rsidRDefault="032B93E0" w:rsidP="032B93E0">
            <w:pPr>
              <w:jc w:val="center"/>
              <w:rPr>
                <w:rFonts w:eastAsia="Times New Roman"/>
                <w:b/>
                <w:bCs/>
                <w:sz w:val="20"/>
                <w:szCs w:val="20"/>
              </w:rPr>
            </w:pPr>
            <w:r w:rsidRPr="032B93E0">
              <w:rPr>
                <w:rFonts w:eastAsia="Times New Roman"/>
                <w:b/>
                <w:bCs/>
                <w:sz w:val="20"/>
                <w:szCs w:val="20"/>
              </w:rPr>
              <w:t>Study Day (Relative to Challenge)</w:t>
            </w:r>
          </w:p>
        </w:tc>
        <w:tc>
          <w:tcPr>
            <w:tcW w:w="1851" w:type="dxa"/>
          </w:tcPr>
          <w:p w14:paraId="31B0EDD0" w14:textId="54E41162"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Blood Collection Volume/ </w:t>
            </w:r>
          </w:p>
          <w:p w14:paraId="3223A167" w14:textId="12B850A0"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Blood Tube</w:t>
            </w:r>
          </w:p>
        </w:tc>
        <w:tc>
          <w:tcPr>
            <w:tcW w:w="1851" w:type="dxa"/>
          </w:tcPr>
          <w:p w14:paraId="1CE059AE" w14:textId="2BCC639A"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Sera for MNA, MSD-ECLIA, </w:t>
            </w:r>
            <w:proofErr w:type="spellStart"/>
            <w:r w:rsidRPr="032B93E0">
              <w:rPr>
                <w:rFonts w:eastAsia="Times New Roman"/>
                <w:b/>
                <w:bCs/>
                <w:color w:val="000000" w:themeColor="text1"/>
                <w:sz w:val="20"/>
                <w:szCs w:val="20"/>
              </w:rPr>
              <w:t>PsVNA</w:t>
            </w:r>
            <w:proofErr w:type="spellEnd"/>
            <w:r w:rsidRPr="032B93E0">
              <w:rPr>
                <w:rFonts w:eastAsia="Times New Roman"/>
                <w:b/>
                <w:bCs/>
                <w:color w:val="000000" w:themeColor="text1"/>
                <w:sz w:val="20"/>
                <w:szCs w:val="20"/>
              </w:rPr>
              <w:t>, ^Systems Serology, Retentions</w:t>
            </w:r>
          </w:p>
        </w:tc>
        <w:tc>
          <w:tcPr>
            <w:tcW w:w="1851" w:type="dxa"/>
          </w:tcPr>
          <w:p w14:paraId="3E9B9AAB" w14:textId="34B4F97D" w:rsidR="032B93E0" w:rsidRDefault="032B93E0" w:rsidP="032B93E0">
            <w:pPr>
              <w:jc w:val="center"/>
              <w:rPr>
                <w:rFonts w:eastAsia="Times New Roman"/>
                <w:b/>
                <w:bCs/>
                <w:sz w:val="20"/>
                <w:szCs w:val="20"/>
              </w:rPr>
            </w:pPr>
            <w:r w:rsidRPr="032B93E0">
              <w:rPr>
                <w:rFonts w:eastAsia="Times New Roman"/>
                <w:b/>
                <w:bCs/>
                <w:sz w:val="20"/>
                <w:szCs w:val="20"/>
              </w:rPr>
              <w:t xml:space="preserve"> </w:t>
            </w:r>
          </w:p>
          <w:p w14:paraId="118BFEE9" w14:textId="71388E5A"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BAL Collection</w:t>
            </w:r>
          </w:p>
        </w:tc>
        <w:tc>
          <w:tcPr>
            <w:tcW w:w="1851" w:type="dxa"/>
          </w:tcPr>
          <w:p w14:paraId="41628A4A" w14:textId="082F9291"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Nasal / </w:t>
            </w:r>
            <w:proofErr w:type="gramStart"/>
            <w:r w:rsidRPr="032B93E0">
              <w:rPr>
                <w:rFonts w:eastAsia="Times New Roman"/>
                <w:b/>
                <w:bCs/>
                <w:color w:val="000000" w:themeColor="text1"/>
                <w:sz w:val="20"/>
                <w:szCs w:val="20"/>
              </w:rPr>
              <w:t>Oropharyngeal  Swabs</w:t>
            </w:r>
            <w:proofErr w:type="gramEnd"/>
          </w:p>
        </w:tc>
        <w:tc>
          <w:tcPr>
            <w:tcW w:w="1851" w:type="dxa"/>
          </w:tcPr>
          <w:p w14:paraId="56D5F172" w14:textId="2961AB48"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Nasal Wash </w:t>
            </w:r>
          </w:p>
        </w:tc>
        <w:tc>
          <w:tcPr>
            <w:tcW w:w="1851" w:type="dxa"/>
          </w:tcPr>
          <w:p w14:paraId="389B7970" w14:textId="1C11874B"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PBMC</w:t>
            </w:r>
          </w:p>
        </w:tc>
      </w:tr>
      <w:tr w:rsidR="032B93E0" w14:paraId="7604174D" w14:textId="77777777" w:rsidTr="004E2940">
        <w:tc>
          <w:tcPr>
            <w:tcW w:w="1851" w:type="dxa"/>
          </w:tcPr>
          <w:p w14:paraId="594FFC8B" w14:textId="4805604A" w:rsidR="032B93E0" w:rsidRDefault="032B93E0" w:rsidP="032B93E0">
            <w:pPr>
              <w:jc w:val="center"/>
              <w:rPr>
                <w:rFonts w:eastAsia="Times New Roman"/>
                <w:sz w:val="20"/>
                <w:szCs w:val="20"/>
              </w:rPr>
            </w:pPr>
            <w:r w:rsidRPr="032B93E0">
              <w:rPr>
                <w:rFonts w:eastAsia="Times New Roman"/>
                <w:sz w:val="20"/>
                <w:szCs w:val="20"/>
              </w:rPr>
              <w:t>Prior to Vaccination</w:t>
            </w:r>
          </w:p>
        </w:tc>
        <w:tc>
          <w:tcPr>
            <w:tcW w:w="1851" w:type="dxa"/>
          </w:tcPr>
          <w:p w14:paraId="1F15233A" w14:textId="409FB16A" w:rsidR="032B93E0" w:rsidRDefault="032B93E0" w:rsidP="032B93E0">
            <w:pPr>
              <w:jc w:val="center"/>
              <w:rPr>
                <w:rFonts w:eastAsia="Times New Roman"/>
                <w:sz w:val="20"/>
                <w:szCs w:val="20"/>
              </w:rPr>
            </w:pPr>
            <w:r w:rsidRPr="032B93E0">
              <w:rPr>
                <w:rFonts w:eastAsia="Times New Roman"/>
                <w:sz w:val="20"/>
                <w:szCs w:val="20"/>
              </w:rPr>
              <w:t>~6 mL SST</w:t>
            </w:r>
          </w:p>
          <w:p w14:paraId="54216C7E" w14:textId="19453CA1" w:rsidR="032B93E0" w:rsidRDefault="032B93E0" w:rsidP="032B93E0">
            <w:pPr>
              <w:jc w:val="center"/>
              <w:rPr>
                <w:rFonts w:eastAsia="Times New Roman"/>
                <w:sz w:val="20"/>
                <w:szCs w:val="20"/>
              </w:rPr>
            </w:pPr>
            <w:r w:rsidRPr="032B93E0">
              <w:rPr>
                <w:rFonts w:eastAsia="Times New Roman"/>
                <w:sz w:val="20"/>
                <w:szCs w:val="20"/>
              </w:rPr>
              <w:t>~16 mL CPT</w:t>
            </w:r>
          </w:p>
        </w:tc>
        <w:tc>
          <w:tcPr>
            <w:tcW w:w="1851" w:type="dxa"/>
          </w:tcPr>
          <w:p w14:paraId="1C818DD3" w14:textId="289E97FF"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4F9EF20" w14:textId="530BC091"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82FCB9F" w14:textId="3F446C0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AF69CDD" w14:textId="05B16DD7"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7B2C17E" w14:textId="5892262C" w:rsidR="032B93E0" w:rsidRDefault="032B93E0" w:rsidP="032B93E0">
            <w:pPr>
              <w:jc w:val="center"/>
              <w:rPr>
                <w:rFonts w:eastAsia="Times New Roman"/>
                <w:sz w:val="20"/>
                <w:szCs w:val="20"/>
              </w:rPr>
            </w:pPr>
            <w:r w:rsidRPr="032B93E0">
              <w:rPr>
                <w:rFonts w:eastAsia="Times New Roman"/>
                <w:sz w:val="20"/>
                <w:szCs w:val="20"/>
              </w:rPr>
              <w:t>X</w:t>
            </w:r>
          </w:p>
        </w:tc>
      </w:tr>
      <w:tr w:rsidR="032B93E0" w14:paraId="43846A62" w14:textId="77777777" w:rsidTr="004E2940">
        <w:tc>
          <w:tcPr>
            <w:tcW w:w="1851" w:type="dxa"/>
          </w:tcPr>
          <w:p w14:paraId="4C755A36" w14:textId="13FBA7C9" w:rsidR="032B93E0" w:rsidRDefault="032B93E0" w:rsidP="032B93E0">
            <w:pPr>
              <w:jc w:val="center"/>
              <w:rPr>
                <w:rFonts w:eastAsia="Times New Roman"/>
                <w:sz w:val="20"/>
                <w:szCs w:val="20"/>
              </w:rPr>
            </w:pPr>
            <w:r w:rsidRPr="032B93E0">
              <w:rPr>
                <w:rFonts w:eastAsia="Times New Roman"/>
                <w:sz w:val="20"/>
                <w:szCs w:val="20"/>
              </w:rPr>
              <w:t xml:space="preserve">7 (Day -77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5E2BCAA1" w14:textId="45E1E654"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5FF51FAF" w14:textId="1952D741"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4BE64DE9" w14:textId="0CD6F167"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42F6EC8" w14:textId="31396502"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5E74FCB" w14:textId="6D333F2C"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57E3F682" w14:textId="30C73B03"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1BB3B75D" w14:textId="77777777" w:rsidTr="004E2940">
        <w:tc>
          <w:tcPr>
            <w:tcW w:w="1851" w:type="dxa"/>
          </w:tcPr>
          <w:p w14:paraId="66CF145A" w14:textId="6D3EB893" w:rsidR="032B93E0" w:rsidRDefault="032B93E0" w:rsidP="032B93E0">
            <w:pPr>
              <w:jc w:val="center"/>
              <w:rPr>
                <w:rFonts w:eastAsia="Times New Roman"/>
                <w:sz w:val="20"/>
                <w:szCs w:val="20"/>
              </w:rPr>
            </w:pPr>
            <w:r w:rsidRPr="032B93E0">
              <w:rPr>
                <w:rFonts w:eastAsia="Times New Roman"/>
                <w:sz w:val="20"/>
                <w:szCs w:val="20"/>
              </w:rPr>
              <w:t xml:space="preserve">14 (Day -70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5673409E" w14:textId="65DFCCA9"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4D396B03" w14:textId="2183AEBC"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B1C1696" w14:textId="31D056B2"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5CEFE3D" w14:textId="0435D937"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787151C" w14:textId="2B551AF9"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2EF1EA5" w14:textId="7BA0AC16"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24F410FA" w14:textId="77777777" w:rsidTr="004E2940">
        <w:tc>
          <w:tcPr>
            <w:tcW w:w="1851" w:type="dxa"/>
          </w:tcPr>
          <w:p w14:paraId="46A39843" w14:textId="3588D70A" w:rsidR="032B93E0" w:rsidRDefault="032B93E0" w:rsidP="032B93E0">
            <w:pPr>
              <w:jc w:val="center"/>
              <w:rPr>
                <w:rFonts w:eastAsia="Times New Roman"/>
                <w:sz w:val="20"/>
                <w:szCs w:val="20"/>
              </w:rPr>
            </w:pPr>
            <w:r w:rsidRPr="032B93E0">
              <w:rPr>
                <w:rFonts w:eastAsia="Times New Roman"/>
                <w:sz w:val="20"/>
                <w:szCs w:val="20"/>
              </w:rPr>
              <w:t xml:space="preserve">21 (Day -63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36F657AD" w14:textId="05D14E23"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785B6900" w14:textId="699DEDD1"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6D5FC254" w14:textId="662525F9"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7EBCB025" w14:textId="456C3A6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1F1AB76" w14:textId="4798C185"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5FB4043C" w14:textId="66FC16C5"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6BD068A9" w14:textId="77777777" w:rsidTr="004E2940">
        <w:tc>
          <w:tcPr>
            <w:tcW w:w="1851" w:type="dxa"/>
          </w:tcPr>
          <w:p w14:paraId="480504AD" w14:textId="1DD8F555" w:rsidR="032B93E0" w:rsidRDefault="032B93E0" w:rsidP="032B93E0">
            <w:pPr>
              <w:jc w:val="center"/>
              <w:rPr>
                <w:rFonts w:eastAsia="Times New Roman"/>
                <w:sz w:val="20"/>
                <w:szCs w:val="20"/>
              </w:rPr>
            </w:pPr>
            <w:r w:rsidRPr="032B93E0">
              <w:rPr>
                <w:rFonts w:eastAsia="Times New Roman"/>
                <w:sz w:val="20"/>
                <w:szCs w:val="20"/>
              </w:rPr>
              <w:t xml:space="preserve">28 (Day -56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293CE277" w14:textId="2BF4BDD8"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74BB7974" w14:textId="4A1758DB"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65E608CA" w14:textId="32A76890"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A74178D" w14:textId="1CA8CCCB"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29B05402" w14:textId="137CADA9"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EF83A57" w14:textId="0FC14280"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187335AF" w14:textId="77777777" w:rsidTr="004E2940">
        <w:tc>
          <w:tcPr>
            <w:tcW w:w="1851" w:type="dxa"/>
          </w:tcPr>
          <w:p w14:paraId="2F95DC07" w14:textId="395EE8E1" w:rsidR="032B93E0" w:rsidRDefault="032B93E0" w:rsidP="032B93E0">
            <w:pPr>
              <w:jc w:val="center"/>
              <w:rPr>
                <w:rFonts w:eastAsia="Times New Roman"/>
                <w:sz w:val="20"/>
                <w:szCs w:val="20"/>
              </w:rPr>
            </w:pPr>
            <w:r w:rsidRPr="032B93E0">
              <w:rPr>
                <w:rFonts w:eastAsia="Times New Roman"/>
                <w:sz w:val="20"/>
                <w:szCs w:val="20"/>
              </w:rPr>
              <w:t xml:space="preserve">35 (Day -49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101CE82A" w14:textId="6D9EF8CB"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007C3791" w14:textId="1FC2776F"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2EA45493" w14:textId="7BD2D876"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D3CA7E8" w14:textId="4597AD28"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24B33D18" w14:textId="35D8D891"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4313311" w14:textId="7CCD750F"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2CDDACBF" w14:textId="77777777" w:rsidTr="004E2940">
        <w:tc>
          <w:tcPr>
            <w:tcW w:w="1851" w:type="dxa"/>
          </w:tcPr>
          <w:p w14:paraId="380B9EDF" w14:textId="6C537877" w:rsidR="032B93E0" w:rsidRDefault="032B93E0" w:rsidP="032B93E0">
            <w:pPr>
              <w:jc w:val="center"/>
              <w:rPr>
                <w:rFonts w:eastAsia="Times New Roman"/>
                <w:sz w:val="20"/>
                <w:szCs w:val="20"/>
              </w:rPr>
            </w:pPr>
            <w:r w:rsidRPr="032B93E0">
              <w:rPr>
                <w:rFonts w:eastAsia="Times New Roman"/>
                <w:sz w:val="20"/>
                <w:szCs w:val="20"/>
              </w:rPr>
              <w:t xml:space="preserve">42 (Day -42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7CCF40D2" w14:textId="6D0D678D"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73AE2AA3" w14:textId="33D20609"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3D3EC139" w14:textId="4001A82B"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1500C42" w14:textId="1494DAD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AA284B2" w14:textId="5D35DD8C"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CBC3CD0" w14:textId="3EB07E9B"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51E527CA" w14:textId="77777777" w:rsidTr="004E2940">
        <w:tc>
          <w:tcPr>
            <w:tcW w:w="1851" w:type="dxa"/>
          </w:tcPr>
          <w:p w14:paraId="0B7DA2B2" w14:textId="3C498195" w:rsidR="032B93E0" w:rsidRDefault="032B93E0" w:rsidP="032B93E0">
            <w:pPr>
              <w:jc w:val="center"/>
              <w:rPr>
                <w:rFonts w:eastAsia="Times New Roman"/>
                <w:sz w:val="20"/>
                <w:szCs w:val="20"/>
              </w:rPr>
            </w:pPr>
            <w:r w:rsidRPr="032B93E0">
              <w:rPr>
                <w:rFonts w:eastAsia="Times New Roman"/>
                <w:sz w:val="20"/>
                <w:szCs w:val="20"/>
              </w:rPr>
              <w:t xml:space="preserve">49 (Day -35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5052C1D6" w14:textId="46AFD278"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5A01DD41" w14:textId="185BBB13"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7D5BECA" w14:textId="22A8E2E4"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6EF6D53" w14:textId="60C22388"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9A2A3E2" w14:textId="43050478"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45C1649" w14:textId="3ED2E4B4"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02A8E300" w14:textId="77777777" w:rsidTr="004E2940">
        <w:tc>
          <w:tcPr>
            <w:tcW w:w="1851" w:type="dxa"/>
          </w:tcPr>
          <w:p w14:paraId="42C835B7" w14:textId="07AFF925" w:rsidR="032B93E0" w:rsidRDefault="032B93E0" w:rsidP="032B93E0">
            <w:pPr>
              <w:jc w:val="center"/>
              <w:rPr>
                <w:rFonts w:eastAsia="Times New Roman"/>
                <w:sz w:val="20"/>
                <w:szCs w:val="20"/>
              </w:rPr>
            </w:pPr>
            <w:r w:rsidRPr="032B93E0">
              <w:rPr>
                <w:rFonts w:eastAsia="Times New Roman"/>
                <w:sz w:val="20"/>
                <w:szCs w:val="20"/>
              </w:rPr>
              <w:t xml:space="preserve">56 (Day -28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2A51B773" w14:textId="58F275AA"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158342D4" w14:textId="28004AE9"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40230037" w14:textId="3B21E995"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5A88ABB2" w14:textId="04E1B862"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E80774E" w14:textId="05DF6BA1"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54D59DA" w14:textId="1BBB0F19"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0AD567B4" w14:textId="77777777" w:rsidTr="004E2940">
        <w:tc>
          <w:tcPr>
            <w:tcW w:w="1851" w:type="dxa"/>
          </w:tcPr>
          <w:p w14:paraId="1C4E4B12" w14:textId="077B9C18" w:rsidR="032B93E0" w:rsidRDefault="032B93E0" w:rsidP="032B93E0">
            <w:pPr>
              <w:jc w:val="center"/>
              <w:rPr>
                <w:rFonts w:eastAsia="Times New Roman"/>
                <w:sz w:val="20"/>
                <w:szCs w:val="20"/>
              </w:rPr>
            </w:pPr>
            <w:r w:rsidRPr="032B93E0">
              <w:rPr>
                <w:rFonts w:eastAsia="Times New Roman"/>
                <w:sz w:val="20"/>
                <w:szCs w:val="20"/>
              </w:rPr>
              <w:t xml:space="preserve">63 (Day -21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1A6369C9" w14:textId="6FF431E5"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06A744B9" w14:textId="7EC976E8"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4E93BDAB" w14:textId="7B736828"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5EA0675" w14:textId="633C2EC0"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96272E3" w14:textId="21F29902"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53C1B8C" w14:textId="78E03764"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562E2DBC" w14:textId="77777777" w:rsidTr="004E2940">
        <w:tc>
          <w:tcPr>
            <w:tcW w:w="1851" w:type="dxa"/>
          </w:tcPr>
          <w:p w14:paraId="50AE427F" w14:textId="6C5410E0" w:rsidR="032B93E0" w:rsidRDefault="032B93E0" w:rsidP="032B93E0">
            <w:pPr>
              <w:jc w:val="center"/>
              <w:rPr>
                <w:rFonts w:eastAsia="Times New Roman"/>
                <w:sz w:val="20"/>
                <w:szCs w:val="20"/>
              </w:rPr>
            </w:pPr>
            <w:r w:rsidRPr="032B93E0">
              <w:rPr>
                <w:rFonts w:eastAsia="Times New Roman"/>
                <w:sz w:val="20"/>
                <w:szCs w:val="20"/>
              </w:rPr>
              <w:t xml:space="preserve">70 (Day -14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22F6D79A" w14:textId="476BB667" w:rsidR="032B93E0" w:rsidRDefault="032B93E0" w:rsidP="032B93E0">
            <w:pPr>
              <w:jc w:val="center"/>
              <w:rPr>
                <w:rFonts w:eastAsia="Times New Roman"/>
                <w:sz w:val="20"/>
                <w:szCs w:val="20"/>
              </w:rPr>
            </w:pPr>
            <w:r w:rsidRPr="032B93E0">
              <w:rPr>
                <w:rFonts w:eastAsia="Times New Roman"/>
                <w:sz w:val="20"/>
                <w:szCs w:val="20"/>
              </w:rPr>
              <w:t>~6 mL SST</w:t>
            </w:r>
          </w:p>
          <w:p w14:paraId="5B35B862" w14:textId="2FED18EC" w:rsidR="032B93E0" w:rsidRDefault="032B93E0" w:rsidP="032B93E0">
            <w:pPr>
              <w:jc w:val="center"/>
              <w:rPr>
                <w:rFonts w:eastAsia="Times New Roman"/>
                <w:sz w:val="20"/>
                <w:szCs w:val="20"/>
              </w:rPr>
            </w:pPr>
            <w:r w:rsidRPr="032B93E0">
              <w:rPr>
                <w:rFonts w:eastAsia="Times New Roman"/>
                <w:sz w:val="20"/>
                <w:szCs w:val="20"/>
              </w:rPr>
              <w:t>~16 mL CPT</w:t>
            </w:r>
          </w:p>
        </w:tc>
        <w:tc>
          <w:tcPr>
            <w:tcW w:w="1851" w:type="dxa"/>
          </w:tcPr>
          <w:p w14:paraId="5FA2A657" w14:textId="7C1536BA"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799DF4F" w14:textId="5059BD78"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3D7E706" w14:textId="20D58AA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9F6689E" w14:textId="14EC59F1"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5A4C19FD" w14:textId="39B73D61" w:rsidR="032B93E0" w:rsidRDefault="032B93E0" w:rsidP="032B93E0">
            <w:pPr>
              <w:jc w:val="center"/>
              <w:rPr>
                <w:rFonts w:eastAsia="Times New Roman"/>
                <w:sz w:val="20"/>
                <w:szCs w:val="20"/>
              </w:rPr>
            </w:pPr>
            <w:r w:rsidRPr="032B93E0">
              <w:rPr>
                <w:rFonts w:eastAsia="Times New Roman"/>
                <w:sz w:val="20"/>
                <w:szCs w:val="20"/>
              </w:rPr>
              <w:t>X</w:t>
            </w:r>
          </w:p>
        </w:tc>
      </w:tr>
      <w:tr w:rsidR="032B93E0" w14:paraId="14353975" w14:textId="77777777" w:rsidTr="004E2940">
        <w:tc>
          <w:tcPr>
            <w:tcW w:w="1851" w:type="dxa"/>
          </w:tcPr>
          <w:p w14:paraId="4781F780" w14:textId="43D23EFC" w:rsidR="032B93E0" w:rsidRDefault="032B93E0" w:rsidP="032B93E0">
            <w:pPr>
              <w:jc w:val="center"/>
              <w:rPr>
                <w:rFonts w:eastAsia="Times New Roman"/>
                <w:sz w:val="20"/>
                <w:szCs w:val="20"/>
              </w:rPr>
            </w:pPr>
            <w:r w:rsidRPr="032B93E0">
              <w:rPr>
                <w:rFonts w:eastAsia="Times New Roman"/>
                <w:sz w:val="20"/>
                <w:szCs w:val="20"/>
              </w:rPr>
              <w:t xml:space="preserve">77 (Day -7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5FFA9F6C" w14:textId="7477D880"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02B02868" w14:textId="5F773011"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B948D43" w14:textId="0676F576"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2AA73B5B" w14:textId="7315F67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2D92755" w14:textId="7D915995"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7A9B1FDB" w14:textId="1886BF07"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5DA17627" w14:textId="77777777" w:rsidTr="004E2940">
        <w:tc>
          <w:tcPr>
            <w:tcW w:w="1851" w:type="dxa"/>
          </w:tcPr>
          <w:p w14:paraId="0B6254D3" w14:textId="48CBFD87" w:rsidR="032B93E0" w:rsidRDefault="032B93E0" w:rsidP="032B93E0">
            <w:pPr>
              <w:jc w:val="center"/>
              <w:rPr>
                <w:rFonts w:eastAsia="Times New Roman"/>
                <w:sz w:val="20"/>
                <w:szCs w:val="20"/>
              </w:rPr>
            </w:pPr>
            <w:r w:rsidRPr="032B93E0">
              <w:rPr>
                <w:rFonts w:eastAsia="Times New Roman"/>
                <w:sz w:val="20"/>
                <w:szCs w:val="20"/>
              </w:rPr>
              <w:t>*84 (Challenge)</w:t>
            </w:r>
          </w:p>
        </w:tc>
        <w:tc>
          <w:tcPr>
            <w:tcW w:w="1851" w:type="dxa"/>
          </w:tcPr>
          <w:p w14:paraId="24201AAA" w14:textId="348D2EC2"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4EC45EF7" w14:textId="0F3FEC8D"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3B999A3" w14:textId="5244F08D"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D8CCE8B" w14:textId="47D9B9B6"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3E1ECFE2" w14:textId="7669F2E3"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C5DEDC2" w14:textId="76EA1952"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54B6243A" w14:textId="77777777" w:rsidTr="004E2940">
        <w:tc>
          <w:tcPr>
            <w:tcW w:w="1851" w:type="dxa"/>
          </w:tcPr>
          <w:p w14:paraId="05B8D662" w14:textId="06D5D80F" w:rsidR="032B93E0" w:rsidRDefault="032B93E0" w:rsidP="032B93E0">
            <w:pPr>
              <w:jc w:val="center"/>
              <w:rPr>
                <w:rFonts w:eastAsia="Times New Roman"/>
                <w:sz w:val="20"/>
                <w:szCs w:val="20"/>
              </w:rPr>
            </w:pPr>
            <w:r w:rsidRPr="032B93E0">
              <w:rPr>
                <w:rFonts w:eastAsia="Times New Roman"/>
                <w:sz w:val="20"/>
                <w:szCs w:val="20"/>
              </w:rPr>
              <w:lastRenderedPageBreak/>
              <w:t>85 (Day 1 PC)</w:t>
            </w:r>
          </w:p>
        </w:tc>
        <w:tc>
          <w:tcPr>
            <w:tcW w:w="1851" w:type="dxa"/>
          </w:tcPr>
          <w:p w14:paraId="716242D1" w14:textId="56E9006B"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B2B8DC5" w14:textId="306AA6C0"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27239331" w14:textId="37388B19"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89B8276" w14:textId="6F123D90"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6432CDC1" w14:textId="6BB73844"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37724E0" w14:textId="48B2EE65"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2736775C" w14:textId="77777777" w:rsidTr="004E2940">
        <w:tc>
          <w:tcPr>
            <w:tcW w:w="1851" w:type="dxa"/>
          </w:tcPr>
          <w:p w14:paraId="78AB963D" w14:textId="1F036700" w:rsidR="032B93E0" w:rsidRDefault="032B93E0" w:rsidP="032B93E0">
            <w:pPr>
              <w:jc w:val="center"/>
              <w:rPr>
                <w:rFonts w:eastAsia="Times New Roman"/>
                <w:sz w:val="20"/>
                <w:szCs w:val="20"/>
              </w:rPr>
            </w:pPr>
            <w:r w:rsidRPr="032B93E0">
              <w:rPr>
                <w:rFonts w:eastAsia="Times New Roman"/>
                <w:sz w:val="20"/>
                <w:szCs w:val="20"/>
              </w:rPr>
              <w:t>86 (Day 2 PC)</w:t>
            </w:r>
          </w:p>
        </w:tc>
        <w:tc>
          <w:tcPr>
            <w:tcW w:w="1851" w:type="dxa"/>
          </w:tcPr>
          <w:p w14:paraId="79C71A97" w14:textId="3B21005C" w:rsidR="032B93E0" w:rsidRDefault="032B93E0" w:rsidP="032B93E0">
            <w:pPr>
              <w:jc w:val="center"/>
              <w:rPr>
                <w:rFonts w:eastAsia="Times New Roman"/>
                <w:sz w:val="20"/>
                <w:szCs w:val="20"/>
              </w:rPr>
            </w:pPr>
            <w:r w:rsidRPr="032B93E0">
              <w:rPr>
                <w:rFonts w:eastAsia="Times New Roman"/>
                <w:sz w:val="20"/>
                <w:szCs w:val="20"/>
              </w:rPr>
              <w:t>~</w:t>
            </w:r>
            <w:proofErr w:type="gramStart"/>
            <w:r w:rsidRPr="032B93E0">
              <w:rPr>
                <w:rFonts w:eastAsia="Times New Roman"/>
                <w:sz w:val="20"/>
                <w:szCs w:val="20"/>
              </w:rPr>
              <w:t>3  mL</w:t>
            </w:r>
            <w:proofErr w:type="gramEnd"/>
            <w:r w:rsidRPr="032B93E0">
              <w:rPr>
                <w:rFonts w:eastAsia="Times New Roman"/>
                <w:sz w:val="20"/>
                <w:szCs w:val="20"/>
              </w:rPr>
              <w:t xml:space="preserve"> SST</w:t>
            </w:r>
          </w:p>
        </w:tc>
        <w:tc>
          <w:tcPr>
            <w:tcW w:w="1851" w:type="dxa"/>
          </w:tcPr>
          <w:p w14:paraId="0EBA7EA4" w14:textId="16B300FE"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4BC8377C" w14:textId="6B1C40C9"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38027307" w14:textId="46317B36"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6081471" w14:textId="589C71A9"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FA6ED06" w14:textId="62CB7D56"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1BDBA1D1" w14:textId="77777777" w:rsidTr="004E2940">
        <w:tc>
          <w:tcPr>
            <w:tcW w:w="1851" w:type="dxa"/>
          </w:tcPr>
          <w:p w14:paraId="3A8A881A" w14:textId="50F48D3E" w:rsidR="032B93E0" w:rsidRDefault="032B93E0" w:rsidP="032B93E0">
            <w:pPr>
              <w:jc w:val="center"/>
              <w:rPr>
                <w:rFonts w:eastAsia="Times New Roman"/>
                <w:sz w:val="20"/>
                <w:szCs w:val="20"/>
              </w:rPr>
            </w:pPr>
            <w:r w:rsidRPr="032B93E0">
              <w:rPr>
                <w:rFonts w:eastAsia="Times New Roman"/>
                <w:sz w:val="20"/>
                <w:szCs w:val="20"/>
              </w:rPr>
              <w:t>87 (Day 3 PC)</w:t>
            </w:r>
          </w:p>
        </w:tc>
        <w:tc>
          <w:tcPr>
            <w:tcW w:w="1851" w:type="dxa"/>
          </w:tcPr>
          <w:p w14:paraId="0F1064E3" w14:textId="1BEA6265"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6E920E8" w14:textId="0ACBD6BD" w:rsidR="032B93E0" w:rsidRDefault="032B93E0"/>
        </w:tc>
        <w:tc>
          <w:tcPr>
            <w:tcW w:w="1851" w:type="dxa"/>
          </w:tcPr>
          <w:p w14:paraId="465230D5" w14:textId="5074BAE2"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D9B3E20" w14:textId="6AC89D97"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99390B0" w14:textId="4E577811"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5EBD6BAC" w14:textId="4BF8CB57"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1344A960" w14:textId="77777777" w:rsidTr="004E2940">
        <w:tc>
          <w:tcPr>
            <w:tcW w:w="1851" w:type="dxa"/>
          </w:tcPr>
          <w:p w14:paraId="36FF9306" w14:textId="08483F8F" w:rsidR="032B93E0" w:rsidRDefault="032B93E0" w:rsidP="032B93E0">
            <w:pPr>
              <w:jc w:val="center"/>
              <w:rPr>
                <w:rFonts w:eastAsia="Times New Roman"/>
                <w:sz w:val="20"/>
                <w:szCs w:val="20"/>
              </w:rPr>
            </w:pPr>
            <w:r w:rsidRPr="032B93E0">
              <w:rPr>
                <w:rFonts w:eastAsia="Times New Roman"/>
                <w:sz w:val="20"/>
                <w:szCs w:val="20"/>
              </w:rPr>
              <w:t>88 (Day 4 PC)</w:t>
            </w:r>
          </w:p>
        </w:tc>
        <w:tc>
          <w:tcPr>
            <w:tcW w:w="1851" w:type="dxa"/>
          </w:tcPr>
          <w:p w14:paraId="19784CED" w14:textId="32349EAA" w:rsidR="032B93E0" w:rsidRDefault="032B93E0" w:rsidP="032B93E0">
            <w:pPr>
              <w:jc w:val="center"/>
              <w:rPr>
                <w:rFonts w:eastAsia="Times New Roman"/>
                <w:sz w:val="20"/>
                <w:szCs w:val="20"/>
              </w:rPr>
            </w:pPr>
            <w:r w:rsidRPr="032B93E0">
              <w:rPr>
                <w:rFonts w:eastAsia="Times New Roman"/>
                <w:sz w:val="20"/>
                <w:szCs w:val="20"/>
              </w:rPr>
              <w:t>~</w:t>
            </w:r>
            <w:proofErr w:type="gramStart"/>
            <w:r w:rsidRPr="032B93E0">
              <w:rPr>
                <w:rFonts w:eastAsia="Times New Roman"/>
                <w:sz w:val="20"/>
                <w:szCs w:val="20"/>
              </w:rPr>
              <w:t>3  mL</w:t>
            </w:r>
            <w:proofErr w:type="gramEnd"/>
            <w:r w:rsidRPr="032B93E0">
              <w:rPr>
                <w:rFonts w:eastAsia="Times New Roman"/>
                <w:sz w:val="20"/>
                <w:szCs w:val="20"/>
              </w:rPr>
              <w:t xml:space="preserve"> SST</w:t>
            </w:r>
          </w:p>
        </w:tc>
        <w:tc>
          <w:tcPr>
            <w:tcW w:w="1851" w:type="dxa"/>
          </w:tcPr>
          <w:p w14:paraId="007CB19E" w14:textId="3B6C4A79"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FA0BF41" w14:textId="7D1BAD32"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615810B" w14:textId="5EDFEFC9"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E4952EC" w14:textId="631B28D6"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BDA2678" w14:textId="69AC407D"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070E8220" w14:textId="77777777" w:rsidTr="004E2940">
        <w:tc>
          <w:tcPr>
            <w:tcW w:w="1851" w:type="dxa"/>
          </w:tcPr>
          <w:p w14:paraId="75CFD0D5" w14:textId="25DFB003" w:rsidR="032B93E0" w:rsidRDefault="032B93E0" w:rsidP="032B93E0">
            <w:pPr>
              <w:jc w:val="center"/>
              <w:rPr>
                <w:rFonts w:eastAsia="Times New Roman"/>
                <w:sz w:val="20"/>
                <w:szCs w:val="20"/>
              </w:rPr>
            </w:pPr>
            <w:r w:rsidRPr="032B93E0">
              <w:rPr>
                <w:rFonts w:eastAsia="Times New Roman"/>
                <w:sz w:val="20"/>
                <w:szCs w:val="20"/>
              </w:rPr>
              <w:t>89 (Day 5 PC)</w:t>
            </w:r>
          </w:p>
        </w:tc>
        <w:tc>
          <w:tcPr>
            <w:tcW w:w="1851" w:type="dxa"/>
          </w:tcPr>
          <w:p w14:paraId="17B11714" w14:textId="50B53D0B"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5F05CB9F" w14:textId="173E7413"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8319417" w14:textId="12EBBD68"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9B3EE6A" w14:textId="101ADC8B"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689DF5BC" w14:textId="1579A222"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2C80A86" w14:textId="7D95AE1A"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2FA2A778" w14:textId="77777777" w:rsidTr="004E2940">
        <w:tc>
          <w:tcPr>
            <w:tcW w:w="1851" w:type="dxa"/>
          </w:tcPr>
          <w:p w14:paraId="0956280F" w14:textId="32576AD9" w:rsidR="032B93E0" w:rsidRDefault="032B93E0" w:rsidP="032B93E0">
            <w:pPr>
              <w:jc w:val="center"/>
              <w:rPr>
                <w:rFonts w:eastAsia="Times New Roman"/>
                <w:sz w:val="20"/>
                <w:szCs w:val="20"/>
              </w:rPr>
            </w:pPr>
            <w:r w:rsidRPr="032B93E0">
              <w:rPr>
                <w:rFonts w:eastAsia="Times New Roman"/>
                <w:sz w:val="20"/>
                <w:szCs w:val="20"/>
              </w:rPr>
              <w:t>90 (Day 6 PC)</w:t>
            </w:r>
          </w:p>
        </w:tc>
        <w:tc>
          <w:tcPr>
            <w:tcW w:w="1851" w:type="dxa"/>
          </w:tcPr>
          <w:p w14:paraId="0AA969F5" w14:textId="332A344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2A907D2B" w14:textId="5AC31A19"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3F88463" w14:textId="25ADC9E1"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D2CE057" w14:textId="30FAB67C"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57BC108B" w14:textId="0B7873C8"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79036AD" w14:textId="29C3B1A3"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01650054" w14:textId="77777777" w:rsidTr="004E2940">
        <w:tc>
          <w:tcPr>
            <w:tcW w:w="1851" w:type="dxa"/>
          </w:tcPr>
          <w:p w14:paraId="190296D9" w14:textId="3D8ABEB5" w:rsidR="032B93E0" w:rsidRDefault="032B93E0" w:rsidP="032B93E0">
            <w:pPr>
              <w:jc w:val="center"/>
              <w:rPr>
                <w:rFonts w:eastAsia="Times New Roman"/>
                <w:sz w:val="20"/>
                <w:szCs w:val="20"/>
              </w:rPr>
            </w:pPr>
            <w:r w:rsidRPr="032B93E0">
              <w:rPr>
                <w:rFonts w:eastAsia="Times New Roman"/>
                <w:sz w:val="20"/>
                <w:szCs w:val="20"/>
              </w:rPr>
              <w:t>91 (Day 7 PC)</w:t>
            </w:r>
          </w:p>
        </w:tc>
        <w:tc>
          <w:tcPr>
            <w:tcW w:w="1851" w:type="dxa"/>
          </w:tcPr>
          <w:p w14:paraId="688197EE" w14:textId="2DF330AB" w:rsidR="032B93E0" w:rsidRDefault="032B93E0" w:rsidP="032B93E0">
            <w:pPr>
              <w:jc w:val="center"/>
              <w:rPr>
                <w:rFonts w:eastAsia="Times New Roman"/>
                <w:sz w:val="20"/>
                <w:szCs w:val="20"/>
              </w:rPr>
            </w:pPr>
            <w:r w:rsidRPr="032B93E0">
              <w:rPr>
                <w:rFonts w:eastAsia="Times New Roman"/>
                <w:sz w:val="20"/>
                <w:szCs w:val="20"/>
              </w:rPr>
              <w:t>~3 mL SST</w:t>
            </w:r>
          </w:p>
        </w:tc>
        <w:tc>
          <w:tcPr>
            <w:tcW w:w="1851" w:type="dxa"/>
          </w:tcPr>
          <w:p w14:paraId="696D66FE" w14:textId="7312F6C3"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6F416EF7" w14:textId="7DE6E1DD"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820FE0D" w14:textId="19285883"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4186F048" w14:textId="2FE1524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CC0D350" w14:textId="7F11E5A9"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4AAFF6C9" w14:textId="77777777" w:rsidTr="004E2940">
        <w:tc>
          <w:tcPr>
            <w:tcW w:w="1851" w:type="dxa"/>
          </w:tcPr>
          <w:p w14:paraId="2819D7C5" w14:textId="43069A94" w:rsidR="032B93E0" w:rsidRDefault="032B93E0" w:rsidP="032B93E0">
            <w:pPr>
              <w:jc w:val="center"/>
              <w:rPr>
                <w:rFonts w:eastAsia="Times New Roman"/>
                <w:sz w:val="20"/>
                <w:szCs w:val="20"/>
              </w:rPr>
            </w:pPr>
            <w:r w:rsidRPr="032B93E0">
              <w:rPr>
                <w:rFonts w:eastAsia="Times New Roman"/>
                <w:sz w:val="20"/>
                <w:szCs w:val="20"/>
              </w:rPr>
              <w:t xml:space="preserve">93 (Day 9 PC) </w:t>
            </w:r>
          </w:p>
        </w:tc>
        <w:tc>
          <w:tcPr>
            <w:tcW w:w="1851" w:type="dxa"/>
          </w:tcPr>
          <w:p w14:paraId="62CC972E" w14:textId="659ED295" w:rsidR="032B93E0" w:rsidRDefault="032B93E0" w:rsidP="032B93E0">
            <w:pPr>
              <w:jc w:val="center"/>
              <w:rPr>
                <w:rFonts w:eastAsia="Times New Roman"/>
                <w:sz w:val="20"/>
                <w:szCs w:val="20"/>
              </w:rPr>
            </w:pPr>
            <w:r w:rsidRPr="032B93E0">
              <w:rPr>
                <w:rFonts w:eastAsia="Times New Roman"/>
                <w:sz w:val="20"/>
                <w:szCs w:val="20"/>
              </w:rPr>
              <w:t>~3 mL SST</w:t>
            </w:r>
          </w:p>
        </w:tc>
        <w:tc>
          <w:tcPr>
            <w:tcW w:w="1851" w:type="dxa"/>
          </w:tcPr>
          <w:p w14:paraId="1FA9B8DB" w14:textId="3A3CAC73"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59306293" w14:textId="264A602E"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42F031C2" w14:textId="6100BC61"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6501BEA3" w14:textId="2E2F0441"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2FE2C607" w14:textId="3B4594F2"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75D2617C" w14:textId="77777777" w:rsidTr="004E2940">
        <w:tc>
          <w:tcPr>
            <w:tcW w:w="1851" w:type="dxa"/>
          </w:tcPr>
          <w:p w14:paraId="3C367612" w14:textId="5DAA265D"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98 (Day 14 PC)</w:t>
            </w:r>
          </w:p>
        </w:tc>
        <w:tc>
          <w:tcPr>
            <w:tcW w:w="1851" w:type="dxa"/>
          </w:tcPr>
          <w:p w14:paraId="034D70CE" w14:textId="10E06B08"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w:t>
            </w:r>
            <w:proofErr w:type="gramStart"/>
            <w:r w:rsidR="004852DF" w:rsidRPr="00B6630D">
              <w:rPr>
                <w:rFonts w:eastAsia="Times New Roman"/>
                <w:sz w:val="20"/>
                <w:szCs w:val="20"/>
              </w:rPr>
              <w:t xml:space="preserve">40  </w:t>
            </w:r>
            <w:r w:rsidRPr="00B6630D">
              <w:rPr>
                <w:rFonts w:eastAsia="Times New Roman"/>
                <w:sz w:val="20"/>
                <w:szCs w:val="20"/>
              </w:rPr>
              <w:t>mL</w:t>
            </w:r>
            <w:proofErr w:type="gramEnd"/>
            <w:r w:rsidRPr="00B6630D">
              <w:rPr>
                <w:rFonts w:eastAsia="Times New Roman"/>
                <w:sz w:val="20"/>
                <w:szCs w:val="20"/>
              </w:rPr>
              <w:t xml:space="preserve"> SST</w:t>
            </w:r>
          </w:p>
        </w:tc>
        <w:tc>
          <w:tcPr>
            <w:tcW w:w="1851" w:type="dxa"/>
          </w:tcPr>
          <w:p w14:paraId="63659F1F" w14:textId="140903FD"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X</w:t>
            </w:r>
          </w:p>
        </w:tc>
        <w:tc>
          <w:tcPr>
            <w:tcW w:w="1851" w:type="dxa"/>
          </w:tcPr>
          <w:p w14:paraId="5F8861CA" w14:textId="26624CDA"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 xml:space="preserve"> </w:t>
            </w:r>
          </w:p>
        </w:tc>
        <w:tc>
          <w:tcPr>
            <w:tcW w:w="1851" w:type="dxa"/>
          </w:tcPr>
          <w:p w14:paraId="25915EFB" w14:textId="2EBA9AF4"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X</w:t>
            </w:r>
          </w:p>
        </w:tc>
        <w:tc>
          <w:tcPr>
            <w:tcW w:w="1851" w:type="dxa"/>
          </w:tcPr>
          <w:p w14:paraId="5B9BE0A0" w14:textId="40ACD674"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 xml:space="preserve"> </w:t>
            </w:r>
          </w:p>
        </w:tc>
        <w:tc>
          <w:tcPr>
            <w:tcW w:w="1851" w:type="dxa"/>
          </w:tcPr>
          <w:p w14:paraId="2D84097C" w14:textId="3028D863" w:rsidR="032B93E0" w:rsidRPr="00B6630D" w:rsidRDefault="032B93E0" w:rsidP="004E2940">
            <w:pPr>
              <w:spacing w:line="240" w:lineRule="auto"/>
              <w:jc w:val="center"/>
              <w:rPr>
                <w:rFonts w:eastAsia="Times New Roman"/>
                <w:sz w:val="20"/>
                <w:szCs w:val="20"/>
              </w:rPr>
            </w:pPr>
          </w:p>
        </w:tc>
      </w:tr>
    </w:tbl>
    <w:p w14:paraId="353DD277" w14:textId="65501A23" w:rsidR="5D9FD22E" w:rsidRPr="004E2940" w:rsidRDefault="5D9FD22E" w:rsidP="004E2940">
      <w:pPr>
        <w:spacing w:after="120" w:line="240" w:lineRule="auto"/>
        <w:rPr>
          <w:rFonts w:eastAsia="Times New Roman"/>
          <w:sz w:val="16"/>
          <w:szCs w:val="16"/>
        </w:rPr>
      </w:pPr>
      <w:r w:rsidRPr="004E2940">
        <w:rPr>
          <w:rFonts w:eastAsia="Times New Roman"/>
          <w:sz w:val="16"/>
          <w:szCs w:val="16"/>
        </w:rPr>
        <w:t xml:space="preserve">BAL = Bronchoalveolar Lavage </w:t>
      </w:r>
    </w:p>
    <w:p w14:paraId="29C0D8D4" w14:textId="7B804D4D" w:rsidR="5D9FD22E" w:rsidRPr="004E2940" w:rsidRDefault="5D9FD22E" w:rsidP="004E2940">
      <w:pPr>
        <w:spacing w:after="120" w:line="240" w:lineRule="auto"/>
        <w:rPr>
          <w:rFonts w:eastAsia="Times New Roman"/>
          <w:sz w:val="16"/>
          <w:szCs w:val="16"/>
        </w:rPr>
      </w:pPr>
      <w:r w:rsidRPr="004E2940">
        <w:rPr>
          <w:rFonts w:eastAsia="Times New Roman"/>
          <w:sz w:val="16"/>
          <w:szCs w:val="16"/>
        </w:rPr>
        <w:t>CPT = Cell Preparation Tubes</w:t>
      </w:r>
    </w:p>
    <w:p w14:paraId="54057424" w14:textId="55E21539" w:rsidR="5D9FD22E" w:rsidRPr="004E2940" w:rsidRDefault="5D9FD22E" w:rsidP="004E2940">
      <w:pPr>
        <w:spacing w:after="120" w:line="240" w:lineRule="auto"/>
        <w:rPr>
          <w:rFonts w:eastAsia="Times New Roman"/>
          <w:sz w:val="16"/>
          <w:szCs w:val="16"/>
        </w:rPr>
      </w:pPr>
      <w:r w:rsidRPr="004E2940">
        <w:rPr>
          <w:rFonts w:eastAsia="Times New Roman"/>
          <w:sz w:val="16"/>
          <w:szCs w:val="16"/>
        </w:rPr>
        <w:t>MN = Microneutralization</w:t>
      </w:r>
    </w:p>
    <w:p w14:paraId="457DA029" w14:textId="16E923B8" w:rsidR="5D9FD22E" w:rsidRPr="004E2940" w:rsidRDefault="5D9FD22E" w:rsidP="004E2940">
      <w:pPr>
        <w:spacing w:after="120" w:line="240" w:lineRule="auto"/>
        <w:rPr>
          <w:rFonts w:eastAsia="Times New Roman"/>
          <w:sz w:val="16"/>
          <w:szCs w:val="16"/>
        </w:rPr>
      </w:pPr>
      <w:r w:rsidRPr="004E2940">
        <w:rPr>
          <w:rFonts w:eastAsia="Times New Roman"/>
          <w:sz w:val="16"/>
          <w:szCs w:val="16"/>
        </w:rPr>
        <w:t>MSD-ECLIA = Meso Scale Discovery Electrochemiluminescence Immunoassay</w:t>
      </w:r>
    </w:p>
    <w:p w14:paraId="45241309" w14:textId="1214D1B7" w:rsidR="5D9FD22E" w:rsidRPr="004E2940" w:rsidRDefault="5D9FD22E" w:rsidP="004E2940">
      <w:pPr>
        <w:spacing w:after="120" w:line="240" w:lineRule="auto"/>
        <w:rPr>
          <w:rFonts w:eastAsia="Times New Roman"/>
          <w:sz w:val="16"/>
          <w:szCs w:val="16"/>
        </w:rPr>
      </w:pPr>
      <w:r w:rsidRPr="004E2940">
        <w:rPr>
          <w:rFonts w:eastAsia="Times New Roman"/>
          <w:sz w:val="16"/>
          <w:szCs w:val="16"/>
        </w:rPr>
        <w:t>PC = Post-challenge</w:t>
      </w:r>
    </w:p>
    <w:p w14:paraId="0281130B" w14:textId="26C28CE1" w:rsidR="5D9FD22E" w:rsidRPr="004E2940" w:rsidRDefault="5D9FD22E" w:rsidP="004E2940">
      <w:pPr>
        <w:spacing w:after="120" w:line="240" w:lineRule="auto"/>
        <w:rPr>
          <w:rFonts w:eastAsia="Times New Roman"/>
          <w:sz w:val="16"/>
          <w:szCs w:val="16"/>
        </w:rPr>
      </w:pPr>
      <w:r w:rsidRPr="004E2940">
        <w:rPr>
          <w:rFonts w:eastAsia="Times New Roman"/>
          <w:sz w:val="16"/>
          <w:szCs w:val="16"/>
        </w:rPr>
        <w:t>PBMC = peripheral blood mononuclear cells</w:t>
      </w:r>
    </w:p>
    <w:p w14:paraId="7A75A94D" w14:textId="78E3F380" w:rsidR="5D9FD22E" w:rsidRPr="004E2940" w:rsidRDefault="5D9FD22E" w:rsidP="004E2940">
      <w:pPr>
        <w:spacing w:after="120" w:line="240" w:lineRule="auto"/>
        <w:rPr>
          <w:rFonts w:eastAsia="Times New Roman"/>
          <w:sz w:val="16"/>
          <w:szCs w:val="16"/>
        </w:rPr>
      </w:pPr>
      <w:proofErr w:type="spellStart"/>
      <w:r w:rsidRPr="004E2940">
        <w:rPr>
          <w:rFonts w:eastAsia="Times New Roman"/>
          <w:sz w:val="16"/>
          <w:szCs w:val="16"/>
        </w:rPr>
        <w:t>PreC</w:t>
      </w:r>
      <w:proofErr w:type="spellEnd"/>
      <w:r w:rsidRPr="004E2940">
        <w:rPr>
          <w:rFonts w:eastAsia="Times New Roman"/>
          <w:sz w:val="16"/>
          <w:szCs w:val="16"/>
        </w:rPr>
        <w:t xml:space="preserve"> = Pre-challenge</w:t>
      </w:r>
    </w:p>
    <w:p w14:paraId="2EAA7598" w14:textId="7A179097" w:rsidR="5D9FD22E" w:rsidRPr="004E2940" w:rsidRDefault="5D9FD22E" w:rsidP="004E2940">
      <w:pPr>
        <w:spacing w:after="120" w:line="240" w:lineRule="auto"/>
        <w:rPr>
          <w:rFonts w:eastAsia="Times New Roman"/>
          <w:sz w:val="16"/>
          <w:szCs w:val="16"/>
        </w:rPr>
      </w:pPr>
      <w:proofErr w:type="spellStart"/>
      <w:r w:rsidRPr="004E2940">
        <w:rPr>
          <w:rFonts w:eastAsia="Times New Roman"/>
          <w:sz w:val="16"/>
          <w:szCs w:val="16"/>
        </w:rPr>
        <w:t>PsVNA</w:t>
      </w:r>
      <w:proofErr w:type="spellEnd"/>
      <w:r w:rsidRPr="004E2940">
        <w:rPr>
          <w:rFonts w:eastAsia="Times New Roman"/>
          <w:sz w:val="16"/>
          <w:szCs w:val="16"/>
        </w:rPr>
        <w:t xml:space="preserve"> = </w:t>
      </w:r>
      <w:proofErr w:type="spellStart"/>
      <w:r w:rsidRPr="004E2940">
        <w:rPr>
          <w:rFonts w:eastAsia="Times New Roman"/>
          <w:sz w:val="16"/>
          <w:szCs w:val="16"/>
        </w:rPr>
        <w:t>Pseudovirus</w:t>
      </w:r>
      <w:proofErr w:type="spellEnd"/>
      <w:r w:rsidRPr="004E2940">
        <w:rPr>
          <w:rFonts w:eastAsia="Times New Roman"/>
          <w:sz w:val="16"/>
          <w:szCs w:val="16"/>
        </w:rPr>
        <w:t xml:space="preserve"> Neutralization Assay</w:t>
      </w:r>
    </w:p>
    <w:p w14:paraId="14953553" w14:textId="16C8D0A6" w:rsidR="5D9FD22E" w:rsidRPr="004E2940" w:rsidRDefault="5D9FD22E" w:rsidP="004E2940">
      <w:pPr>
        <w:spacing w:after="120" w:line="240" w:lineRule="auto"/>
        <w:rPr>
          <w:rFonts w:eastAsia="Times New Roman"/>
          <w:sz w:val="16"/>
          <w:szCs w:val="16"/>
        </w:rPr>
      </w:pPr>
      <w:r w:rsidRPr="004E2940">
        <w:rPr>
          <w:rFonts w:eastAsia="Times New Roman"/>
          <w:sz w:val="16"/>
          <w:szCs w:val="16"/>
        </w:rPr>
        <w:t xml:space="preserve">SST = Serum separator tube </w:t>
      </w:r>
    </w:p>
    <w:p w14:paraId="46225F85" w14:textId="341F379F" w:rsidR="5D9FD22E" w:rsidRPr="004E2940" w:rsidRDefault="5D9FD22E" w:rsidP="004E2940">
      <w:pPr>
        <w:spacing w:after="120" w:line="240" w:lineRule="auto"/>
        <w:rPr>
          <w:rFonts w:eastAsia="Times New Roman"/>
          <w:sz w:val="16"/>
          <w:szCs w:val="16"/>
        </w:rPr>
      </w:pPr>
      <w:r w:rsidRPr="004E2940">
        <w:rPr>
          <w:rFonts w:eastAsia="Times New Roman"/>
          <w:sz w:val="16"/>
          <w:szCs w:val="16"/>
        </w:rPr>
        <w:t>^ System Serology only performed on pre-challenge samples</w:t>
      </w:r>
    </w:p>
    <w:p w14:paraId="409B12DB" w14:textId="444EDD29" w:rsidR="5D9FD22E" w:rsidRPr="004E2940" w:rsidRDefault="5D9FD22E" w:rsidP="004E2940">
      <w:pPr>
        <w:spacing w:after="120" w:line="240" w:lineRule="auto"/>
        <w:jc w:val="both"/>
        <w:rPr>
          <w:rFonts w:eastAsia="Times New Roman"/>
          <w:sz w:val="16"/>
          <w:szCs w:val="16"/>
        </w:rPr>
      </w:pPr>
      <w:r w:rsidRPr="004E2940">
        <w:rPr>
          <w:rFonts w:eastAsia="Times New Roman"/>
          <w:sz w:val="16"/>
          <w:szCs w:val="16"/>
        </w:rPr>
        <w:t>*Collected before challenge</w:t>
      </w:r>
    </w:p>
    <w:p w14:paraId="732F2911" w14:textId="6B612A1D" w:rsidR="1DC7B1E2" w:rsidRDefault="1DC7B1E2">
      <w:r>
        <w:br w:type="page"/>
      </w:r>
    </w:p>
    <w:p w14:paraId="7DA6102F" w14:textId="7D4FB657" w:rsidR="032B93E0" w:rsidRPr="004E2940" w:rsidRDefault="032B93E0" w:rsidP="004E2940">
      <w:pPr>
        <w:spacing w:line="240" w:lineRule="auto"/>
        <w:rPr>
          <w:sz w:val="16"/>
          <w:szCs w:val="16"/>
        </w:rPr>
      </w:pPr>
    </w:p>
    <w:p w14:paraId="4F3A3E51" w14:textId="0531901D" w:rsidR="42CC299D" w:rsidRDefault="42CC299D" w:rsidP="032B93E0">
      <w:pPr>
        <w:spacing w:after="0" w:line="240" w:lineRule="auto"/>
        <w:rPr>
          <w:b/>
          <w:bCs/>
        </w:rPr>
      </w:pPr>
      <w:r w:rsidRPr="032B93E0">
        <w:rPr>
          <w:b/>
          <w:bCs/>
        </w:rPr>
        <w:t>Table 7. Sample Collection Schedule</w:t>
      </w:r>
      <w:r w:rsidR="2AF22768" w:rsidRPr="032B93E0">
        <w:rPr>
          <w:b/>
          <w:bCs/>
        </w:rPr>
        <w:t xml:space="preserve"> for Animals in Groups 3A, 3B, 3C, 3D and 3E</w:t>
      </w:r>
      <w:r w:rsidRPr="032B93E0">
        <w:rPr>
          <w:b/>
          <w:bCs/>
        </w:rPr>
        <w:t xml:space="preserve"> (</w:t>
      </w:r>
      <w:proofErr w:type="gramStart"/>
      <w:r w:rsidRPr="032B93E0">
        <w:rPr>
          <w:b/>
          <w:bCs/>
        </w:rPr>
        <w:t>Novavax )</w:t>
      </w:r>
      <w:proofErr w:type="gramEnd"/>
    </w:p>
    <w:tbl>
      <w:tblPr>
        <w:tblStyle w:val="TableGrid1"/>
        <w:tblW w:w="0" w:type="auto"/>
        <w:tblLayout w:type="fixed"/>
        <w:tblLook w:val="04A0" w:firstRow="1" w:lastRow="0" w:firstColumn="1" w:lastColumn="0" w:noHBand="0" w:noVBand="1"/>
      </w:tblPr>
      <w:tblGrid>
        <w:gridCol w:w="1851"/>
        <w:gridCol w:w="1851"/>
        <w:gridCol w:w="1851"/>
        <w:gridCol w:w="1851"/>
        <w:gridCol w:w="1851"/>
        <w:gridCol w:w="1851"/>
        <w:gridCol w:w="1851"/>
      </w:tblGrid>
      <w:tr w:rsidR="032B93E0" w14:paraId="5066D498" w14:textId="77777777" w:rsidTr="032B93E0">
        <w:tc>
          <w:tcPr>
            <w:tcW w:w="1851" w:type="dxa"/>
          </w:tcPr>
          <w:p w14:paraId="78CE92D2" w14:textId="1AA722AD" w:rsidR="032B93E0" w:rsidRDefault="032B93E0" w:rsidP="032B93E0">
            <w:pPr>
              <w:jc w:val="center"/>
              <w:rPr>
                <w:rFonts w:eastAsia="Times New Roman"/>
                <w:b/>
                <w:bCs/>
                <w:sz w:val="20"/>
                <w:szCs w:val="20"/>
              </w:rPr>
            </w:pPr>
            <w:r w:rsidRPr="032B93E0">
              <w:rPr>
                <w:rFonts w:eastAsia="Times New Roman"/>
                <w:b/>
                <w:bCs/>
                <w:sz w:val="20"/>
                <w:szCs w:val="20"/>
              </w:rPr>
              <w:t>Study Day (Relative to Challenge)</w:t>
            </w:r>
          </w:p>
        </w:tc>
        <w:tc>
          <w:tcPr>
            <w:tcW w:w="1851" w:type="dxa"/>
          </w:tcPr>
          <w:p w14:paraId="00BE1CEC" w14:textId="02F169EB"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Blood Collection Volume/ </w:t>
            </w:r>
          </w:p>
          <w:p w14:paraId="76764160" w14:textId="3B7824CD"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Blood Tube</w:t>
            </w:r>
          </w:p>
        </w:tc>
        <w:tc>
          <w:tcPr>
            <w:tcW w:w="1851" w:type="dxa"/>
          </w:tcPr>
          <w:p w14:paraId="26CAB174" w14:textId="47122628"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Sera for MNA, MSD-ECLIA, </w:t>
            </w:r>
            <w:proofErr w:type="spellStart"/>
            <w:r w:rsidRPr="032B93E0">
              <w:rPr>
                <w:rFonts w:eastAsia="Times New Roman"/>
                <w:b/>
                <w:bCs/>
                <w:color w:val="000000" w:themeColor="text1"/>
                <w:sz w:val="20"/>
                <w:szCs w:val="20"/>
              </w:rPr>
              <w:t>PsVNA</w:t>
            </w:r>
            <w:proofErr w:type="spellEnd"/>
            <w:r w:rsidRPr="032B93E0">
              <w:rPr>
                <w:rFonts w:eastAsia="Times New Roman"/>
                <w:b/>
                <w:bCs/>
                <w:color w:val="000000" w:themeColor="text1"/>
                <w:sz w:val="20"/>
                <w:szCs w:val="20"/>
              </w:rPr>
              <w:t>, ^Systems Serology, Retentions</w:t>
            </w:r>
          </w:p>
        </w:tc>
        <w:tc>
          <w:tcPr>
            <w:tcW w:w="1851" w:type="dxa"/>
          </w:tcPr>
          <w:p w14:paraId="3519F8BA" w14:textId="062B7E24" w:rsidR="032B93E0" w:rsidRDefault="032B93E0" w:rsidP="032B93E0">
            <w:pPr>
              <w:jc w:val="center"/>
              <w:rPr>
                <w:rFonts w:eastAsia="Times New Roman"/>
                <w:b/>
                <w:bCs/>
                <w:sz w:val="20"/>
                <w:szCs w:val="20"/>
              </w:rPr>
            </w:pPr>
            <w:r w:rsidRPr="032B93E0">
              <w:rPr>
                <w:rFonts w:eastAsia="Times New Roman"/>
                <w:b/>
                <w:bCs/>
                <w:sz w:val="20"/>
                <w:szCs w:val="20"/>
              </w:rPr>
              <w:t xml:space="preserve"> </w:t>
            </w:r>
          </w:p>
          <w:p w14:paraId="3AD66A95" w14:textId="77A510FC"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BAL Collection</w:t>
            </w:r>
          </w:p>
        </w:tc>
        <w:tc>
          <w:tcPr>
            <w:tcW w:w="1851" w:type="dxa"/>
          </w:tcPr>
          <w:p w14:paraId="6904F10E" w14:textId="2AC44457"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Nasal / </w:t>
            </w:r>
            <w:proofErr w:type="gramStart"/>
            <w:r w:rsidRPr="032B93E0">
              <w:rPr>
                <w:rFonts w:eastAsia="Times New Roman"/>
                <w:b/>
                <w:bCs/>
                <w:color w:val="000000" w:themeColor="text1"/>
                <w:sz w:val="20"/>
                <w:szCs w:val="20"/>
              </w:rPr>
              <w:t>Oropharyngeal  Swabs</w:t>
            </w:r>
            <w:proofErr w:type="gramEnd"/>
          </w:p>
        </w:tc>
        <w:tc>
          <w:tcPr>
            <w:tcW w:w="1851" w:type="dxa"/>
          </w:tcPr>
          <w:p w14:paraId="13BB4955" w14:textId="082714EB"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Nasal Wash</w:t>
            </w:r>
          </w:p>
        </w:tc>
        <w:tc>
          <w:tcPr>
            <w:tcW w:w="1851" w:type="dxa"/>
          </w:tcPr>
          <w:p w14:paraId="215B0400" w14:textId="54D32B5C"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PBMC</w:t>
            </w:r>
          </w:p>
        </w:tc>
      </w:tr>
      <w:tr w:rsidR="032B93E0" w14:paraId="58461DDC" w14:textId="77777777" w:rsidTr="032B93E0">
        <w:tc>
          <w:tcPr>
            <w:tcW w:w="1851" w:type="dxa"/>
          </w:tcPr>
          <w:p w14:paraId="5C4FDF8C" w14:textId="68274966" w:rsidR="032B93E0" w:rsidRDefault="032B93E0" w:rsidP="032B93E0">
            <w:pPr>
              <w:jc w:val="center"/>
              <w:rPr>
                <w:rFonts w:eastAsia="Times New Roman"/>
                <w:sz w:val="20"/>
                <w:szCs w:val="20"/>
              </w:rPr>
            </w:pPr>
            <w:r w:rsidRPr="032B93E0">
              <w:rPr>
                <w:rFonts w:eastAsia="Times New Roman"/>
                <w:sz w:val="20"/>
                <w:szCs w:val="20"/>
              </w:rPr>
              <w:t>Prior to Vaccination</w:t>
            </w:r>
          </w:p>
        </w:tc>
        <w:tc>
          <w:tcPr>
            <w:tcW w:w="1851" w:type="dxa"/>
          </w:tcPr>
          <w:p w14:paraId="3FA4DED4" w14:textId="0DA7F312" w:rsidR="032B93E0" w:rsidRDefault="032B93E0" w:rsidP="032B93E0">
            <w:pPr>
              <w:jc w:val="center"/>
              <w:rPr>
                <w:rFonts w:eastAsia="Times New Roman"/>
                <w:sz w:val="20"/>
                <w:szCs w:val="20"/>
              </w:rPr>
            </w:pPr>
            <w:r w:rsidRPr="032B93E0">
              <w:rPr>
                <w:rFonts w:eastAsia="Times New Roman"/>
                <w:sz w:val="20"/>
                <w:szCs w:val="20"/>
              </w:rPr>
              <w:t>~6 mL SST</w:t>
            </w:r>
          </w:p>
          <w:p w14:paraId="5644F9E2" w14:textId="20B64902" w:rsidR="032B93E0" w:rsidRDefault="032B93E0" w:rsidP="032B93E0">
            <w:pPr>
              <w:jc w:val="center"/>
              <w:rPr>
                <w:rFonts w:eastAsia="Times New Roman"/>
                <w:sz w:val="20"/>
                <w:szCs w:val="20"/>
              </w:rPr>
            </w:pPr>
            <w:r w:rsidRPr="032B93E0">
              <w:rPr>
                <w:rFonts w:eastAsia="Times New Roman"/>
                <w:sz w:val="20"/>
                <w:szCs w:val="20"/>
              </w:rPr>
              <w:t>~16 mL CPT</w:t>
            </w:r>
          </w:p>
        </w:tc>
        <w:tc>
          <w:tcPr>
            <w:tcW w:w="1851" w:type="dxa"/>
          </w:tcPr>
          <w:p w14:paraId="57FDFCD8" w14:textId="107E8D5F"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5F698640" w14:textId="43EB89B4"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9CE591A" w14:textId="1C4BF7E5"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5EA21C5F" w14:textId="11B93B68"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94E1C36" w14:textId="72FF2B93" w:rsidR="032B93E0" w:rsidRDefault="032B93E0" w:rsidP="032B93E0">
            <w:pPr>
              <w:jc w:val="center"/>
              <w:rPr>
                <w:rFonts w:eastAsia="Times New Roman"/>
                <w:sz w:val="20"/>
                <w:szCs w:val="20"/>
              </w:rPr>
            </w:pPr>
            <w:r w:rsidRPr="032B93E0">
              <w:rPr>
                <w:rFonts w:eastAsia="Times New Roman"/>
                <w:sz w:val="20"/>
                <w:szCs w:val="20"/>
              </w:rPr>
              <w:t>X</w:t>
            </w:r>
          </w:p>
        </w:tc>
      </w:tr>
      <w:tr w:rsidR="032B93E0" w14:paraId="188BAA22" w14:textId="77777777" w:rsidTr="032B93E0">
        <w:tc>
          <w:tcPr>
            <w:tcW w:w="1851" w:type="dxa"/>
          </w:tcPr>
          <w:p w14:paraId="69CC1922" w14:textId="4E962229" w:rsidR="032B93E0" w:rsidRDefault="032B93E0" w:rsidP="032B93E0">
            <w:pPr>
              <w:jc w:val="center"/>
              <w:rPr>
                <w:rFonts w:eastAsia="Times New Roman"/>
                <w:sz w:val="20"/>
                <w:szCs w:val="20"/>
              </w:rPr>
            </w:pPr>
            <w:r w:rsidRPr="032B93E0">
              <w:rPr>
                <w:rFonts w:eastAsia="Times New Roman"/>
                <w:sz w:val="20"/>
                <w:szCs w:val="20"/>
              </w:rPr>
              <w:t xml:space="preserve">7 (Day -42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3406DE6C" w14:textId="7F021213"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3EF5B832" w14:textId="30427FCF"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D98EF11" w14:textId="6099F59D"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80210D1" w14:textId="12BA6725"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07780A9" w14:textId="442FA094"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667FBF2" w14:textId="79F9F64C"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0210A086" w14:textId="77777777" w:rsidTr="032B93E0">
        <w:tc>
          <w:tcPr>
            <w:tcW w:w="1851" w:type="dxa"/>
          </w:tcPr>
          <w:p w14:paraId="3AD6B94C" w14:textId="1BBBCC9E" w:rsidR="032B93E0" w:rsidRDefault="032B93E0" w:rsidP="032B93E0">
            <w:pPr>
              <w:jc w:val="center"/>
              <w:rPr>
                <w:rFonts w:eastAsia="Times New Roman"/>
                <w:sz w:val="20"/>
                <w:szCs w:val="20"/>
              </w:rPr>
            </w:pPr>
            <w:r w:rsidRPr="032B93E0">
              <w:rPr>
                <w:rFonts w:eastAsia="Times New Roman"/>
                <w:sz w:val="20"/>
                <w:szCs w:val="20"/>
              </w:rPr>
              <w:t xml:space="preserve">14 (Day -35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3C6A9FBA" w14:textId="745C4A23"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47D1A2AA" w14:textId="3BADB9C2"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EB79EB2" w14:textId="573FE12B"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4095CEC" w14:textId="4E958C42"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2F9CBFC1" w14:textId="21E5430A"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16B2CE9" w14:textId="68442CED"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613BB9F7" w14:textId="77777777" w:rsidTr="032B93E0">
        <w:tc>
          <w:tcPr>
            <w:tcW w:w="1851" w:type="dxa"/>
          </w:tcPr>
          <w:p w14:paraId="5E958761" w14:textId="342C6CD4" w:rsidR="032B93E0" w:rsidRDefault="032B93E0" w:rsidP="032B93E0">
            <w:pPr>
              <w:jc w:val="center"/>
              <w:rPr>
                <w:rFonts w:eastAsia="Times New Roman"/>
                <w:sz w:val="20"/>
                <w:szCs w:val="20"/>
              </w:rPr>
            </w:pPr>
            <w:r w:rsidRPr="032B93E0">
              <w:rPr>
                <w:rFonts w:eastAsia="Times New Roman"/>
                <w:sz w:val="20"/>
                <w:szCs w:val="20"/>
              </w:rPr>
              <w:t xml:space="preserve">21 (Day -28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4FA8B4A4" w14:textId="343F1D54"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66532FDF" w14:textId="6DB333FA"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322C59B" w14:textId="4D06D6EA"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5178EC05" w14:textId="511D6E01"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2F1BAC6C" w14:textId="1028CF58"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87D3BEE" w14:textId="44E97D96"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6774E908" w14:textId="77777777" w:rsidTr="032B93E0">
        <w:tc>
          <w:tcPr>
            <w:tcW w:w="1851" w:type="dxa"/>
          </w:tcPr>
          <w:p w14:paraId="7D3C78C2" w14:textId="2A22A5A6" w:rsidR="032B93E0" w:rsidRDefault="032B93E0" w:rsidP="032B93E0">
            <w:pPr>
              <w:jc w:val="center"/>
              <w:rPr>
                <w:rFonts w:eastAsia="Times New Roman"/>
                <w:sz w:val="20"/>
                <w:szCs w:val="20"/>
              </w:rPr>
            </w:pPr>
            <w:r w:rsidRPr="032B93E0">
              <w:rPr>
                <w:rFonts w:eastAsia="Times New Roman"/>
                <w:sz w:val="20"/>
                <w:szCs w:val="20"/>
              </w:rPr>
              <w:t xml:space="preserve">28 (Day -21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0CB79CD4" w14:textId="42EBA986"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16610FB4" w14:textId="14656D5B"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3501429D" w14:textId="2B7F4B38"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2DBEAFE7" w14:textId="24383B1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DB46831" w14:textId="559B064B"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598008DA" w14:textId="7AADE6AC"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33DF016B" w14:textId="77777777" w:rsidTr="032B93E0">
        <w:tc>
          <w:tcPr>
            <w:tcW w:w="1851" w:type="dxa"/>
          </w:tcPr>
          <w:p w14:paraId="49330226" w14:textId="3C7E02BF" w:rsidR="032B93E0" w:rsidRDefault="032B93E0" w:rsidP="032B93E0">
            <w:pPr>
              <w:jc w:val="center"/>
              <w:rPr>
                <w:rFonts w:eastAsia="Times New Roman"/>
                <w:sz w:val="20"/>
                <w:szCs w:val="20"/>
              </w:rPr>
            </w:pPr>
            <w:r w:rsidRPr="032B93E0">
              <w:rPr>
                <w:rFonts w:eastAsia="Times New Roman"/>
                <w:sz w:val="20"/>
                <w:szCs w:val="20"/>
              </w:rPr>
              <w:t xml:space="preserve">35 (Day -14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5F7A02C6" w14:textId="207DE1D6" w:rsidR="032B93E0" w:rsidRDefault="032B93E0" w:rsidP="032B93E0">
            <w:pPr>
              <w:jc w:val="center"/>
              <w:rPr>
                <w:rFonts w:eastAsia="Times New Roman"/>
                <w:sz w:val="20"/>
                <w:szCs w:val="20"/>
              </w:rPr>
            </w:pPr>
            <w:r w:rsidRPr="032B93E0">
              <w:rPr>
                <w:rFonts w:eastAsia="Times New Roman"/>
                <w:sz w:val="20"/>
                <w:szCs w:val="20"/>
              </w:rPr>
              <w:t>~6 mL SST</w:t>
            </w:r>
          </w:p>
          <w:p w14:paraId="5E92D480" w14:textId="5802B204" w:rsidR="032B93E0" w:rsidRDefault="032B93E0" w:rsidP="032B93E0">
            <w:pPr>
              <w:jc w:val="center"/>
              <w:rPr>
                <w:rFonts w:eastAsia="Times New Roman"/>
                <w:sz w:val="20"/>
                <w:szCs w:val="20"/>
              </w:rPr>
            </w:pPr>
            <w:r w:rsidRPr="032B93E0">
              <w:rPr>
                <w:rFonts w:eastAsia="Times New Roman"/>
                <w:sz w:val="20"/>
                <w:szCs w:val="20"/>
              </w:rPr>
              <w:t>~16 mL CPT</w:t>
            </w:r>
          </w:p>
        </w:tc>
        <w:tc>
          <w:tcPr>
            <w:tcW w:w="1851" w:type="dxa"/>
          </w:tcPr>
          <w:p w14:paraId="1715D1A5" w14:textId="6DFE65B1"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25C690AA" w14:textId="24744CDC"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505AD5D3" w14:textId="6F96BB49"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27A3B97E" w14:textId="605E59B5"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FCCFDFE" w14:textId="446855A7" w:rsidR="032B93E0" w:rsidRDefault="032B93E0" w:rsidP="032B93E0">
            <w:pPr>
              <w:jc w:val="center"/>
              <w:rPr>
                <w:rFonts w:eastAsia="Times New Roman"/>
                <w:sz w:val="20"/>
                <w:szCs w:val="20"/>
              </w:rPr>
            </w:pPr>
            <w:r w:rsidRPr="032B93E0">
              <w:rPr>
                <w:rFonts w:eastAsia="Times New Roman"/>
                <w:sz w:val="20"/>
                <w:szCs w:val="20"/>
              </w:rPr>
              <w:t>X</w:t>
            </w:r>
          </w:p>
        </w:tc>
      </w:tr>
      <w:tr w:rsidR="032B93E0" w14:paraId="20F81FE9" w14:textId="77777777" w:rsidTr="032B93E0">
        <w:tc>
          <w:tcPr>
            <w:tcW w:w="1851" w:type="dxa"/>
          </w:tcPr>
          <w:p w14:paraId="25037959" w14:textId="6BD2C872" w:rsidR="032B93E0" w:rsidRDefault="032B93E0" w:rsidP="032B93E0">
            <w:pPr>
              <w:jc w:val="center"/>
              <w:rPr>
                <w:rFonts w:eastAsia="Times New Roman"/>
                <w:sz w:val="20"/>
                <w:szCs w:val="20"/>
              </w:rPr>
            </w:pPr>
            <w:r w:rsidRPr="032B93E0">
              <w:rPr>
                <w:rFonts w:eastAsia="Times New Roman"/>
                <w:sz w:val="20"/>
                <w:szCs w:val="20"/>
              </w:rPr>
              <w:t xml:space="preserve">42 (Day -7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78710428" w14:textId="2C4DF9BC"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6A3EC178" w14:textId="069AD352"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41DB6F8E" w14:textId="7F5C5C3B"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6E268EF" w14:textId="5BE3D6A8"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C3849A1" w14:textId="3A70D699"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0A95DC9" w14:textId="0AB4AF4D"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5BA4FD91" w14:textId="77777777" w:rsidTr="032B93E0">
        <w:tc>
          <w:tcPr>
            <w:tcW w:w="1851" w:type="dxa"/>
          </w:tcPr>
          <w:p w14:paraId="430B6360" w14:textId="27F69908" w:rsidR="032B93E0" w:rsidRDefault="032B93E0" w:rsidP="032B93E0">
            <w:pPr>
              <w:jc w:val="center"/>
              <w:rPr>
                <w:rFonts w:eastAsia="Times New Roman"/>
                <w:sz w:val="20"/>
                <w:szCs w:val="20"/>
              </w:rPr>
            </w:pPr>
            <w:r w:rsidRPr="032B93E0">
              <w:rPr>
                <w:rFonts w:eastAsia="Times New Roman"/>
                <w:sz w:val="20"/>
                <w:szCs w:val="20"/>
              </w:rPr>
              <w:t>*49 (Challenge)</w:t>
            </w:r>
          </w:p>
        </w:tc>
        <w:tc>
          <w:tcPr>
            <w:tcW w:w="1851" w:type="dxa"/>
          </w:tcPr>
          <w:p w14:paraId="02C51C90" w14:textId="2E6D830C"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187B9FB2" w14:textId="11C0C31F"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5EA0BF5" w14:textId="76389D75"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36028A9" w14:textId="37B2F9D4"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B621E89" w14:textId="6179F786"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F78789B" w14:textId="27CF465D"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4B844762" w14:textId="77777777" w:rsidTr="032B93E0">
        <w:tc>
          <w:tcPr>
            <w:tcW w:w="1851" w:type="dxa"/>
          </w:tcPr>
          <w:p w14:paraId="24B12B18" w14:textId="12491B9D" w:rsidR="032B93E0" w:rsidRDefault="032B93E0" w:rsidP="032B93E0">
            <w:pPr>
              <w:jc w:val="center"/>
              <w:rPr>
                <w:rFonts w:eastAsia="Times New Roman"/>
                <w:sz w:val="20"/>
                <w:szCs w:val="20"/>
              </w:rPr>
            </w:pPr>
            <w:r w:rsidRPr="032B93E0">
              <w:rPr>
                <w:rFonts w:eastAsia="Times New Roman"/>
                <w:sz w:val="20"/>
                <w:szCs w:val="20"/>
              </w:rPr>
              <w:t>50 (Day 1 PC)</w:t>
            </w:r>
          </w:p>
        </w:tc>
        <w:tc>
          <w:tcPr>
            <w:tcW w:w="1851" w:type="dxa"/>
          </w:tcPr>
          <w:p w14:paraId="18C9BEBC" w14:textId="6ED63DB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2B409B5D" w14:textId="0E0F589A"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78497132" w14:textId="153198E4"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12F25E2" w14:textId="78979A4A"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3B45C07A" w14:textId="609B1679"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50A59540" w14:textId="3D20272E"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4A3C14B4" w14:textId="77777777" w:rsidTr="032B93E0">
        <w:tc>
          <w:tcPr>
            <w:tcW w:w="1851" w:type="dxa"/>
          </w:tcPr>
          <w:p w14:paraId="5A9B83E5" w14:textId="1E1E5C1C" w:rsidR="032B93E0" w:rsidRDefault="032B93E0" w:rsidP="032B93E0">
            <w:pPr>
              <w:jc w:val="center"/>
              <w:rPr>
                <w:rFonts w:eastAsia="Times New Roman"/>
                <w:sz w:val="20"/>
                <w:szCs w:val="20"/>
              </w:rPr>
            </w:pPr>
            <w:r w:rsidRPr="032B93E0">
              <w:rPr>
                <w:rFonts w:eastAsia="Times New Roman"/>
                <w:sz w:val="20"/>
                <w:szCs w:val="20"/>
              </w:rPr>
              <w:t>51 (Day 2 PC)</w:t>
            </w:r>
          </w:p>
        </w:tc>
        <w:tc>
          <w:tcPr>
            <w:tcW w:w="1851" w:type="dxa"/>
          </w:tcPr>
          <w:p w14:paraId="75F2AAB2" w14:textId="19017C64" w:rsidR="032B93E0" w:rsidRDefault="032B93E0" w:rsidP="032B93E0">
            <w:pPr>
              <w:jc w:val="center"/>
              <w:rPr>
                <w:rFonts w:eastAsia="Times New Roman"/>
                <w:sz w:val="20"/>
                <w:szCs w:val="20"/>
              </w:rPr>
            </w:pPr>
            <w:r w:rsidRPr="032B93E0">
              <w:rPr>
                <w:rFonts w:eastAsia="Times New Roman"/>
                <w:sz w:val="20"/>
                <w:szCs w:val="20"/>
              </w:rPr>
              <w:t>~3 mL SST</w:t>
            </w:r>
          </w:p>
        </w:tc>
        <w:tc>
          <w:tcPr>
            <w:tcW w:w="1851" w:type="dxa"/>
          </w:tcPr>
          <w:p w14:paraId="50223CD2" w14:textId="3DC19509"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2C039D59" w14:textId="41636513"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5C2F27F5" w14:textId="6CF396A2"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D678CA4" w14:textId="7D9B53B0"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DC54FB9" w14:textId="410E8A08"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51E229A1" w14:textId="77777777" w:rsidTr="032B93E0">
        <w:tc>
          <w:tcPr>
            <w:tcW w:w="1851" w:type="dxa"/>
          </w:tcPr>
          <w:p w14:paraId="5D86612F" w14:textId="09FCCA45" w:rsidR="032B93E0" w:rsidRDefault="032B93E0" w:rsidP="032B93E0">
            <w:pPr>
              <w:jc w:val="center"/>
              <w:rPr>
                <w:rFonts w:eastAsia="Times New Roman"/>
                <w:sz w:val="20"/>
                <w:szCs w:val="20"/>
              </w:rPr>
            </w:pPr>
            <w:r w:rsidRPr="032B93E0">
              <w:rPr>
                <w:rFonts w:eastAsia="Times New Roman"/>
                <w:sz w:val="20"/>
                <w:szCs w:val="20"/>
              </w:rPr>
              <w:t>52 (Day 3 PC)</w:t>
            </w:r>
          </w:p>
        </w:tc>
        <w:tc>
          <w:tcPr>
            <w:tcW w:w="1851" w:type="dxa"/>
          </w:tcPr>
          <w:p w14:paraId="1B712F5C" w14:textId="5AFE65B3"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0096016" w14:textId="51212B9F" w:rsidR="032B93E0" w:rsidRDefault="032B93E0"/>
        </w:tc>
        <w:tc>
          <w:tcPr>
            <w:tcW w:w="1851" w:type="dxa"/>
          </w:tcPr>
          <w:p w14:paraId="5EEF4B95" w14:textId="3C9A52B8"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E0E5BC0" w14:textId="54A77B5D"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77CF1D1" w14:textId="2AA6F2EC"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4676B9B" w14:textId="0A553043"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755DB2DD" w14:textId="77777777" w:rsidTr="032B93E0">
        <w:tc>
          <w:tcPr>
            <w:tcW w:w="1851" w:type="dxa"/>
          </w:tcPr>
          <w:p w14:paraId="1E8F90E4" w14:textId="6A5D62CA" w:rsidR="032B93E0" w:rsidRDefault="032B93E0" w:rsidP="032B93E0">
            <w:pPr>
              <w:jc w:val="center"/>
              <w:rPr>
                <w:rFonts w:eastAsia="Times New Roman"/>
                <w:sz w:val="20"/>
                <w:szCs w:val="20"/>
              </w:rPr>
            </w:pPr>
            <w:r w:rsidRPr="032B93E0">
              <w:rPr>
                <w:rFonts w:eastAsia="Times New Roman"/>
                <w:sz w:val="20"/>
                <w:szCs w:val="20"/>
              </w:rPr>
              <w:t>53 (Day 4 PC)</w:t>
            </w:r>
          </w:p>
        </w:tc>
        <w:tc>
          <w:tcPr>
            <w:tcW w:w="1851" w:type="dxa"/>
          </w:tcPr>
          <w:p w14:paraId="3FAEFDC2" w14:textId="690DCF22" w:rsidR="032B93E0" w:rsidRDefault="032B93E0" w:rsidP="032B93E0">
            <w:pPr>
              <w:jc w:val="center"/>
              <w:rPr>
                <w:rFonts w:eastAsia="Times New Roman"/>
                <w:sz w:val="20"/>
                <w:szCs w:val="20"/>
              </w:rPr>
            </w:pPr>
            <w:r w:rsidRPr="032B93E0">
              <w:rPr>
                <w:rFonts w:eastAsia="Times New Roman"/>
                <w:sz w:val="20"/>
                <w:szCs w:val="20"/>
              </w:rPr>
              <w:t>~3 mL SST</w:t>
            </w:r>
          </w:p>
        </w:tc>
        <w:tc>
          <w:tcPr>
            <w:tcW w:w="1851" w:type="dxa"/>
          </w:tcPr>
          <w:p w14:paraId="6D22F10F" w14:textId="50F9CF4E"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58FAB89C" w14:textId="15FD7396"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5FCA693B" w14:textId="237A8305"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3BC88248" w14:textId="780E5A36"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1331714" w14:textId="210841D9"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36478826" w14:textId="77777777" w:rsidTr="032B93E0">
        <w:tc>
          <w:tcPr>
            <w:tcW w:w="1851" w:type="dxa"/>
          </w:tcPr>
          <w:p w14:paraId="5D976AED" w14:textId="779D9F8C" w:rsidR="032B93E0" w:rsidRDefault="032B93E0" w:rsidP="032B93E0">
            <w:pPr>
              <w:jc w:val="center"/>
              <w:rPr>
                <w:rFonts w:eastAsia="Times New Roman"/>
                <w:sz w:val="20"/>
                <w:szCs w:val="20"/>
              </w:rPr>
            </w:pPr>
            <w:r w:rsidRPr="032B93E0">
              <w:rPr>
                <w:rFonts w:eastAsia="Times New Roman"/>
                <w:sz w:val="20"/>
                <w:szCs w:val="20"/>
              </w:rPr>
              <w:t>54 (Day 5 PC)</w:t>
            </w:r>
          </w:p>
        </w:tc>
        <w:tc>
          <w:tcPr>
            <w:tcW w:w="1851" w:type="dxa"/>
          </w:tcPr>
          <w:p w14:paraId="21E1DDE9" w14:textId="269AF664"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EA0F074" w14:textId="78E582B9"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FF275FE" w14:textId="4BC28303"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6BD93F6" w14:textId="777E328E"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3A9B8C43" w14:textId="4A5CDDA7"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022DCEC" w14:textId="51D729B5"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6406974E" w14:textId="77777777" w:rsidTr="032B93E0">
        <w:tc>
          <w:tcPr>
            <w:tcW w:w="1851" w:type="dxa"/>
          </w:tcPr>
          <w:p w14:paraId="13FC7969" w14:textId="233C3E8D" w:rsidR="032B93E0" w:rsidRDefault="032B93E0" w:rsidP="032B93E0">
            <w:pPr>
              <w:jc w:val="center"/>
              <w:rPr>
                <w:rFonts w:eastAsia="Times New Roman"/>
                <w:sz w:val="20"/>
                <w:szCs w:val="20"/>
              </w:rPr>
            </w:pPr>
            <w:r w:rsidRPr="032B93E0">
              <w:rPr>
                <w:rFonts w:eastAsia="Times New Roman"/>
                <w:sz w:val="20"/>
                <w:szCs w:val="20"/>
              </w:rPr>
              <w:lastRenderedPageBreak/>
              <w:t>55 (Day 6 PC)</w:t>
            </w:r>
          </w:p>
        </w:tc>
        <w:tc>
          <w:tcPr>
            <w:tcW w:w="1851" w:type="dxa"/>
          </w:tcPr>
          <w:p w14:paraId="424E5D07" w14:textId="44DCE4D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6D1F6FA" w14:textId="6A63B3F4"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53EDECEB" w14:textId="63507513"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39580FA" w14:textId="102E2825"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62781A3A" w14:textId="19CA0AED"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C600057" w14:textId="6DCD8651"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53B89D04" w14:textId="77777777" w:rsidTr="032B93E0">
        <w:tc>
          <w:tcPr>
            <w:tcW w:w="1851" w:type="dxa"/>
          </w:tcPr>
          <w:p w14:paraId="43904734" w14:textId="2378948B" w:rsidR="032B93E0" w:rsidRDefault="032B93E0" w:rsidP="032B93E0">
            <w:pPr>
              <w:jc w:val="center"/>
              <w:rPr>
                <w:rFonts w:eastAsia="Times New Roman"/>
                <w:sz w:val="20"/>
                <w:szCs w:val="20"/>
              </w:rPr>
            </w:pPr>
            <w:r w:rsidRPr="032B93E0">
              <w:rPr>
                <w:rFonts w:eastAsia="Times New Roman"/>
                <w:sz w:val="20"/>
                <w:szCs w:val="20"/>
              </w:rPr>
              <w:t>56 (Day 7 PC)</w:t>
            </w:r>
          </w:p>
        </w:tc>
        <w:tc>
          <w:tcPr>
            <w:tcW w:w="1851" w:type="dxa"/>
          </w:tcPr>
          <w:p w14:paraId="689B797C" w14:textId="51D03E24" w:rsidR="032B93E0" w:rsidRDefault="032B93E0" w:rsidP="032B93E0">
            <w:pPr>
              <w:jc w:val="center"/>
              <w:rPr>
                <w:rFonts w:eastAsia="Times New Roman"/>
                <w:sz w:val="20"/>
                <w:szCs w:val="20"/>
              </w:rPr>
            </w:pPr>
            <w:r w:rsidRPr="032B93E0">
              <w:rPr>
                <w:rFonts w:eastAsia="Times New Roman"/>
                <w:sz w:val="20"/>
                <w:szCs w:val="20"/>
              </w:rPr>
              <w:t>~3 mL SST</w:t>
            </w:r>
          </w:p>
        </w:tc>
        <w:tc>
          <w:tcPr>
            <w:tcW w:w="1851" w:type="dxa"/>
          </w:tcPr>
          <w:p w14:paraId="16B66C1F" w14:textId="032445B8"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02C32AB" w14:textId="50D182A6"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782643F" w14:textId="29775220"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A14AFF3" w14:textId="31A2AE14"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E4CE3E3" w14:textId="50C9AFAA"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52FB64CA" w14:textId="77777777" w:rsidTr="032B93E0">
        <w:tc>
          <w:tcPr>
            <w:tcW w:w="1851" w:type="dxa"/>
          </w:tcPr>
          <w:p w14:paraId="4FEA48FB" w14:textId="64B2A240" w:rsidR="032B93E0" w:rsidRDefault="032B93E0" w:rsidP="032B93E0">
            <w:pPr>
              <w:jc w:val="center"/>
              <w:rPr>
                <w:rFonts w:eastAsia="Times New Roman"/>
                <w:sz w:val="20"/>
                <w:szCs w:val="20"/>
              </w:rPr>
            </w:pPr>
            <w:r w:rsidRPr="032B93E0">
              <w:rPr>
                <w:rFonts w:eastAsia="Times New Roman"/>
                <w:sz w:val="20"/>
                <w:szCs w:val="20"/>
              </w:rPr>
              <w:t xml:space="preserve">59 (Day 9 PC) </w:t>
            </w:r>
          </w:p>
        </w:tc>
        <w:tc>
          <w:tcPr>
            <w:tcW w:w="1851" w:type="dxa"/>
          </w:tcPr>
          <w:p w14:paraId="3F3CD218" w14:textId="3CECCF68" w:rsidR="032B93E0" w:rsidRDefault="032B93E0" w:rsidP="032B93E0">
            <w:pPr>
              <w:jc w:val="center"/>
              <w:rPr>
                <w:rFonts w:eastAsia="Times New Roman"/>
                <w:sz w:val="20"/>
                <w:szCs w:val="20"/>
              </w:rPr>
            </w:pPr>
            <w:r w:rsidRPr="032B93E0">
              <w:rPr>
                <w:rFonts w:eastAsia="Times New Roman"/>
                <w:sz w:val="20"/>
                <w:szCs w:val="20"/>
              </w:rPr>
              <w:t>~3 mL SST</w:t>
            </w:r>
          </w:p>
        </w:tc>
        <w:tc>
          <w:tcPr>
            <w:tcW w:w="1851" w:type="dxa"/>
          </w:tcPr>
          <w:p w14:paraId="18FB1DF1" w14:textId="43C95A77"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CA6F240" w14:textId="46A7CD6A"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D14057E" w14:textId="6C37E663"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41CAB0A7" w14:textId="3E78C21B"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72E80A42" w14:textId="57E00A0D"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7A0E94F6" w14:textId="77777777" w:rsidTr="032B93E0">
        <w:tc>
          <w:tcPr>
            <w:tcW w:w="1851" w:type="dxa"/>
          </w:tcPr>
          <w:p w14:paraId="275C6656" w14:textId="1EAE704C" w:rsidR="032B93E0" w:rsidRDefault="032B93E0" w:rsidP="032B93E0">
            <w:pPr>
              <w:jc w:val="center"/>
              <w:rPr>
                <w:rFonts w:eastAsia="Times New Roman"/>
                <w:sz w:val="20"/>
                <w:szCs w:val="20"/>
              </w:rPr>
            </w:pPr>
            <w:r w:rsidRPr="032B93E0">
              <w:rPr>
                <w:rFonts w:eastAsia="Times New Roman"/>
                <w:sz w:val="20"/>
                <w:szCs w:val="20"/>
              </w:rPr>
              <w:t>63 (Day 14 PC)</w:t>
            </w:r>
          </w:p>
        </w:tc>
        <w:tc>
          <w:tcPr>
            <w:tcW w:w="1851" w:type="dxa"/>
          </w:tcPr>
          <w:p w14:paraId="5A0546A4" w14:textId="63DDAAEF" w:rsidR="032B93E0" w:rsidRDefault="032B93E0" w:rsidP="032B93E0">
            <w:pPr>
              <w:jc w:val="center"/>
              <w:rPr>
                <w:rFonts w:eastAsia="Times New Roman"/>
                <w:sz w:val="20"/>
                <w:szCs w:val="20"/>
              </w:rPr>
            </w:pPr>
            <w:r w:rsidRPr="032B93E0">
              <w:rPr>
                <w:rFonts w:eastAsia="Times New Roman"/>
                <w:sz w:val="20"/>
                <w:szCs w:val="20"/>
              </w:rPr>
              <w:t>~</w:t>
            </w:r>
            <w:r w:rsidR="003E7EE9">
              <w:rPr>
                <w:rFonts w:eastAsia="Times New Roman"/>
                <w:sz w:val="20"/>
                <w:szCs w:val="20"/>
              </w:rPr>
              <w:t>4</w:t>
            </w:r>
            <w:r w:rsidR="003E7EE9" w:rsidRPr="032B93E0">
              <w:rPr>
                <w:rFonts w:eastAsia="Times New Roman"/>
                <w:sz w:val="20"/>
                <w:szCs w:val="20"/>
              </w:rPr>
              <w:t xml:space="preserve">0 </w:t>
            </w:r>
            <w:r w:rsidRPr="032B93E0">
              <w:rPr>
                <w:rFonts w:eastAsia="Times New Roman"/>
                <w:sz w:val="20"/>
                <w:szCs w:val="20"/>
              </w:rPr>
              <w:t>mL SST</w:t>
            </w:r>
          </w:p>
        </w:tc>
        <w:tc>
          <w:tcPr>
            <w:tcW w:w="1851" w:type="dxa"/>
          </w:tcPr>
          <w:p w14:paraId="27D10A23" w14:textId="13954038"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04A42F2" w14:textId="4D23C2D7"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1762E07" w14:textId="28E2ED62"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6AD84C0" w14:textId="6C9929CB"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0036EB8" w14:textId="0ED75C0C" w:rsidR="032B93E0" w:rsidRDefault="032B93E0" w:rsidP="032B93E0">
            <w:pPr>
              <w:jc w:val="center"/>
              <w:rPr>
                <w:rFonts w:eastAsia="Times New Roman"/>
                <w:sz w:val="20"/>
                <w:szCs w:val="20"/>
              </w:rPr>
            </w:pPr>
          </w:p>
        </w:tc>
      </w:tr>
    </w:tbl>
    <w:p w14:paraId="03506830" w14:textId="65501A23" w:rsidR="34593430" w:rsidRPr="004E2940" w:rsidRDefault="34593430" w:rsidP="004E2940">
      <w:pPr>
        <w:spacing w:after="120" w:line="240" w:lineRule="auto"/>
        <w:rPr>
          <w:rFonts w:eastAsia="Times New Roman"/>
          <w:sz w:val="16"/>
          <w:szCs w:val="16"/>
        </w:rPr>
      </w:pPr>
      <w:r w:rsidRPr="004E2940">
        <w:rPr>
          <w:rFonts w:eastAsia="Times New Roman"/>
          <w:sz w:val="16"/>
          <w:szCs w:val="16"/>
        </w:rPr>
        <w:t xml:space="preserve">BAL = Bronchoalveolar Lavage </w:t>
      </w:r>
    </w:p>
    <w:p w14:paraId="7355B568" w14:textId="7B804D4D" w:rsidR="34593430" w:rsidRPr="004E2940" w:rsidRDefault="34593430" w:rsidP="004E2940">
      <w:pPr>
        <w:spacing w:after="120" w:line="240" w:lineRule="auto"/>
        <w:rPr>
          <w:rFonts w:eastAsia="Times New Roman"/>
          <w:sz w:val="16"/>
          <w:szCs w:val="16"/>
        </w:rPr>
      </w:pPr>
      <w:r w:rsidRPr="004E2940">
        <w:rPr>
          <w:rFonts w:eastAsia="Times New Roman"/>
          <w:sz w:val="16"/>
          <w:szCs w:val="16"/>
        </w:rPr>
        <w:t>CPT = Cell Preparation Tubes</w:t>
      </w:r>
    </w:p>
    <w:p w14:paraId="66DC313C" w14:textId="55E21539" w:rsidR="34593430" w:rsidRPr="004E2940" w:rsidRDefault="34593430" w:rsidP="004E2940">
      <w:pPr>
        <w:spacing w:after="120" w:line="240" w:lineRule="auto"/>
        <w:rPr>
          <w:rFonts w:eastAsia="Times New Roman"/>
          <w:sz w:val="16"/>
          <w:szCs w:val="16"/>
        </w:rPr>
      </w:pPr>
      <w:r w:rsidRPr="004E2940">
        <w:rPr>
          <w:rFonts w:eastAsia="Times New Roman"/>
          <w:sz w:val="16"/>
          <w:szCs w:val="16"/>
        </w:rPr>
        <w:t>MN = Microneutralization</w:t>
      </w:r>
    </w:p>
    <w:p w14:paraId="42897629" w14:textId="16E923B8" w:rsidR="34593430" w:rsidRPr="004E2940" w:rsidRDefault="34593430" w:rsidP="004E2940">
      <w:pPr>
        <w:spacing w:after="120" w:line="240" w:lineRule="auto"/>
        <w:rPr>
          <w:rFonts w:eastAsia="Times New Roman"/>
          <w:sz w:val="16"/>
          <w:szCs w:val="16"/>
        </w:rPr>
      </w:pPr>
      <w:r w:rsidRPr="004E2940">
        <w:rPr>
          <w:rFonts w:eastAsia="Times New Roman"/>
          <w:sz w:val="16"/>
          <w:szCs w:val="16"/>
        </w:rPr>
        <w:t>MSD-ECLIA = Meso Scale Discovery Electrochemiluminescence Immunoassay</w:t>
      </w:r>
    </w:p>
    <w:p w14:paraId="4E93D7DA" w14:textId="1214D1B7" w:rsidR="34593430" w:rsidRPr="004E2940" w:rsidRDefault="34593430" w:rsidP="004E2940">
      <w:pPr>
        <w:spacing w:after="120" w:line="240" w:lineRule="auto"/>
        <w:rPr>
          <w:rFonts w:eastAsia="Times New Roman"/>
          <w:sz w:val="16"/>
          <w:szCs w:val="16"/>
        </w:rPr>
      </w:pPr>
      <w:r w:rsidRPr="004E2940">
        <w:rPr>
          <w:rFonts w:eastAsia="Times New Roman"/>
          <w:sz w:val="16"/>
          <w:szCs w:val="16"/>
        </w:rPr>
        <w:t>PC = Post-challenge</w:t>
      </w:r>
    </w:p>
    <w:p w14:paraId="63C4AEEB" w14:textId="26C28CE1" w:rsidR="34593430" w:rsidRPr="004E2940" w:rsidRDefault="34593430" w:rsidP="004E2940">
      <w:pPr>
        <w:spacing w:after="120" w:line="240" w:lineRule="auto"/>
        <w:rPr>
          <w:rFonts w:eastAsia="Times New Roman"/>
          <w:sz w:val="16"/>
          <w:szCs w:val="16"/>
        </w:rPr>
      </w:pPr>
      <w:r w:rsidRPr="004E2940">
        <w:rPr>
          <w:rFonts w:eastAsia="Times New Roman"/>
          <w:sz w:val="16"/>
          <w:szCs w:val="16"/>
        </w:rPr>
        <w:t>PBMC = peripheral blood mononuclear cells</w:t>
      </w:r>
    </w:p>
    <w:p w14:paraId="5F263411" w14:textId="78E3F380" w:rsidR="34593430" w:rsidRPr="004E2940" w:rsidRDefault="34593430" w:rsidP="004E2940">
      <w:pPr>
        <w:spacing w:after="120" w:line="240" w:lineRule="auto"/>
        <w:rPr>
          <w:rFonts w:eastAsia="Times New Roman"/>
          <w:sz w:val="16"/>
          <w:szCs w:val="16"/>
        </w:rPr>
      </w:pPr>
      <w:proofErr w:type="spellStart"/>
      <w:r w:rsidRPr="004E2940">
        <w:rPr>
          <w:rFonts w:eastAsia="Times New Roman"/>
          <w:sz w:val="16"/>
          <w:szCs w:val="16"/>
        </w:rPr>
        <w:t>PreC</w:t>
      </w:r>
      <w:proofErr w:type="spellEnd"/>
      <w:r w:rsidRPr="004E2940">
        <w:rPr>
          <w:rFonts w:eastAsia="Times New Roman"/>
          <w:sz w:val="16"/>
          <w:szCs w:val="16"/>
        </w:rPr>
        <w:t xml:space="preserve"> = Pre-challenge</w:t>
      </w:r>
    </w:p>
    <w:p w14:paraId="1C8E7B00" w14:textId="7A179097" w:rsidR="34593430" w:rsidRPr="004E2940" w:rsidRDefault="34593430" w:rsidP="004E2940">
      <w:pPr>
        <w:spacing w:after="120" w:line="240" w:lineRule="auto"/>
        <w:rPr>
          <w:rFonts w:eastAsia="Times New Roman"/>
          <w:sz w:val="16"/>
          <w:szCs w:val="16"/>
        </w:rPr>
      </w:pPr>
      <w:proofErr w:type="spellStart"/>
      <w:r w:rsidRPr="004E2940">
        <w:rPr>
          <w:rFonts w:eastAsia="Times New Roman"/>
          <w:sz w:val="16"/>
          <w:szCs w:val="16"/>
        </w:rPr>
        <w:t>PsVNA</w:t>
      </w:r>
      <w:proofErr w:type="spellEnd"/>
      <w:r w:rsidRPr="004E2940">
        <w:rPr>
          <w:rFonts w:eastAsia="Times New Roman"/>
          <w:sz w:val="16"/>
          <w:szCs w:val="16"/>
        </w:rPr>
        <w:t xml:space="preserve"> = </w:t>
      </w:r>
      <w:proofErr w:type="spellStart"/>
      <w:r w:rsidRPr="004E2940">
        <w:rPr>
          <w:rFonts w:eastAsia="Times New Roman"/>
          <w:sz w:val="16"/>
          <w:szCs w:val="16"/>
        </w:rPr>
        <w:t>Pseudovirus</w:t>
      </w:r>
      <w:proofErr w:type="spellEnd"/>
      <w:r w:rsidRPr="004E2940">
        <w:rPr>
          <w:rFonts w:eastAsia="Times New Roman"/>
          <w:sz w:val="16"/>
          <w:szCs w:val="16"/>
        </w:rPr>
        <w:t xml:space="preserve"> Neutralization Assay</w:t>
      </w:r>
    </w:p>
    <w:p w14:paraId="60679DF9" w14:textId="16C8D0A6" w:rsidR="34593430" w:rsidRPr="004E2940" w:rsidRDefault="34593430" w:rsidP="004E2940">
      <w:pPr>
        <w:spacing w:after="120" w:line="240" w:lineRule="auto"/>
        <w:rPr>
          <w:rFonts w:eastAsia="Times New Roman"/>
          <w:sz w:val="16"/>
          <w:szCs w:val="16"/>
        </w:rPr>
      </w:pPr>
      <w:r w:rsidRPr="004E2940">
        <w:rPr>
          <w:rFonts w:eastAsia="Times New Roman"/>
          <w:sz w:val="16"/>
          <w:szCs w:val="16"/>
        </w:rPr>
        <w:t xml:space="preserve">SST = Serum separator tube </w:t>
      </w:r>
    </w:p>
    <w:p w14:paraId="10CB4660" w14:textId="341F379F" w:rsidR="34593430" w:rsidRPr="004E2940" w:rsidRDefault="34593430" w:rsidP="004E2940">
      <w:pPr>
        <w:spacing w:after="120" w:line="240" w:lineRule="auto"/>
        <w:rPr>
          <w:rFonts w:eastAsia="Times New Roman"/>
          <w:sz w:val="16"/>
          <w:szCs w:val="16"/>
        </w:rPr>
      </w:pPr>
      <w:r w:rsidRPr="004E2940">
        <w:rPr>
          <w:rFonts w:eastAsia="Times New Roman"/>
          <w:sz w:val="16"/>
          <w:szCs w:val="16"/>
        </w:rPr>
        <w:t>^ System Serology only performed on pre-challenge samples</w:t>
      </w:r>
    </w:p>
    <w:p w14:paraId="4C34A37A" w14:textId="444EDD29" w:rsidR="34593430" w:rsidRPr="004E2940" w:rsidRDefault="34593430" w:rsidP="004E2940">
      <w:pPr>
        <w:spacing w:after="120" w:line="240" w:lineRule="auto"/>
        <w:jc w:val="both"/>
        <w:rPr>
          <w:rFonts w:eastAsia="Times New Roman"/>
          <w:sz w:val="16"/>
          <w:szCs w:val="16"/>
        </w:rPr>
      </w:pPr>
      <w:r w:rsidRPr="004E2940">
        <w:rPr>
          <w:rFonts w:eastAsia="Times New Roman"/>
          <w:sz w:val="16"/>
          <w:szCs w:val="16"/>
        </w:rPr>
        <w:t>*Collected before challenge</w:t>
      </w:r>
    </w:p>
    <w:p w14:paraId="53598AAE" w14:textId="1D5553A1" w:rsidR="032B93E0" w:rsidRDefault="032B93E0" w:rsidP="032B93E0"/>
    <w:p w14:paraId="6D0FB9A6" w14:textId="442FFA44" w:rsidR="1DC7B1E2" w:rsidRDefault="1DC7B1E2">
      <w:r>
        <w:br w:type="page"/>
      </w:r>
    </w:p>
    <w:p w14:paraId="6A7E8566" w14:textId="383DBA28" w:rsidR="032B93E0" w:rsidRDefault="032B93E0"/>
    <w:p w14:paraId="575A17CB" w14:textId="6656AB9C" w:rsidR="63289B55" w:rsidRDefault="63289B55" w:rsidP="032B93E0">
      <w:pPr>
        <w:spacing w:after="0" w:line="240" w:lineRule="auto"/>
        <w:rPr>
          <w:b/>
          <w:bCs/>
        </w:rPr>
      </w:pPr>
      <w:r w:rsidRPr="032B93E0">
        <w:rPr>
          <w:b/>
          <w:bCs/>
        </w:rPr>
        <w:t>Table 8. Sample Collection Schedule</w:t>
      </w:r>
      <w:r>
        <w:t xml:space="preserve"> </w:t>
      </w:r>
      <w:r w:rsidR="69024718" w:rsidRPr="032B93E0">
        <w:rPr>
          <w:rFonts w:eastAsia="Times New Roman"/>
          <w:szCs w:val="24"/>
        </w:rPr>
        <w:t xml:space="preserve">for Animals in Groups 4A, 4B, 4C, 4D, and 4E </w:t>
      </w:r>
      <w:r w:rsidRPr="032B93E0">
        <w:rPr>
          <w:b/>
          <w:bCs/>
        </w:rPr>
        <w:t>(Sanofi)</w:t>
      </w:r>
    </w:p>
    <w:tbl>
      <w:tblPr>
        <w:tblStyle w:val="TableGrid1"/>
        <w:tblW w:w="0" w:type="auto"/>
        <w:tblLayout w:type="fixed"/>
        <w:tblLook w:val="04A0" w:firstRow="1" w:lastRow="0" w:firstColumn="1" w:lastColumn="0" w:noHBand="0" w:noVBand="1"/>
      </w:tblPr>
      <w:tblGrid>
        <w:gridCol w:w="1851"/>
        <w:gridCol w:w="1851"/>
        <w:gridCol w:w="1851"/>
        <w:gridCol w:w="1851"/>
        <w:gridCol w:w="1851"/>
        <w:gridCol w:w="1851"/>
        <w:gridCol w:w="1851"/>
      </w:tblGrid>
      <w:tr w:rsidR="032B93E0" w14:paraId="6A8451A2" w14:textId="77777777" w:rsidTr="004E2940">
        <w:tc>
          <w:tcPr>
            <w:tcW w:w="1851" w:type="dxa"/>
          </w:tcPr>
          <w:p w14:paraId="12F45185" w14:textId="4D820DD3" w:rsidR="032B93E0" w:rsidRDefault="032B93E0" w:rsidP="032B93E0">
            <w:pPr>
              <w:jc w:val="center"/>
              <w:rPr>
                <w:rFonts w:eastAsia="Times New Roman"/>
                <w:b/>
                <w:bCs/>
                <w:sz w:val="20"/>
                <w:szCs w:val="20"/>
              </w:rPr>
            </w:pPr>
            <w:r w:rsidRPr="032B93E0">
              <w:rPr>
                <w:rFonts w:eastAsia="Times New Roman"/>
                <w:b/>
                <w:bCs/>
                <w:sz w:val="20"/>
                <w:szCs w:val="20"/>
              </w:rPr>
              <w:t>Study Day (Relative to Challenge)</w:t>
            </w:r>
          </w:p>
        </w:tc>
        <w:tc>
          <w:tcPr>
            <w:tcW w:w="1851" w:type="dxa"/>
          </w:tcPr>
          <w:p w14:paraId="26B867F5" w14:textId="1CABF313"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Blood Collection Volume/ </w:t>
            </w:r>
          </w:p>
          <w:p w14:paraId="178E3E41" w14:textId="345446F0"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Blood Tube</w:t>
            </w:r>
          </w:p>
        </w:tc>
        <w:tc>
          <w:tcPr>
            <w:tcW w:w="1851" w:type="dxa"/>
          </w:tcPr>
          <w:p w14:paraId="795450B2" w14:textId="1D240D62"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Sera for MNA, MSD-ECLIA, </w:t>
            </w:r>
            <w:proofErr w:type="spellStart"/>
            <w:r w:rsidRPr="032B93E0">
              <w:rPr>
                <w:rFonts w:eastAsia="Times New Roman"/>
                <w:b/>
                <w:bCs/>
                <w:color w:val="000000" w:themeColor="text1"/>
                <w:sz w:val="20"/>
                <w:szCs w:val="20"/>
              </w:rPr>
              <w:t>PsVNA</w:t>
            </w:r>
            <w:proofErr w:type="spellEnd"/>
            <w:r w:rsidRPr="032B93E0">
              <w:rPr>
                <w:rFonts w:eastAsia="Times New Roman"/>
                <w:b/>
                <w:bCs/>
                <w:color w:val="000000" w:themeColor="text1"/>
                <w:sz w:val="20"/>
                <w:szCs w:val="20"/>
              </w:rPr>
              <w:t>, ^Systems Serology, Retentions</w:t>
            </w:r>
          </w:p>
        </w:tc>
        <w:tc>
          <w:tcPr>
            <w:tcW w:w="1851" w:type="dxa"/>
          </w:tcPr>
          <w:p w14:paraId="3F035141" w14:textId="615B1FD6" w:rsidR="032B93E0" w:rsidRDefault="032B93E0" w:rsidP="032B93E0">
            <w:pPr>
              <w:jc w:val="center"/>
              <w:rPr>
                <w:rFonts w:eastAsia="Times New Roman"/>
                <w:b/>
                <w:bCs/>
                <w:sz w:val="20"/>
                <w:szCs w:val="20"/>
              </w:rPr>
            </w:pPr>
            <w:r w:rsidRPr="032B93E0">
              <w:rPr>
                <w:rFonts w:eastAsia="Times New Roman"/>
                <w:b/>
                <w:bCs/>
                <w:sz w:val="20"/>
                <w:szCs w:val="20"/>
              </w:rPr>
              <w:t xml:space="preserve"> </w:t>
            </w:r>
          </w:p>
          <w:p w14:paraId="096FAA1E" w14:textId="7EAC4153"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BAL Collection</w:t>
            </w:r>
          </w:p>
        </w:tc>
        <w:tc>
          <w:tcPr>
            <w:tcW w:w="1851" w:type="dxa"/>
          </w:tcPr>
          <w:p w14:paraId="54FFC028" w14:textId="0A3033C1"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Nasal / </w:t>
            </w:r>
            <w:proofErr w:type="gramStart"/>
            <w:r w:rsidRPr="032B93E0">
              <w:rPr>
                <w:rFonts w:eastAsia="Times New Roman"/>
                <w:b/>
                <w:bCs/>
                <w:color w:val="000000" w:themeColor="text1"/>
                <w:sz w:val="20"/>
                <w:szCs w:val="20"/>
              </w:rPr>
              <w:t>Oropharyngeal  Swabs</w:t>
            </w:r>
            <w:proofErr w:type="gramEnd"/>
          </w:p>
        </w:tc>
        <w:tc>
          <w:tcPr>
            <w:tcW w:w="1851" w:type="dxa"/>
          </w:tcPr>
          <w:p w14:paraId="4DF84D0F" w14:textId="690FFF08"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Nasal Wash</w:t>
            </w:r>
          </w:p>
        </w:tc>
        <w:tc>
          <w:tcPr>
            <w:tcW w:w="1851" w:type="dxa"/>
          </w:tcPr>
          <w:p w14:paraId="5EBA6FFD" w14:textId="3747C549"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PBMC</w:t>
            </w:r>
          </w:p>
        </w:tc>
      </w:tr>
      <w:tr w:rsidR="032B93E0" w14:paraId="005D4F37" w14:textId="77777777" w:rsidTr="004E2940">
        <w:tc>
          <w:tcPr>
            <w:tcW w:w="1851" w:type="dxa"/>
          </w:tcPr>
          <w:p w14:paraId="589060E3" w14:textId="37C0A6E9" w:rsidR="032B93E0" w:rsidRDefault="032B93E0" w:rsidP="032B93E0">
            <w:pPr>
              <w:jc w:val="center"/>
              <w:rPr>
                <w:rFonts w:eastAsia="Times New Roman"/>
                <w:sz w:val="20"/>
                <w:szCs w:val="20"/>
              </w:rPr>
            </w:pPr>
            <w:r w:rsidRPr="032B93E0">
              <w:rPr>
                <w:rFonts w:eastAsia="Times New Roman"/>
                <w:sz w:val="20"/>
                <w:szCs w:val="20"/>
              </w:rPr>
              <w:t>Prior to Vaccination</w:t>
            </w:r>
          </w:p>
        </w:tc>
        <w:tc>
          <w:tcPr>
            <w:tcW w:w="1851" w:type="dxa"/>
          </w:tcPr>
          <w:p w14:paraId="3A5E83E7" w14:textId="1D7709CA" w:rsidR="032B93E0" w:rsidRDefault="032B93E0" w:rsidP="032B93E0">
            <w:pPr>
              <w:jc w:val="center"/>
              <w:rPr>
                <w:rFonts w:eastAsia="Times New Roman"/>
                <w:sz w:val="20"/>
                <w:szCs w:val="20"/>
              </w:rPr>
            </w:pPr>
            <w:r w:rsidRPr="032B93E0">
              <w:rPr>
                <w:rFonts w:eastAsia="Times New Roman"/>
                <w:sz w:val="20"/>
                <w:szCs w:val="20"/>
              </w:rPr>
              <w:t>~6 mL SST</w:t>
            </w:r>
          </w:p>
          <w:p w14:paraId="7C1D7032" w14:textId="019A21A1" w:rsidR="032B93E0" w:rsidRDefault="032B93E0" w:rsidP="032B93E0">
            <w:pPr>
              <w:jc w:val="center"/>
              <w:rPr>
                <w:rFonts w:eastAsia="Times New Roman"/>
                <w:sz w:val="20"/>
                <w:szCs w:val="20"/>
              </w:rPr>
            </w:pPr>
            <w:r w:rsidRPr="032B93E0">
              <w:rPr>
                <w:rFonts w:eastAsia="Times New Roman"/>
                <w:sz w:val="20"/>
                <w:szCs w:val="20"/>
              </w:rPr>
              <w:t>~16 mL CPT</w:t>
            </w:r>
          </w:p>
        </w:tc>
        <w:tc>
          <w:tcPr>
            <w:tcW w:w="1851" w:type="dxa"/>
          </w:tcPr>
          <w:p w14:paraId="6229CE83" w14:textId="5D7C6B37"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5B6B4B1" w14:textId="6228F5A4"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5FD33FC6" w14:textId="1C26A53B"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7A079E19" w14:textId="289C652B"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23CBA077" w14:textId="73D5A916" w:rsidR="032B93E0" w:rsidRDefault="032B93E0" w:rsidP="032B93E0">
            <w:pPr>
              <w:jc w:val="center"/>
              <w:rPr>
                <w:rFonts w:eastAsia="Times New Roman"/>
                <w:sz w:val="20"/>
                <w:szCs w:val="20"/>
              </w:rPr>
            </w:pPr>
            <w:r w:rsidRPr="032B93E0">
              <w:rPr>
                <w:rFonts w:eastAsia="Times New Roman"/>
                <w:sz w:val="20"/>
                <w:szCs w:val="20"/>
              </w:rPr>
              <w:t>X</w:t>
            </w:r>
          </w:p>
        </w:tc>
      </w:tr>
      <w:tr w:rsidR="032B93E0" w14:paraId="5A6DFB61" w14:textId="77777777" w:rsidTr="004E2940">
        <w:tc>
          <w:tcPr>
            <w:tcW w:w="1851" w:type="dxa"/>
          </w:tcPr>
          <w:p w14:paraId="22E0CA7D" w14:textId="6FDA8934" w:rsidR="032B93E0" w:rsidRDefault="032B93E0" w:rsidP="032B93E0">
            <w:pPr>
              <w:jc w:val="center"/>
              <w:rPr>
                <w:rFonts w:eastAsia="Times New Roman"/>
                <w:sz w:val="20"/>
                <w:szCs w:val="20"/>
              </w:rPr>
            </w:pPr>
            <w:r w:rsidRPr="032B93E0">
              <w:rPr>
                <w:rFonts w:eastAsia="Times New Roman"/>
                <w:sz w:val="20"/>
                <w:szCs w:val="20"/>
              </w:rPr>
              <w:t xml:space="preserve">7 (Day -42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767ACB92" w14:textId="2861E355"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561D6319" w14:textId="40A2613F"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2A082E87" w14:textId="4EFB0CC9"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94FA590" w14:textId="45F74A09"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5E89ADD3" w14:textId="57F5FF2D"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4396D28" w14:textId="584D703E"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6DAB1C6F" w14:textId="77777777" w:rsidTr="004E2940">
        <w:tc>
          <w:tcPr>
            <w:tcW w:w="1851" w:type="dxa"/>
          </w:tcPr>
          <w:p w14:paraId="60E5D133" w14:textId="0575036A" w:rsidR="032B93E0" w:rsidRDefault="032B93E0" w:rsidP="032B93E0">
            <w:pPr>
              <w:jc w:val="center"/>
              <w:rPr>
                <w:rFonts w:eastAsia="Times New Roman"/>
                <w:sz w:val="20"/>
                <w:szCs w:val="20"/>
              </w:rPr>
            </w:pPr>
            <w:r w:rsidRPr="032B93E0">
              <w:rPr>
                <w:rFonts w:eastAsia="Times New Roman"/>
                <w:sz w:val="20"/>
                <w:szCs w:val="20"/>
              </w:rPr>
              <w:t xml:space="preserve">14 (Day -35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4D42D92F" w14:textId="154EDAB6"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570B5D46" w14:textId="749AB0E5"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20947C3D" w14:textId="5CBA4892"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F91EEF6" w14:textId="552AE291"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95E85FD" w14:textId="3FF3EE82"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7AEB30B" w14:textId="1A9EB060"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14CAB746" w14:textId="77777777" w:rsidTr="004E2940">
        <w:tc>
          <w:tcPr>
            <w:tcW w:w="1851" w:type="dxa"/>
          </w:tcPr>
          <w:p w14:paraId="0C341563" w14:textId="7528DFA4" w:rsidR="032B93E0" w:rsidRDefault="032B93E0" w:rsidP="032B93E0">
            <w:pPr>
              <w:jc w:val="center"/>
              <w:rPr>
                <w:rFonts w:eastAsia="Times New Roman"/>
                <w:sz w:val="20"/>
                <w:szCs w:val="20"/>
              </w:rPr>
            </w:pPr>
            <w:r w:rsidRPr="032B93E0">
              <w:rPr>
                <w:rFonts w:eastAsia="Times New Roman"/>
                <w:sz w:val="20"/>
                <w:szCs w:val="20"/>
              </w:rPr>
              <w:t xml:space="preserve">21 (Day -28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57B6089A" w14:textId="1F1D0C53"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45B68C27" w14:textId="0D23127F"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355458C" w14:textId="10359E59"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9AC6A11" w14:textId="2D067290"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5A10A4ED" w14:textId="4FF3E2CD"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5BBF75E" w14:textId="733169FE"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1AB248C8" w14:textId="77777777" w:rsidTr="004E2940">
        <w:tc>
          <w:tcPr>
            <w:tcW w:w="1851" w:type="dxa"/>
          </w:tcPr>
          <w:p w14:paraId="5DE912D2" w14:textId="33BA691E" w:rsidR="032B93E0" w:rsidRDefault="032B93E0" w:rsidP="032B93E0">
            <w:pPr>
              <w:jc w:val="center"/>
              <w:rPr>
                <w:rFonts w:eastAsia="Times New Roman"/>
                <w:sz w:val="20"/>
                <w:szCs w:val="20"/>
              </w:rPr>
            </w:pPr>
            <w:r w:rsidRPr="032B93E0">
              <w:rPr>
                <w:rFonts w:eastAsia="Times New Roman"/>
                <w:sz w:val="20"/>
                <w:szCs w:val="20"/>
              </w:rPr>
              <w:t xml:space="preserve">28 (Day -21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1A3482DA" w14:textId="27E57F24"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54B2F556" w14:textId="2B8CAA06"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5FD847EE" w14:textId="13D4F4CE"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4BD8DDC" w14:textId="0BA7A287"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00F4E96" w14:textId="493C91F2"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AEE361C" w14:textId="4B3666A6"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459AC866" w14:textId="77777777" w:rsidTr="004E2940">
        <w:tc>
          <w:tcPr>
            <w:tcW w:w="1851" w:type="dxa"/>
          </w:tcPr>
          <w:p w14:paraId="6052D157" w14:textId="4585FE7B" w:rsidR="032B93E0" w:rsidRDefault="032B93E0" w:rsidP="032B93E0">
            <w:pPr>
              <w:jc w:val="center"/>
              <w:rPr>
                <w:rFonts w:eastAsia="Times New Roman"/>
                <w:sz w:val="20"/>
                <w:szCs w:val="20"/>
              </w:rPr>
            </w:pPr>
            <w:r w:rsidRPr="032B93E0">
              <w:rPr>
                <w:rFonts w:eastAsia="Times New Roman"/>
                <w:sz w:val="20"/>
                <w:szCs w:val="20"/>
              </w:rPr>
              <w:t xml:space="preserve">35 (Day -14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55BB34A7" w14:textId="4E3C8381" w:rsidR="032B93E0" w:rsidRDefault="032B93E0" w:rsidP="032B93E0">
            <w:pPr>
              <w:jc w:val="center"/>
              <w:rPr>
                <w:rFonts w:eastAsia="Times New Roman"/>
                <w:sz w:val="20"/>
                <w:szCs w:val="20"/>
              </w:rPr>
            </w:pPr>
            <w:r w:rsidRPr="032B93E0">
              <w:rPr>
                <w:rFonts w:eastAsia="Times New Roman"/>
                <w:sz w:val="20"/>
                <w:szCs w:val="20"/>
              </w:rPr>
              <w:t>~6 mL SST</w:t>
            </w:r>
          </w:p>
          <w:p w14:paraId="6A99E32D" w14:textId="5F41A0EF" w:rsidR="032B93E0" w:rsidRDefault="032B93E0" w:rsidP="032B93E0">
            <w:pPr>
              <w:jc w:val="center"/>
              <w:rPr>
                <w:rFonts w:eastAsia="Times New Roman"/>
                <w:sz w:val="20"/>
                <w:szCs w:val="20"/>
              </w:rPr>
            </w:pPr>
            <w:r w:rsidRPr="032B93E0">
              <w:rPr>
                <w:rFonts w:eastAsia="Times New Roman"/>
                <w:sz w:val="20"/>
                <w:szCs w:val="20"/>
              </w:rPr>
              <w:t>~16 mL CPT</w:t>
            </w:r>
          </w:p>
        </w:tc>
        <w:tc>
          <w:tcPr>
            <w:tcW w:w="1851" w:type="dxa"/>
          </w:tcPr>
          <w:p w14:paraId="14B16B30" w14:textId="4B80A4D7"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AC61B33" w14:textId="56BDD600"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185310F" w14:textId="7F0845A4"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2EFFFEF9" w14:textId="6F0644C6"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6C0BFE4B" w14:textId="038D9175" w:rsidR="032B93E0" w:rsidRDefault="032B93E0" w:rsidP="032B93E0">
            <w:pPr>
              <w:jc w:val="center"/>
              <w:rPr>
                <w:rFonts w:eastAsia="Times New Roman"/>
                <w:sz w:val="20"/>
                <w:szCs w:val="20"/>
              </w:rPr>
            </w:pPr>
            <w:r w:rsidRPr="032B93E0">
              <w:rPr>
                <w:rFonts w:eastAsia="Times New Roman"/>
                <w:sz w:val="20"/>
                <w:szCs w:val="20"/>
              </w:rPr>
              <w:t>X</w:t>
            </w:r>
          </w:p>
        </w:tc>
      </w:tr>
      <w:tr w:rsidR="032B93E0" w14:paraId="347A3B08" w14:textId="77777777" w:rsidTr="004E2940">
        <w:tc>
          <w:tcPr>
            <w:tcW w:w="1851" w:type="dxa"/>
          </w:tcPr>
          <w:p w14:paraId="04339EFE" w14:textId="00A444E8" w:rsidR="032B93E0" w:rsidRDefault="032B93E0" w:rsidP="032B93E0">
            <w:pPr>
              <w:jc w:val="center"/>
              <w:rPr>
                <w:rFonts w:eastAsia="Times New Roman"/>
                <w:sz w:val="20"/>
                <w:szCs w:val="20"/>
              </w:rPr>
            </w:pPr>
            <w:r w:rsidRPr="032B93E0">
              <w:rPr>
                <w:rFonts w:eastAsia="Times New Roman"/>
                <w:sz w:val="20"/>
                <w:szCs w:val="20"/>
              </w:rPr>
              <w:t xml:space="preserve">42 (Day -7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49FE23CA" w14:textId="035FC894"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7EA28C1D" w14:textId="00F6EDD5"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35DDABF" w14:textId="13ED1377"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984EE14" w14:textId="0A81C86C"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531D416" w14:textId="7AA10AE6"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54D530C" w14:textId="12F66BD9"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11F41DC1" w14:textId="77777777" w:rsidTr="004E2940">
        <w:tc>
          <w:tcPr>
            <w:tcW w:w="1851" w:type="dxa"/>
          </w:tcPr>
          <w:p w14:paraId="49B1E15F" w14:textId="26DB5DE1" w:rsidR="032B93E0" w:rsidRDefault="032B93E0" w:rsidP="032B93E0">
            <w:pPr>
              <w:jc w:val="center"/>
              <w:rPr>
                <w:rFonts w:eastAsia="Times New Roman"/>
                <w:sz w:val="20"/>
                <w:szCs w:val="20"/>
              </w:rPr>
            </w:pPr>
            <w:r w:rsidRPr="032B93E0">
              <w:rPr>
                <w:rFonts w:eastAsia="Times New Roman"/>
                <w:sz w:val="20"/>
                <w:szCs w:val="20"/>
              </w:rPr>
              <w:t>*49 (Challenge)</w:t>
            </w:r>
          </w:p>
        </w:tc>
        <w:tc>
          <w:tcPr>
            <w:tcW w:w="1851" w:type="dxa"/>
          </w:tcPr>
          <w:p w14:paraId="5169FEA8" w14:textId="41350E93"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4CF87AD2" w14:textId="2D5DBF58"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4C32E251" w14:textId="57994498"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8755B77" w14:textId="6A1CEEA9"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D8240EE" w14:textId="0667CE1C"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DDF60CB" w14:textId="23488688"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23F5390D" w14:textId="77777777" w:rsidTr="004E2940">
        <w:tc>
          <w:tcPr>
            <w:tcW w:w="1851" w:type="dxa"/>
          </w:tcPr>
          <w:p w14:paraId="6344A6A7" w14:textId="52096A95" w:rsidR="032B93E0" w:rsidRDefault="032B93E0" w:rsidP="032B93E0">
            <w:pPr>
              <w:jc w:val="center"/>
              <w:rPr>
                <w:rFonts w:eastAsia="Times New Roman"/>
                <w:sz w:val="20"/>
                <w:szCs w:val="20"/>
              </w:rPr>
            </w:pPr>
            <w:r w:rsidRPr="032B93E0">
              <w:rPr>
                <w:rFonts w:eastAsia="Times New Roman"/>
                <w:sz w:val="20"/>
                <w:szCs w:val="20"/>
              </w:rPr>
              <w:t>50 (Day 1 PC)</w:t>
            </w:r>
          </w:p>
        </w:tc>
        <w:tc>
          <w:tcPr>
            <w:tcW w:w="1851" w:type="dxa"/>
          </w:tcPr>
          <w:p w14:paraId="666D171B" w14:textId="3FCDEBBD"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A6B301D" w14:textId="37BCF70D"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7262354" w14:textId="02F5B950"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B04F505" w14:textId="6CCC5261"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512F91BD" w14:textId="7A1AAD97"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404DFA0" w14:textId="0F60C3C1"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7D5CB09E" w14:textId="77777777" w:rsidTr="004E2940">
        <w:tc>
          <w:tcPr>
            <w:tcW w:w="1851" w:type="dxa"/>
          </w:tcPr>
          <w:p w14:paraId="16BB60AE" w14:textId="4979181F" w:rsidR="032B93E0" w:rsidRDefault="032B93E0" w:rsidP="032B93E0">
            <w:pPr>
              <w:jc w:val="center"/>
              <w:rPr>
                <w:rFonts w:eastAsia="Times New Roman"/>
                <w:sz w:val="20"/>
                <w:szCs w:val="20"/>
              </w:rPr>
            </w:pPr>
            <w:r w:rsidRPr="032B93E0">
              <w:rPr>
                <w:rFonts w:eastAsia="Times New Roman"/>
                <w:sz w:val="20"/>
                <w:szCs w:val="20"/>
              </w:rPr>
              <w:t>51 (Day 2 PC)</w:t>
            </w:r>
          </w:p>
        </w:tc>
        <w:tc>
          <w:tcPr>
            <w:tcW w:w="1851" w:type="dxa"/>
          </w:tcPr>
          <w:p w14:paraId="71B3A771" w14:textId="49F39114" w:rsidR="032B93E0" w:rsidRDefault="032B93E0" w:rsidP="032B93E0">
            <w:pPr>
              <w:jc w:val="center"/>
              <w:rPr>
                <w:rFonts w:eastAsia="Times New Roman"/>
                <w:sz w:val="20"/>
                <w:szCs w:val="20"/>
              </w:rPr>
            </w:pPr>
            <w:r w:rsidRPr="032B93E0">
              <w:rPr>
                <w:rFonts w:eastAsia="Times New Roman"/>
                <w:sz w:val="20"/>
                <w:szCs w:val="20"/>
              </w:rPr>
              <w:t>~3 mL SST</w:t>
            </w:r>
          </w:p>
        </w:tc>
        <w:tc>
          <w:tcPr>
            <w:tcW w:w="1851" w:type="dxa"/>
          </w:tcPr>
          <w:p w14:paraId="0241FB43" w14:textId="491E027E"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03E23E2" w14:textId="7EEA89CB"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4763E7C6" w14:textId="50706F70"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6F4D075C" w14:textId="59F6EEA9"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2DF23BA" w14:textId="7392479B"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2BA166EA" w14:textId="77777777" w:rsidTr="004E2940">
        <w:tc>
          <w:tcPr>
            <w:tcW w:w="1851" w:type="dxa"/>
          </w:tcPr>
          <w:p w14:paraId="67B51750" w14:textId="6F11D2A9" w:rsidR="032B93E0" w:rsidRDefault="032B93E0" w:rsidP="032B93E0">
            <w:pPr>
              <w:jc w:val="center"/>
              <w:rPr>
                <w:rFonts w:eastAsia="Times New Roman"/>
                <w:sz w:val="20"/>
                <w:szCs w:val="20"/>
              </w:rPr>
            </w:pPr>
            <w:r w:rsidRPr="032B93E0">
              <w:rPr>
                <w:rFonts w:eastAsia="Times New Roman"/>
                <w:sz w:val="20"/>
                <w:szCs w:val="20"/>
              </w:rPr>
              <w:t>52 (Day 3 PC)</w:t>
            </w:r>
          </w:p>
        </w:tc>
        <w:tc>
          <w:tcPr>
            <w:tcW w:w="1851" w:type="dxa"/>
          </w:tcPr>
          <w:p w14:paraId="1C086CC1" w14:textId="2122825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4972368" w14:textId="1B008B6C" w:rsidR="032B93E0" w:rsidRDefault="032B93E0"/>
        </w:tc>
        <w:tc>
          <w:tcPr>
            <w:tcW w:w="1851" w:type="dxa"/>
          </w:tcPr>
          <w:p w14:paraId="0FDE5A08" w14:textId="06145BF8"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5FE05ED0" w14:textId="2F45F1AA"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F625172" w14:textId="2A4BC013"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67E76A8" w14:textId="62BDE5ED"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1B655C9B" w14:textId="77777777" w:rsidTr="004E2940">
        <w:tc>
          <w:tcPr>
            <w:tcW w:w="1851" w:type="dxa"/>
          </w:tcPr>
          <w:p w14:paraId="46CC3A20" w14:textId="4BD442FB" w:rsidR="032B93E0" w:rsidRDefault="032B93E0" w:rsidP="032B93E0">
            <w:pPr>
              <w:jc w:val="center"/>
              <w:rPr>
                <w:rFonts w:eastAsia="Times New Roman"/>
                <w:sz w:val="20"/>
                <w:szCs w:val="20"/>
              </w:rPr>
            </w:pPr>
            <w:r w:rsidRPr="032B93E0">
              <w:rPr>
                <w:rFonts w:eastAsia="Times New Roman"/>
                <w:sz w:val="20"/>
                <w:szCs w:val="20"/>
              </w:rPr>
              <w:t>53 (Day 4 PC)</w:t>
            </w:r>
          </w:p>
        </w:tc>
        <w:tc>
          <w:tcPr>
            <w:tcW w:w="1851" w:type="dxa"/>
          </w:tcPr>
          <w:p w14:paraId="3A21EF27" w14:textId="20118894" w:rsidR="032B93E0" w:rsidRDefault="032B93E0" w:rsidP="032B93E0">
            <w:pPr>
              <w:jc w:val="center"/>
              <w:rPr>
                <w:rFonts w:eastAsia="Times New Roman"/>
                <w:sz w:val="20"/>
                <w:szCs w:val="20"/>
              </w:rPr>
            </w:pPr>
            <w:r w:rsidRPr="032B93E0">
              <w:rPr>
                <w:rFonts w:eastAsia="Times New Roman"/>
                <w:sz w:val="20"/>
                <w:szCs w:val="20"/>
              </w:rPr>
              <w:t>~3 mL SST</w:t>
            </w:r>
          </w:p>
        </w:tc>
        <w:tc>
          <w:tcPr>
            <w:tcW w:w="1851" w:type="dxa"/>
          </w:tcPr>
          <w:p w14:paraId="000D7772" w14:textId="4D2D10A1"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D5D507D" w14:textId="443ECEF0"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34DCA17" w14:textId="7691C1B8"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4D809F02" w14:textId="4DDEBBBA"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6C9AC66" w14:textId="34961F85"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1ABA4D55" w14:textId="77777777" w:rsidTr="004E2940">
        <w:tc>
          <w:tcPr>
            <w:tcW w:w="1851" w:type="dxa"/>
          </w:tcPr>
          <w:p w14:paraId="71512FE3" w14:textId="4B5F936A" w:rsidR="032B93E0" w:rsidRDefault="032B93E0" w:rsidP="032B93E0">
            <w:pPr>
              <w:jc w:val="center"/>
              <w:rPr>
                <w:rFonts w:eastAsia="Times New Roman"/>
                <w:sz w:val="20"/>
                <w:szCs w:val="20"/>
              </w:rPr>
            </w:pPr>
            <w:r w:rsidRPr="032B93E0">
              <w:rPr>
                <w:rFonts w:eastAsia="Times New Roman"/>
                <w:sz w:val="20"/>
                <w:szCs w:val="20"/>
              </w:rPr>
              <w:lastRenderedPageBreak/>
              <w:t>54 (Day 5 PC)</w:t>
            </w:r>
          </w:p>
        </w:tc>
        <w:tc>
          <w:tcPr>
            <w:tcW w:w="1851" w:type="dxa"/>
          </w:tcPr>
          <w:p w14:paraId="6496A028" w14:textId="38AB789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6BCA64B" w14:textId="1C6405E3"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6C9A1BD" w14:textId="45AB1BAB"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2AAD6ED" w14:textId="49F8E80D"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2BC8CCC" w14:textId="66DA48DC"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5ED78555" w14:textId="4F8598BE"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77DA1FEC" w14:textId="77777777" w:rsidTr="004E2940">
        <w:tc>
          <w:tcPr>
            <w:tcW w:w="1851" w:type="dxa"/>
          </w:tcPr>
          <w:p w14:paraId="552AC2CD" w14:textId="663C72B8" w:rsidR="032B93E0" w:rsidRDefault="032B93E0" w:rsidP="032B93E0">
            <w:pPr>
              <w:jc w:val="center"/>
              <w:rPr>
                <w:rFonts w:eastAsia="Times New Roman"/>
                <w:sz w:val="20"/>
                <w:szCs w:val="20"/>
              </w:rPr>
            </w:pPr>
            <w:r w:rsidRPr="032B93E0">
              <w:rPr>
                <w:rFonts w:eastAsia="Times New Roman"/>
                <w:sz w:val="20"/>
                <w:szCs w:val="20"/>
              </w:rPr>
              <w:t>55 (Day 6 PC)</w:t>
            </w:r>
          </w:p>
        </w:tc>
        <w:tc>
          <w:tcPr>
            <w:tcW w:w="1851" w:type="dxa"/>
          </w:tcPr>
          <w:p w14:paraId="7391C086" w14:textId="46CA256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44257F5" w14:textId="35FEA5B6"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0F9E889" w14:textId="1D179AFD"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3B5E520" w14:textId="53AED2C9"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468D0A1F" w14:textId="3F94F70E"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2996FF1" w14:textId="0004A3A9"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7A8AC32F" w14:textId="77777777" w:rsidTr="004E2940">
        <w:tc>
          <w:tcPr>
            <w:tcW w:w="1851" w:type="dxa"/>
          </w:tcPr>
          <w:p w14:paraId="1B17538C" w14:textId="289E01CD" w:rsidR="032B93E0" w:rsidRDefault="032B93E0" w:rsidP="032B93E0">
            <w:pPr>
              <w:jc w:val="center"/>
              <w:rPr>
                <w:rFonts w:eastAsia="Times New Roman"/>
                <w:sz w:val="20"/>
                <w:szCs w:val="20"/>
              </w:rPr>
            </w:pPr>
            <w:r w:rsidRPr="032B93E0">
              <w:rPr>
                <w:rFonts w:eastAsia="Times New Roman"/>
                <w:sz w:val="20"/>
                <w:szCs w:val="20"/>
              </w:rPr>
              <w:t>56 (Day 7 PC)</w:t>
            </w:r>
          </w:p>
        </w:tc>
        <w:tc>
          <w:tcPr>
            <w:tcW w:w="1851" w:type="dxa"/>
          </w:tcPr>
          <w:p w14:paraId="4C572E6C" w14:textId="5BB16736" w:rsidR="032B93E0" w:rsidRDefault="032B93E0" w:rsidP="032B93E0">
            <w:pPr>
              <w:jc w:val="center"/>
              <w:rPr>
                <w:rFonts w:eastAsia="Times New Roman"/>
                <w:sz w:val="20"/>
                <w:szCs w:val="20"/>
              </w:rPr>
            </w:pPr>
            <w:r w:rsidRPr="032B93E0">
              <w:rPr>
                <w:rFonts w:eastAsia="Times New Roman"/>
                <w:sz w:val="20"/>
                <w:szCs w:val="20"/>
              </w:rPr>
              <w:t>~3 mL SST</w:t>
            </w:r>
          </w:p>
        </w:tc>
        <w:tc>
          <w:tcPr>
            <w:tcW w:w="1851" w:type="dxa"/>
          </w:tcPr>
          <w:p w14:paraId="54425B44" w14:textId="3AE50BE6"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67A1BEB" w14:textId="1545425C"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C8CF25A" w14:textId="1C5D6D65"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62D7AD35" w14:textId="7FC2AE33"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03529A0" w14:textId="4386C053"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5F3D96A5" w14:textId="77777777" w:rsidTr="004E2940">
        <w:tc>
          <w:tcPr>
            <w:tcW w:w="1851" w:type="dxa"/>
          </w:tcPr>
          <w:p w14:paraId="727356FD" w14:textId="0AAECDC1" w:rsidR="032B93E0" w:rsidRDefault="032B93E0" w:rsidP="032B93E0">
            <w:pPr>
              <w:jc w:val="center"/>
              <w:rPr>
                <w:rFonts w:eastAsia="Times New Roman"/>
                <w:sz w:val="20"/>
                <w:szCs w:val="20"/>
              </w:rPr>
            </w:pPr>
            <w:r w:rsidRPr="032B93E0">
              <w:rPr>
                <w:rFonts w:eastAsia="Times New Roman"/>
                <w:sz w:val="20"/>
                <w:szCs w:val="20"/>
              </w:rPr>
              <w:t xml:space="preserve">59 (Day 9 PC) </w:t>
            </w:r>
          </w:p>
        </w:tc>
        <w:tc>
          <w:tcPr>
            <w:tcW w:w="1851" w:type="dxa"/>
          </w:tcPr>
          <w:p w14:paraId="1A760148" w14:textId="3FD16D77" w:rsidR="032B93E0" w:rsidRDefault="032B93E0" w:rsidP="032B93E0">
            <w:pPr>
              <w:jc w:val="center"/>
              <w:rPr>
                <w:rFonts w:eastAsia="Times New Roman"/>
                <w:sz w:val="20"/>
                <w:szCs w:val="20"/>
              </w:rPr>
            </w:pPr>
            <w:r w:rsidRPr="032B93E0">
              <w:rPr>
                <w:rFonts w:eastAsia="Times New Roman"/>
                <w:sz w:val="20"/>
                <w:szCs w:val="20"/>
              </w:rPr>
              <w:t>~3 mL SST</w:t>
            </w:r>
          </w:p>
        </w:tc>
        <w:tc>
          <w:tcPr>
            <w:tcW w:w="1851" w:type="dxa"/>
          </w:tcPr>
          <w:p w14:paraId="6AB829C7" w14:textId="792BEDCB"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2ED87C2B" w14:textId="6BC60F1A"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BB88871" w14:textId="4A636E26"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9CB4CFF" w14:textId="39CA4DFA"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52DB649" w14:textId="5784DDC3"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75BFEFA0" w14:textId="77777777" w:rsidTr="004E2940">
        <w:tc>
          <w:tcPr>
            <w:tcW w:w="1851" w:type="dxa"/>
          </w:tcPr>
          <w:p w14:paraId="66E4EE90" w14:textId="0561EBC4"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63 (Day 14 PC)</w:t>
            </w:r>
          </w:p>
        </w:tc>
        <w:tc>
          <w:tcPr>
            <w:tcW w:w="1851" w:type="dxa"/>
          </w:tcPr>
          <w:p w14:paraId="3F612251" w14:textId="74E2AB0A"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w:t>
            </w:r>
            <w:proofErr w:type="gramStart"/>
            <w:r w:rsidR="00E35573" w:rsidRPr="00B6630D">
              <w:rPr>
                <w:rFonts w:eastAsia="Times New Roman"/>
                <w:sz w:val="20"/>
                <w:szCs w:val="20"/>
              </w:rPr>
              <w:t xml:space="preserve">40  </w:t>
            </w:r>
            <w:r w:rsidRPr="00B6630D">
              <w:rPr>
                <w:rFonts w:eastAsia="Times New Roman"/>
                <w:sz w:val="20"/>
                <w:szCs w:val="20"/>
              </w:rPr>
              <w:t>mL</w:t>
            </w:r>
            <w:proofErr w:type="gramEnd"/>
            <w:r w:rsidRPr="00B6630D">
              <w:rPr>
                <w:rFonts w:eastAsia="Times New Roman"/>
                <w:sz w:val="20"/>
                <w:szCs w:val="20"/>
              </w:rPr>
              <w:t xml:space="preserve"> SST</w:t>
            </w:r>
          </w:p>
        </w:tc>
        <w:tc>
          <w:tcPr>
            <w:tcW w:w="1851" w:type="dxa"/>
          </w:tcPr>
          <w:p w14:paraId="79C47B94" w14:textId="672636EC"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X</w:t>
            </w:r>
          </w:p>
        </w:tc>
        <w:tc>
          <w:tcPr>
            <w:tcW w:w="1851" w:type="dxa"/>
          </w:tcPr>
          <w:p w14:paraId="7E1D665A" w14:textId="4C618FA3"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 xml:space="preserve"> </w:t>
            </w:r>
          </w:p>
        </w:tc>
        <w:tc>
          <w:tcPr>
            <w:tcW w:w="1851" w:type="dxa"/>
          </w:tcPr>
          <w:p w14:paraId="3339CFF1" w14:textId="4AD8F851"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X</w:t>
            </w:r>
          </w:p>
        </w:tc>
        <w:tc>
          <w:tcPr>
            <w:tcW w:w="1851" w:type="dxa"/>
          </w:tcPr>
          <w:p w14:paraId="68DE0F06" w14:textId="28D73BB7"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 xml:space="preserve"> </w:t>
            </w:r>
          </w:p>
        </w:tc>
        <w:tc>
          <w:tcPr>
            <w:tcW w:w="1851" w:type="dxa"/>
          </w:tcPr>
          <w:p w14:paraId="61B420AA" w14:textId="69DCE5C7" w:rsidR="032B93E0" w:rsidRPr="00B6630D" w:rsidRDefault="032B93E0" w:rsidP="004E2940">
            <w:pPr>
              <w:spacing w:line="240" w:lineRule="auto"/>
              <w:jc w:val="center"/>
              <w:rPr>
                <w:rFonts w:eastAsia="Times New Roman"/>
                <w:sz w:val="20"/>
                <w:szCs w:val="20"/>
              </w:rPr>
            </w:pPr>
          </w:p>
        </w:tc>
      </w:tr>
    </w:tbl>
    <w:p w14:paraId="1BE0B21C" w14:textId="65501A23" w:rsidR="35CF4FEA" w:rsidRPr="004E2940" w:rsidRDefault="35CF4FEA" w:rsidP="004E2940">
      <w:pPr>
        <w:spacing w:after="120" w:line="240" w:lineRule="auto"/>
        <w:rPr>
          <w:rFonts w:eastAsia="Times New Roman"/>
          <w:sz w:val="16"/>
          <w:szCs w:val="16"/>
        </w:rPr>
      </w:pPr>
      <w:r w:rsidRPr="004E2940">
        <w:rPr>
          <w:rFonts w:eastAsia="Times New Roman"/>
          <w:sz w:val="16"/>
          <w:szCs w:val="16"/>
        </w:rPr>
        <w:t xml:space="preserve">BAL = Bronchoalveolar Lavage </w:t>
      </w:r>
    </w:p>
    <w:p w14:paraId="6DD743D2" w14:textId="7B804D4D" w:rsidR="35CF4FEA" w:rsidRPr="004E2940" w:rsidRDefault="35CF4FEA" w:rsidP="004E2940">
      <w:pPr>
        <w:spacing w:after="120" w:line="240" w:lineRule="auto"/>
        <w:rPr>
          <w:rFonts w:eastAsia="Times New Roman"/>
          <w:sz w:val="16"/>
          <w:szCs w:val="16"/>
        </w:rPr>
      </w:pPr>
      <w:r w:rsidRPr="004E2940">
        <w:rPr>
          <w:rFonts w:eastAsia="Times New Roman"/>
          <w:sz w:val="16"/>
          <w:szCs w:val="16"/>
        </w:rPr>
        <w:t>CPT = Cell Preparation Tubes</w:t>
      </w:r>
    </w:p>
    <w:p w14:paraId="50CB58F0" w14:textId="55E21539" w:rsidR="35CF4FEA" w:rsidRPr="004E2940" w:rsidRDefault="35CF4FEA" w:rsidP="004E2940">
      <w:pPr>
        <w:spacing w:after="120" w:line="240" w:lineRule="auto"/>
        <w:rPr>
          <w:rFonts w:eastAsia="Times New Roman"/>
          <w:sz w:val="16"/>
          <w:szCs w:val="16"/>
        </w:rPr>
      </w:pPr>
      <w:r w:rsidRPr="004E2940">
        <w:rPr>
          <w:rFonts w:eastAsia="Times New Roman"/>
          <w:sz w:val="16"/>
          <w:szCs w:val="16"/>
        </w:rPr>
        <w:t>MN = Microneutralization</w:t>
      </w:r>
    </w:p>
    <w:p w14:paraId="1D3D3743" w14:textId="16E923B8" w:rsidR="35CF4FEA" w:rsidRPr="004E2940" w:rsidRDefault="35CF4FEA" w:rsidP="004E2940">
      <w:pPr>
        <w:spacing w:after="120" w:line="240" w:lineRule="auto"/>
        <w:rPr>
          <w:rFonts w:eastAsia="Times New Roman"/>
          <w:sz w:val="16"/>
          <w:szCs w:val="16"/>
        </w:rPr>
      </w:pPr>
      <w:r w:rsidRPr="004E2940">
        <w:rPr>
          <w:rFonts w:eastAsia="Times New Roman"/>
          <w:sz w:val="16"/>
          <w:szCs w:val="16"/>
        </w:rPr>
        <w:t>MSD-ECLIA = Meso Scale Discovery Electrochemiluminescence Immunoassay</w:t>
      </w:r>
    </w:p>
    <w:p w14:paraId="6B24A159" w14:textId="1214D1B7" w:rsidR="35CF4FEA" w:rsidRPr="004E2940" w:rsidRDefault="35CF4FEA" w:rsidP="004E2940">
      <w:pPr>
        <w:spacing w:after="120" w:line="240" w:lineRule="auto"/>
        <w:rPr>
          <w:rFonts w:eastAsia="Times New Roman"/>
          <w:sz w:val="16"/>
          <w:szCs w:val="16"/>
        </w:rPr>
      </w:pPr>
      <w:r w:rsidRPr="004E2940">
        <w:rPr>
          <w:rFonts w:eastAsia="Times New Roman"/>
          <w:sz w:val="16"/>
          <w:szCs w:val="16"/>
        </w:rPr>
        <w:t>PC = Post-challenge</w:t>
      </w:r>
    </w:p>
    <w:p w14:paraId="351FD575" w14:textId="26C28CE1" w:rsidR="35CF4FEA" w:rsidRPr="004E2940" w:rsidRDefault="35CF4FEA" w:rsidP="004E2940">
      <w:pPr>
        <w:spacing w:after="120" w:line="240" w:lineRule="auto"/>
        <w:rPr>
          <w:rFonts w:eastAsia="Times New Roman"/>
          <w:sz w:val="16"/>
          <w:szCs w:val="16"/>
        </w:rPr>
      </w:pPr>
      <w:r w:rsidRPr="004E2940">
        <w:rPr>
          <w:rFonts w:eastAsia="Times New Roman"/>
          <w:sz w:val="16"/>
          <w:szCs w:val="16"/>
        </w:rPr>
        <w:t>PBMC = peripheral blood mononuclear cells</w:t>
      </w:r>
    </w:p>
    <w:p w14:paraId="7A8010FE" w14:textId="78E3F380" w:rsidR="35CF4FEA" w:rsidRPr="004E2940" w:rsidRDefault="35CF4FEA" w:rsidP="004E2940">
      <w:pPr>
        <w:spacing w:after="120" w:line="240" w:lineRule="auto"/>
        <w:rPr>
          <w:rFonts w:eastAsia="Times New Roman"/>
          <w:sz w:val="16"/>
          <w:szCs w:val="16"/>
        </w:rPr>
      </w:pPr>
      <w:proofErr w:type="spellStart"/>
      <w:r w:rsidRPr="004E2940">
        <w:rPr>
          <w:rFonts w:eastAsia="Times New Roman"/>
          <w:sz w:val="16"/>
          <w:szCs w:val="16"/>
        </w:rPr>
        <w:t>PreC</w:t>
      </w:r>
      <w:proofErr w:type="spellEnd"/>
      <w:r w:rsidRPr="004E2940">
        <w:rPr>
          <w:rFonts w:eastAsia="Times New Roman"/>
          <w:sz w:val="16"/>
          <w:szCs w:val="16"/>
        </w:rPr>
        <w:t xml:space="preserve"> = Pre-challenge</w:t>
      </w:r>
    </w:p>
    <w:p w14:paraId="73A43F49" w14:textId="7A179097" w:rsidR="35CF4FEA" w:rsidRPr="004E2940" w:rsidRDefault="35CF4FEA" w:rsidP="004E2940">
      <w:pPr>
        <w:spacing w:after="120" w:line="240" w:lineRule="auto"/>
        <w:rPr>
          <w:rFonts w:eastAsia="Times New Roman"/>
          <w:sz w:val="16"/>
          <w:szCs w:val="16"/>
        </w:rPr>
      </w:pPr>
      <w:proofErr w:type="spellStart"/>
      <w:r w:rsidRPr="004E2940">
        <w:rPr>
          <w:rFonts w:eastAsia="Times New Roman"/>
          <w:sz w:val="16"/>
          <w:szCs w:val="16"/>
        </w:rPr>
        <w:t>PsVNA</w:t>
      </w:r>
      <w:proofErr w:type="spellEnd"/>
      <w:r w:rsidRPr="004E2940">
        <w:rPr>
          <w:rFonts w:eastAsia="Times New Roman"/>
          <w:sz w:val="16"/>
          <w:szCs w:val="16"/>
        </w:rPr>
        <w:t xml:space="preserve"> = </w:t>
      </w:r>
      <w:proofErr w:type="spellStart"/>
      <w:r w:rsidRPr="004E2940">
        <w:rPr>
          <w:rFonts w:eastAsia="Times New Roman"/>
          <w:sz w:val="16"/>
          <w:szCs w:val="16"/>
        </w:rPr>
        <w:t>Pseudovirus</w:t>
      </w:r>
      <w:proofErr w:type="spellEnd"/>
      <w:r w:rsidRPr="004E2940">
        <w:rPr>
          <w:rFonts w:eastAsia="Times New Roman"/>
          <w:sz w:val="16"/>
          <w:szCs w:val="16"/>
        </w:rPr>
        <w:t xml:space="preserve"> Neutralization Assay</w:t>
      </w:r>
    </w:p>
    <w:p w14:paraId="1117897B" w14:textId="16C8D0A6" w:rsidR="35CF4FEA" w:rsidRPr="004E2940" w:rsidRDefault="35CF4FEA" w:rsidP="004E2940">
      <w:pPr>
        <w:spacing w:after="120" w:line="240" w:lineRule="auto"/>
        <w:rPr>
          <w:rFonts w:eastAsia="Times New Roman"/>
          <w:sz w:val="16"/>
          <w:szCs w:val="16"/>
        </w:rPr>
      </w:pPr>
      <w:r w:rsidRPr="004E2940">
        <w:rPr>
          <w:rFonts w:eastAsia="Times New Roman"/>
          <w:sz w:val="16"/>
          <w:szCs w:val="16"/>
        </w:rPr>
        <w:t xml:space="preserve">SST = Serum separator tube </w:t>
      </w:r>
    </w:p>
    <w:p w14:paraId="4F8B3A26" w14:textId="341F379F" w:rsidR="35CF4FEA" w:rsidRPr="004E2940" w:rsidRDefault="35CF4FEA" w:rsidP="004E2940">
      <w:pPr>
        <w:spacing w:after="120" w:line="240" w:lineRule="auto"/>
        <w:rPr>
          <w:rFonts w:eastAsia="Times New Roman"/>
          <w:sz w:val="16"/>
          <w:szCs w:val="16"/>
        </w:rPr>
      </w:pPr>
      <w:r w:rsidRPr="004E2940">
        <w:rPr>
          <w:rFonts w:eastAsia="Times New Roman"/>
          <w:sz w:val="16"/>
          <w:szCs w:val="16"/>
        </w:rPr>
        <w:t>^ System Serology only performed on pre-challenge samples</w:t>
      </w:r>
    </w:p>
    <w:p w14:paraId="0D82028C" w14:textId="7B97CA29" w:rsidR="35CF4FEA" w:rsidRPr="004E2940" w:rsidRDefault="35CF4FEA" w:rsidP="004E2940">
      <w:pPr>
        <w:spacing w:after="120" w:line="240" w:lineRule="auto"/>
        <w:jc w:val="both"/>
        <w:rPr>
          <w:rFonts w:eastAsia="Times New Roman"/>
          <w:sz w:val="16"/>
          <w:szCs w:val="16"/>
        </w:rPr>
      </w:pPr>
      <w:r w:rsidRPr="004E2940">
        <w:rPr>
          <w:rFonts w:eastAsia="Times New Roman"/>
          <w:sz w:val="16"/>
          <w:szCs w:val="16"/>
        </w:rPr>
        <w:t xml:space="preserve">*Collected before challenge </w:t>
      </w:r>
    </w:p>
    <w:p w14:paraId="29BB8B13" w14:textId="6D72A237" w:rsidR="1DC7B1E2" w:rsidRDefault="1DC7B1E2">
      <w:r>
        <w:br w:type="page"/>
      </w:r>
    </w:p>
    <w:p w14:paraId="3460621A" w14:textId="0FC27D68" w:rsidR="032B93E0" w:rsidRDefault="032B93E0" w:rsidP="032B93E0"/>
    <w:p w14:paraId="0F919434" w14:textId="45E05FA1" w:rsidR="35CF4FEA" w:rsidRDefault="35CF4FEA" w:rsidP="032B93E0">
      <w:pPr>
        <w:spacing w:after="0" w:line="240" w:lineRule="auto"/>
        <w:rPr>
          <w:b/>
          <w:bCs/>
        </w:rPr>
      </w:pPr>
      <w:r w:rsidRPr="032B93E0">
        <w:rPr>
          <w:b/>
          <w:bCs/>
        </w:rPr>
        <w:t xml:space="preserve">Table 9. Sample Collection Schedule </w:t>
      </w:r>
      <w:r w:rsidR="679263E2" w:rsidRPr="032B93E0">
        <w:rPr>
          <w:b/>
          <w:bCs/>
        </w:rPr>
        <w:t xml:space="preserve">for Animals </w:t>
      </w:r>
      <w:r w:rsidRPr="032B93E0">
        <w:rPr>
          <w:b/>
          <w:bCs/>
        </w:rPr>
        <w:t>in Group 5A (Placebo Controls)</w:t>
      </w:r>
    </w:p>
    <w:tbl>
      <w:tblPr>
        <w:tblStyle w:val="TableGrid1"/>
        <w:tblW w:w="0" w:type="auto"/>
        <w:tblLayout w:type="fixed"/>
        <w:tblLook w:val="04A0" w:firstRow="1" w:lastRow="0" w:firstColumn="1" w:lastColumn="0" w:noHBand="0" w:noVBand="1"/>
      </w:tblPr>
      <w:tblGrid>
        <w:gridCol w:w="1851"/>
        <w:gridCol w:w="1851"/>
        <w:gridCol w:w="1851"/>
        <w:gridCol w:w="1851"/>
        <w:gridCol w:w="1851"/>
        <w:gridCol w:w="1851"/>
        <w:gridCol w:w="1851"/>
      </w:tblGrid>
      <w:tr w:rsidR="032B93E0" w14:paraId="2111719A" w14:textId="77777777" w:rsidTr="004E2940">
        <w:tc>
          <w:tcPr>
            <w:tcW w:w="1851" w:type="dxa"/>
          </w:tcPr>
          <w:p w14:paraId="3CE1E291" w14:textId="6E74A2C0" w:rsidR="032B93E0" w:rsidRDefault="032B93E0" w:rsidP="032B93E0">
            <w:pPr>
              <w:jc w:val="center"/>
              <w:rPr>
                <w:rFonts w:eastAsia="Times New Roman"/>
                <w:b/>
                <w:bCs/>
                <w:color w:val="000000" w:themeColor="text1"/>
                <w:sz w:val="20"/>
                <w:szCs w:val="20"/>
              </w:rPr>
            </w:pPr>
            <w:r w:rsidRPr="032B93E0">
              <w:rPr>
                <w:rFonts w:eastAsia="Times New Roman"/>
                <w:b/>
                <w:bCs/>
                <w:sz w:val="20"/>
                <w:szCs w:val="20"/>
              </w:rPr>
              <w:t xml:space="preserve">Study Day (Relative to </w:t>
            </w:r>
            <w:r w:rsidRPr="032B93E0">
              <w:rPr>
                <w:rFonts w:eastAsia="Times New Roman"/>
                <w:b/>
                <w:bCs/>
                <w:color w:val="000000" w:themeColor="text1"/>
                <w:sz w:val="20"/>
                <w:szCs w:val="20"/>
              </w:rPr>
              <w:t>Challenge)</w:t>
            </w:r>
          </w:p>
        </w:tc>
        <w:tc>
          <w:tcPr>
            <w:tcW w:w="1851" w:type="dxa"/>
          </w:tcPr>
          <w:p w14:paraId="37B8DA3C" w14:textId="17258975"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Blood Collection Volume/ </w:t>
            </w:r>
          </w:p>
          <w:p w14:paraId="63850D32" w14:textId="5DEBC54E"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Blood Tube</w:t>
            </w:r>
          </w:p>
        </w:tc>
        <w:tc>
          <w:tcPr>
            <w:tcW w:w="1851" w:type="dxa"/>
          </w:tcPr>
          <w:p w14:paraId="5E2914D2" w14:textId="1CCDBA52"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Sera for MNA, MSD-ECLIA, </w:t>
            </w:r>
            <w:proofErr w:type="spellStart"/>
            <w:r w:rsidRPr="032B93E0">
              <w:rPr>
                <w:rFonts w:eastAsia="Times New Roman"/>
                <w:b/>
                <w:bCs/>
                <w:color w:val="000000" w:themeColor="text1"/>
                <w:sz w:val="20"/>
                <w:szCs w:val="20"/>
              </w:rPr>
              <w:t>PsVNA</w:t>
            </w:r>
            <w:proofErr w:type="spellEnd"/>
            <w:r w:rsidRPr="032B93E0">
              <w:rPr>
                <w:rFonts w:eastAsia="Times New Roman"/>
                <w:b/>
                <w:bCs/>
                <w:color w:val="000000" w:themeColor="text1"/>
                <w:sz w:val="20"/>
                <w:szCs w:val="20"/>
              </w:rPr>
              <w:t>, ^Systems Serology, Retentions</w:t>
            </w:r>
          </w:p>
        </w:tc>
        <w:tc>
          <w:tcPr>
            <w:tcW w:w="1851" w:type="dxa"/>
          </w:tcPr>
          <w:p w14:paraId="3050F78A" w14:textId="60941834" w:rsidR="032B93E0" w:rsidRDefault="032B93E0" w:rsidP="032B93E0">
            <w:pPr>
              <w:jc w:val="center"/>
              <w:rPr>
                <w:rFonts w:eastAsia="Times New Roman"/>
                <w:b/>
                <w:bCs/>
                <w:sz w:val="20"/>
                <w:szCs w:val="20"/>
              </w:rPr>
            </w:pPr>
            <w:r w:rsidRPr="032B93E0">
              <w:rPr>
                <w:rFonts w:eastAsia="Times New Roman"/>
                <w:b/>
                <w:bCs/>
                <w:sz w:val="20"/>
                <w:szCs w:val="20"/>
              </w:rPr>
              <w:t xml:space="preserve"> </w:t>
            </w:r>
          </w:p>
          <w:p w14:paraId="160198B4" w14:textId="689C7740"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BAL Collection</w:t>
            </w:r>
          </w:p>
        </w:tc>
        <w:tc>
          <w:tcPr>
            <w:tcW w:w="1851" w:type="dxa"/>
          </w:tcPr>
          <w:p w14:paraId="3E189758" w14:textId="4E1B9F3D"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Nasal / </w:t>
            </w:r>
            <w:proofErr w:type="gramStart"/>
            <w:r w:rsidRPr="032B93E0">
              <w:rPr>
                <w:rFonts w:eastAsia="Times New Roman"/>
                <w:b/>
                <w:bCs/>
                <w:color w:val="000000" w:themeColor="text1"/>
                <w:sz w:val="20"/>
                <w:szCs w:val="20"/>
              </w:rPr>
              <w:t>Oropharyngeal  Swabs</w:t>
            </w:r>
            <w:proofErr w:type="gramEnd"/>
          </w:p>
        </w:tc>
        <w:tc>
          <w:tcPr>
            <w:tcW w:w="1851" w:type="dxa"/>
          </w:tcPr>
          <w:p w14:paraId="1D11A21D" w14:textId="4931D740"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 xml:space="preserve">Nasal Wash </w:t>
            </w:r>
          </w:p>
        </w:tc>
        <w:tc>
          <w:tcPr>
            <w:tcW w:w="1851" w:type="dxa"/>
          </w:tcPr>
          <w:p w14:paraId="04AC063F" w14:textId="13B3EBE4" w:rsidR="032B93E0" w:rsidRDefault="032B93E0" w:rsidP="032B93E0">
            <w:pPr>
              <w:jc w:val="center"/>
              <w:rPr>
                <w:rFonts w:eastAsia="Times New Roman"/>
                <w:b/>
                <w:bCs/>
                <w:color w:val="000000" w:themeColor="text1"/>
                <w:sz w:val="20"/>
                <w:szCs w:val="20"/>
              </w:rPr>
            </w:pPr>
            <w:r w:rsidRPr="032B93E0">
              <w:rPr>
                <w:rFonts w:eastAsia="Times New Roman"/>
                <w:b/>
                <w:bCs/>
                <w:color w:val="000000" w:themeColor="text1"/>
                <w:sz w:val="20"/>
                <w:szCs w:val="20"/>
              </w:rPr>
              <w:t>PBMC</w:t>
            </w:r>
          </w:p>
        </w:tc>
      </w:tr>
      <w:tr w:rsidR="032B93E0" w14:paraId="11F4B6BD" w14:textId="77777777" w:rsidTr="004E2940">
        <w:tc>
          <w:tcPr>
            <w:tcW w:w="1851" w:type="dxa"/>
          </w:tcPr>
          <w:p w14:paraId="17E8B5F6" w14:textId="0CB4DCC6" w:rsidR="032B93E0" w:rsidRDefault="032B93E0" w:rsidP="032B93E0">
            <w:pPr>
              <w:jc w:val="center"/>
              <w:rPr>
                <w:rFonts w:eastAsia="Times New Roman"/>
                <w:sz w:val="20"/>
                <w:szCs w:val="20"/>
              </w:rPr>
            </w:pPr>
            <w:r w:rsidRPr="032B93E0">
              <w:rPr>
                <w:rFonts w:eastAsia="Times New Roman"/>
                <w:sz w:val="20"/>
                <w:szCs w:val="20"/>
              </w:rPr>
              <w:t>Prior to Vaccination</w:t>
            </w:r>
          </w:p>
        </w:tc>
        <w:tc>
          <w:tcPr>
            <w:tcW w:w="1851" w:type="dxa"/>
          </w:tcPr>
          <w:p w14:paraId="0044063A" w14:textId="37F02E85" w:rsidR="032B93E0" w:rsidRDefault="032B93E0" w:rsidP="032B93E0">
            <w:pPr>
              <w:jc w:val="center"/>
              <w:rPr>
                <w:rFonts w:eastAsia="Times New Roman"/>
                <w:sz w:val="20"/>
                <w:szCs w:val="20"/>
              </w:rPr>
            </w:pPr>
            <w:r w:rsidRPr="032B93E0">
              <w:rPr>
                <w:rFonts w:eastAsia="Times New Roman"/>
                <w:sz w:val="20"/>
                <w:szCs w:val="20"/>
              </w:rPr>
              <w:t>~6 mL SST</w:t>
            </w:r>
          </w:p>
          <w:p w14:paraId="557F02DA" w14:textId="6D74B0C7" w:rsidR="032B93E0" w:rsidRDefault="032B93E0" w:rsidP="032B93E0">
            <w:pPr>
              <w:jc w:val="center"/>
              <w:rPr>
                <w:rFonts w:eastAsia="Times New Roman"/>
                <w:sz w:val="20"/>
                <w:szCs w:val="20"/>
              </w:rPr>
            </w:pPr>
            <w:r w:rsidRPr="032B93E0">
              <w:rPr>
                <w:rFonts w:eastAsia="Times New Roman"/>
                <w:sz w:val="20"/>
                <w:szCs w:val="20"/>
              </w:rPr>
              <w:t>~16 mL CPT</w:t>
            </w:r>
          </w:p>
        </w:tc>
        <w:tc>
          <w:tcPr>
            <w:tcW w:w="1851" w:type="dxa"/>
          </w:tcPr>
          <w:p w14:paraId="64517955" w14:textId="6743F060"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2BAABBA1" w14:textId="268C96A0"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247C412" w14:textId="0837364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E110F7B" w14:textId="11098F9E"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5367DFDF" w14:textId="05D61A63" w:rsidR="032B93E0" w:rsidRDefault="032B93E0" w:rsidP="032B93E0">
            <w:pPr>
              <w:jc w:val="center"/>
              <w:rPr>
                <w:rFonts w:eastAsia="Times New Roman"/>
                <w:sz w:val="20"/>
                <w:szCs w:val="20"/>
              </w:rPr>
            </w:pPr>
            <w:r w:rsidRPr="032B93E0">
              <w:rPr>
                <w:rFonts w:eastAsia="Times New Roman"/>
                <w:sz w:val="20"/>
                <w:szCs w:val="20"/>
              </w:rPr>
              <w:t>X</w:t>
            </w:r>
          </w:p>
        </w:tc>
      </w:tr>
      <w:tr w:rsidR="032B93E0" w14:paraId="60731BA1" w14:textId="77777777" w:rsidTr="004E2940">
        <w:tc>
          <w:tcPr>
            <w:tcW w:w="1851" w:type="dxa"/>
          </w:tcPr>
          <w:p w14:paraId="7B74025C" w14:textId="79F35311" w:rsidR="032B93E0" w:rsidRDefault="032B93E0" w:rsidP="032B93E0">
            <w:pPr>
              <w:jc w:val="center"/>
              <w:rPr>
                <w:rFonts w:eastAsia="Times New Roman"/>
                <w:sz w:val="20"/>
                <w:szCs w:val="20"/>
              </w:rPr>
            </w:pPr>
            <w:r w:rsidRPr="032B93E0">
              <w:rPr>
                <w:rFonts w:eastAsia="Times New Roman"/>
                <w:sz w:val="20"/>
                <w:szCs w:val="20"/>
              </w:rPr>
              <w:t xml:space="preserve">7 (Day -49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1ADECE45" w14:textId="606148D1"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0C19508D" w14:textId="7A7D27FC"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85C1DE3" w14:textId="76772A53"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ECF5BAA" w14:textId="7E841DE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DBA39B6" w14:textId="60579021"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DF80519" w14:textId="71EA699A"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041086EC" w14:textId="77777777" w:rsidTr="004E2940">
        <w:tc>
          <w:tcPr>
            <w:tcW w:w="1851" w:type="dxa"/>
          </w:tcPr>
          <w:p w14:paraId="2C425B15" w14:textId="7C9D9DCA" w:rsidR="032B93E0" w:rsidRDefault="032B93E0" w:rsidP="032B93E0">
            <w:pPr>
              <w:jc w:val="center"/>
              <w:rPr>
                <w:rFonts w:eastAsia="Times New Roman"/>
                <w:sz w:val="20"/>
                <w:szCs w:val="20"/>
              </w:rPr>
            </w:pPr>
            <w:r w:rsidRPr="032B93E0">
              <w:rPr>
                <w:rFonts w:eastAsia="Times New Roman"/>
                <w:sz w:val="20"/>
                <w:szCs w:val="20"/>
              </w:rPr>
              <w:t xml:space="preserve">14 (Day -42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27D6EB6F" w14:textId="0F336AEC"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36050464" w14:textId="25F37442"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48EFA4E1" w14:textId="0CEC469C"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FC9AE5B" w14:textId="537EB721"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66F6FF8" w14:textId="35195F00"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266A0E3B" w14:textId="0999AC99"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039216D0" w14:textId="77777777" w:rsidTr="004E2940">
        <w:tc>
          <w:tcPr>
            <w:tcW w:w="1851" w:type="dxa"/>
          </w:tcPr>
          <w:p w14:paraId="0A8D0F7B" w14:textId="2270BB22" w:rsidR="032B93E0" w:rsidRDefault="032B93E0" w:rsidP="032B93E0">
            <w:pPr>
              <w:jc w:val="center"/>
              <w:rPr>
                <w:rFonts w:eastAsia="Times New Roman"/>
                <w:sz w:val="20"/>
                <w:szCs w:val="20"/>
              </w:rPr>
            </w:pPr>
            <w:r w:rsidRPr="032B93E0">
              <w:rPr>
                <w:rFonts w:eastAsia="Times New Roman"/>
                <w:sz w:val="20"/>
                <w:szCs w:val="20"/>
              </w:rPr>
              <w:t xml:space="preserve">21 (Day -35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531B2714" w14:textId="42998FEA"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56CEDBAD" w14:textId="743281B2"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4C2795B" w14:textId="4E5782B6"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186B68D" w14:textId="642112FC"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2C249166" w14:textId="348A522D"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229A72D" w14:textId="630D16BF"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79E722FC" w14:textId="77777777" w:rsidTr="004E2940">
        <w:tc>
          <w:tcPr>
            <w:tcW w:w="1851" w:type="dxa"/>
          </w:tcPr>
          <w:p w14:paraId="091A8AC8" w14:textId="724A4FB5" w:rsidR="032B93E0" w:rsidRDefault="032B93E0" w:rsidP="032B93E0">
            <w:pPr>
              <w:jc w:val="center"/>
              <w:rPr>
                <w:rFonts w:eastAsia="Times New Roman"/>
                <w:sz w:val="20"/>
                <w:szCs w:val="20"/>
              </w:rPr>
            </w:pPr>
            <w:r w:rsidRPr="032B93E0">
              <w:rPr>
                <w:rFonts w:eastAsia="Times New Roman"/>
                <w:sz w:val="20"/>
                <w:szCs w:val="20"/>
              </w:rPr>
              <w:t xml:space="preserve">28 (Day -28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2285A8B9" w14:textId="1832D5FB"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0B33D1B0" w14:textId="22CCB33F"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6068B893" w14:textId="48D48652"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0F7BCDE" w14:textId="0088FB80"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857F3CD" w14:textId="432FA096"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74AB7BA3" w14:textId="6595486F"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72B54011" w14:textId="77777777" w:rsidTr="004E2940">
        <w:tc>
          <w:tcPr>
            <w:tcW w:w="1851" w:type="dxa"/>
          </w:tcPr>
          <w:p w14:paraId="74727280" w14:textId="3C180E05" w:rsidR="032B93E0" w:rsidRDefault="032B93E0" w:rsidP="032B93E0">
            <w:pPr>
              <w:jc w:val="center"/>
              <w:rPr>
                <w:rFonts w:eastAsia="Times New Roman"/>
                <w:sz w:val="20"/>
                <w:szCs w:val="20"/>
              </w:rPr>
            </w:pPr>
            <w:r w:rsidRPr="032B93E0">
              <w:rPr>
                <w:rFonts w:eastAsia="Times New Roman"/>
                <w:sz w:val="20"/>
                <w:szCs w:val="20"/>
              </w:rPr>
              <w:t xml:space="preserve">35 (Day -21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362A3BAD" w14:textId="7147CD15"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63C20912" w14:textId="00999F59"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B722F56" w14:textId="243F7A45"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1925081" w14:textId="4A36CB79"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ED03F73" w14:textId="5F047712"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18908EB" w14:textId="7FA857BB"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337E2170" w14:textId="77777777" w:rsidTr="004E2940">
        <w:tc>
          <w:tcPr>
            <w:tcW w:w="1851" w:type="dxa"/>
          </w:tcPr>
          <w:p w14:paraId="6508673A" w14:textId="595A4969" w:rsidR="032B93E0" w:rsidRDefault="032B93E0" w:rsidP="032B93E0">
            <w:pPr>
              <w:jc w:val="center"/>
              <w:rPr>
                <w:rFonts w:eastAsia="Times New Roman"/>
                <w:sz w:val="20"/>
                <w:szCs w:val="20"/>
              </w:rPr>
            </w:pPr>
            <w:r w:rsidRPr="032B93E0">
              <w:rPr>
                <w:rFonts w:eastAsia="Times New Roman"/>
                <w:sz w:val="20"/>
                <w:szCs w:val="20"/>
              </w:rPr>
              <w:t xml:space="preserve">42 (Day -14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24F2996E" w14:textId="6A9382BB" w:rsidR="032B93E0" w:rsidRDefault="032B93E0" w:rsidP="032B93E0">
            <w:pPr>
              <w:jc w:val="center"/>
              <w:rPr>
                <w:rFonts w:eastAsia="Times New Roman"/>
                <w:sz w:val="20"/>
                <w:szCs w:val="20"/>
              </w:rPr>
            </w:pPr>
            <w:r w:rsidRPr="032B93E0">
              <w:rPr>
                <w:rFonts w:eastAsia="Times New Roman"/>
                <w:sz w:val="20"/>
                <w:szCs w:val="20"/>
              </w:rPr>
              <w:t>~6 mL SST</w:t>
            </w:r>
          </w:p>
          <w:p w14:paraId="3A1420E0" w14:textId="0ACE261D" w:rsidR="032B93E0" w:rsidRDefault="032B93E0" w:rsidP="032B93E0">
            <w:pPr>
              <w:jc w:val="center"/>
              <w:rPr>
                <w:rFonts w:eastAsia="Times New Roman"/>
                <w:sz w:val="20"/>
                <w:szCs w:val="20"/>
              </w:rPr>
            </w:pPr>
            <w:r w:rsidRPr="032B93E0">
              <w:rPr>
                <w:rFonts w:eastAsia="Times New Roman"/>
                <w:sz w:val="20"/>
                <w:szCs w:val="20"/>
              </w:rPr>
              <w:t>~16 mL CPT</w:t>
            </w:r>
          </w:p>
        </w:tc>
        <w:tc>
          <w:tcPr>
            <w:tcW w:w="1851" w:type="dxa"/>
          </w:tcPr>
          <w:p w14:paraId="63A8F27D" w14:textId="58CBD823"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31AD0716" w14:textId="0EE7B90B"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62D5F39D" w14:textId="0965A72A"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3FABABE" w14:textId="094B3E60"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A166C7A" w14:textId="231F9E07" w:rsidR="032B93E0" w:rsidRDefault="032B93E0" w:rsidP="032B93E0">
            <w:pPr>
              <w:jc w:val="center"/>
              <w:rPr>
                <w:rFonts w:eastAsia="Times New Roman"/>
                <w:sz w:val="20"/>
                <w:szCs w:val="20"/>
              </w:rPr>
            </w:pPr>
            <w:r w:rsidRPr="032B93E0">
              <w:rPr>
                <w:rFonts w:eastAsia="Times New Roman"/>
                <w:sz w:val="20"/>
                <w:szCs w:val="20"/>
              </w:rPr>
              <w:t>X</w:t>
            </w:r>
          </w:p>
        </w:tc>
      </w:tr>
      <w:tr w:rsidR="032B93E0" w14:paraId="111B08A2" w14:textId="77777777" w:rsidTr="004E2940">
        <w:tc>
          <w:tcPr>
            <w:tcW w:w="1851" w:type="dxa"/>
          </w:tcPr>
          <w:p w14:paraId="1EA2170B" w14:textId="1897AEE2" w:rsidR="032B93E0" w:rsidRDefault="032B93E0" w:rsidP="032B93E0">
            <w:pPr>
              <w:jc w:val="center"/>
              <w:rPr>
                <w:rFonts w:eastAsia="Times New Roman"/>
                <w:sz w:val="20"/>
                <w:szCs w:val="20"/>
              </w:rPr>
            </w:pPr>
            <w:r w:rsidRPr="032B93E0">
              <w:rPr>
                <w:rFonts w:eastAsia="Times New Roman"/>
                <w:sz w:val="20"/>
                <w:szCs w:val="20"/>
              </w:rPr>
              <w:t xml:space="preserve">49 (Day -7 </w:t>
            </w:r>
            <w:proofErr w:type="spellStart"/>
            <w:r w:rsidRPr="032B93E0">
              <w:rPr>
                <w:rFonts w:eastAsia="Times New Roman"/>
                <w:sz w:val="20"/>
                <w:szCs w:val="20"/>
              </w:rPr>
              <w:t>PreC</w:t>
            </w:r>
            <w:proofErr w:type="spellEnd"/>
            <w:r w:rsidRPr="032B93E0">
              <w:rPr>
                <w:rFonts w:eastAsia="Times New Roman"/>
                <w:sz w:val="20"/>
                <w:szCs w:val="20"/>
              </w:rPr>
              <w:t>)</w:t>
            </w:r>
          </w:p>
        </w:tc>
        <w:tc>
          <w:tcPr>
            <w:tcW w:w="1851" w:type="dxa"/>
          </w:tcPr>
          <w:p w14:paraId="2800C7A4" w14:textId="380B338C"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16FF0E76" w14:textId="39ED3534"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D7CEE06" w14:textId="47C5F02B"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5E9A4F8D" w14:textId="335ACAE7"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DADF8EE" w14:textId="099B0BB1"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FED27E9" w14:textId="76C5205F"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3F7EAF3A" w14:textId="77777777" w:rsidTr="004E2940">
        <w:tc>
          <w:tcPr>
            <w:tcW w:w="1851" w:type="dxa"/>
          </w:tcPr>
          <w:p w14:paraId="5DAEDCDE" w14:textId="6F5ADD72" w:rsidR="032B93E0" w:rsidRDefault="032B93E0" w:rsidP="032B93E0">
            <w:pPr>
              <w:jc w:val="center"/>
              <w:rPr>
                <w:rFonts w:eastAsia="Times New Roman"/>
                <w:sz w:val="20"/>
                <w:szCs w:val="20"/>
              </w:rPr>
            </w:pPr>
            <w:r w:rsidRPr="032B93E0">
              <w:rPr>
                <w:rFonts w:eastAsia="Times New Roman"/>
                <w:sz w:val="20"/>
                <w:szCs w:val="20"/>
              </w:rPr>
              <w:t>*56 (Challenge)</w:t>
            </w:r>
          </w:p>
        </w:tc>
        <w:tc>
          <w:tcPr>
            <w:tcW w:w="1851" w:type="dxa"/>
          </w:tcPr>
          <w:p w14:paraId="7B17185C" w14:textId="20C5661E" w:rsidR="032B93E0" w:rsidRDefault="032B93E0" w:rsidP="032B93E0">
            <w:pPr>
              <w:jc w:val="center"/>
              <w:rPr>
                <w:rFonts w:eastAsia="Times New Roman"/>
                <w:sz w:val="20"/>
                <w:szCs w:val="20"/>
              </w:rPr>
            </w:pPr>
            <w:r w:rsidRPr="032B93E0">
              <w:rPr>
                <w:rFonts w:eastAsia="Times New Roman"/>
                <w:sz w:val="20"/>
                <w:szCs w:val="20"/>
              </w:rPr>
              <w:t>~6 mL SST</w:t>
            </w:r>
          </w:p>
        </w:tc>
        <w:tc>
          <w:tcPr>
            <w:tcW w:w="1851" w:type="dxa"/>
          </w:tcPr>
          <w:p w14:paraId="7657D83C" w14:textId="23FA9A8F"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CBD4003" w14:textId="396F3AEC"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337B5B1" w14:textId="2AF3648C"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2F36DECB" w14:textId="563FBAB1"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7C8E5647" w14:textId="122A3E36"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268F7212" w14:textId="77777777" w:rsidTr="004E2940">
        <w:tc>
          <w:tcPr>
            <w:tcW w:w="1851" w:type="dxa"/>
          </w:tcPr>
          <w:p w14:paraId="70EACE03" w14:textId="55F39401" w:rsidR="032B93E0" w:rsidRDefault="032B93E0" w:rsidP="032B93E0">
            <w:pPr>
              <w:jc w:val="center"/>
              <w:rPr>
                <w:rFonts w:eastAsia="Times New Roman"/>
                <w:sz w:val="20"/>
                <w:szCs w:val="20"/>
              </w:rPr>
            </w:pPr>
            <w:r w:rsidRPr="032B93E0">
              <w:rPr>
                <w:rFonts w:eastAsia="Times New Roman"/>
                <w:sz w:val="20"/>
                <w:szCs w:val="20"/>
              </w:rPr>
              <w:t>57 (Day 1 PC)</w:t>
            </w:r>
          </w:p>
        </w:tc>
        <w:tc>
          <w:tcPr>
            <w:tcW w:w="1851" w:type="dxa"/>
          </w:tcPr>
          <w:p w14:paraId="4BAF8933" w14:textId="1DB85000"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8C368CC" w14:textId="7A891127"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AAC2E74" w14:textId="5D7FC4ED"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7CC8B217" w14:textId="5799BEE1"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E0A2D00" w14:textId="186B04CC"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646B1F7" w14:textId="07D4B867"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35A31C59" w14:textId="77777777" w:rsidTr="004E2940">
        <w:tc>
          <w:tcPr>
            <w:tcW w:w="1851" w:type="dxa"/>
          </w:tcPr>
          <w:p w14:paraId="02773EE5" w14:textId="2DCAE03E" w:rsidR="032B93E0" w:rsidRDefault="032B93E0" w:rsidP="032B93E0">
            <w:pPr>
              <w:jc w:val="center"/>
              <w:rPr>
                <w:rFonts w:eastAsia="Times New Roman"/>
                <w:sz w:val="20"/>
                <w:szCs w:val="20"/>
              </w:rPr>
            </w:pPr>
            <w:r w:rsidRPr="032B93E0">
              <w:rPr>
                <w:rFonts w:eastAsia="Times New Roman"/>
                <w:sz w:val="20"/>
                <w:szCs w:val="20"/>
              </w:rPr>
              <w:t>58 (Day 2 PC)</w:t>
            </w:r>
          </w:p>
        </w:tc>
        <w:tc>
          <w:tcPr>
            <w:tcW w:w="1851" w:type="dxa"/>
          </w:tcPr>
          <w:p w14:paraId="3024A51E" w14:textId="4FEB41B9" w:rsidR="032B93E0" w:rsidRDefault="032B93E0" w:rsidP="032B93E0">
            <w:pPr>
              <w:jc w:val="center"/>
              <w:rPr>
                <w:rFonts w:eastAsia="Times New Roman"/>
                <w:sz w:val="20"/>
                <w:szCs w:val="20"/>
              </w:rPr>
            </w:pPr>
            <w:r w:rsidRPr="032B93E0">
              <w:rPr>
                <w:rFonts w:eastAsia="Times New Roman"/>
                <w:sz w:val="20"/>
                <w:szCs w:val="20"/>
              </w:rPr>
              <w:t>~3 mL SST</w:t>
            </w:r>
          </w:p>
        </w:tc>
        <w:tc>
          <w:tcPr>
            <w:tcW w:w="1851" w:type="dxa"/>
          </w:tcPr>
          <w:p w14:paraId="19C36741" w14:textId="2D81C1F9"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2CBE2079" w14:textId="2E13B3F8"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2CAE792A" w14:textId="4A0C4E4E"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2D11638B" w14:textId="2FD7E9F7"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53A70A4" w14:textId="2A72A0ED"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60715FE6" w14:textId="77777777" w:rsidTr="004E2940">
        <w:tc>
          <w:tcPr>
            <w:tcW w:w="1851" w:type="dxa"/>
          </w:tcPr>
          <w:p w14:paraId="4171BDC0" w14:textId="7F1F1CA8" w:rsidR="032B93E0" w:rsidRDefault="032B93E0" w:rsidP="032B93E0">
            <w:pPr>
              <w:jc w:val="center"/>
              <w:rPr>
                <w:rFonts w:eastAsia="Times New Roman"/>
                <w:sz w:val="20"/>
                <w:szCs w:val="20"/>
              </w:rPr>
            </w:pPr>
            <w:r w:rsidRPr="032B93E0">
              <w:rPr>
                <w:rFonts w:eastAsia="Times New Roman"/>
                <w:sz w:val="20"/>
                <w:szCs w:val="20"/>
              </w:rPr>
              <w:t>59 (Day 3 PC)</w:t>
            </w:r>
          </w:p>
        </w:tc>
        <w:tc>
          <w:tcPr>
            <w:tcW w:w="1851" w:type="dxa"/>
          </w:tcPr>
          <w:p w14:paraId="2E5D8998" w14:textId="18AACBE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701A451" w14:textId="1589A21D" w:rsidR="032B93E0" w:rsidRDefault="032B93E0"/>
        </w:tc>
        <w:tc>
          <w:tcPr>
            <w:tcW w:w="1851" w:type="dxa"/>
          </w:tcPr>
          <w:p w14:paraId="363DF7A1" w14:textId="28B94C1C"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3BA006F" w14:textId="061AFFDA"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0F73AFF6" w14:textId="02C6290D"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5787534" w14:textId="30308333"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318F84C9" w14:textId="77777777" w:rsidTr="004E2940">
        <w:tc>
          <w:tcPr>
            <w:tcW w:w="1851" w:type="dxa"/>
          </w:tcPr>
          <w:p w14:paraId="510D1153" w14:textId="1A83F17F" w:rsidR="032B93E0" w:rsidRDefault="032B93E0" w:rsidP="032B93E0">
            <w:pPr>
              <w:jc w:val="center"/>
              <w:rPr>
                <w:rFonts w:eastAsia="Times New Roman"/>
                <w:sz w:val="20"/>
                <w:szCs w:val="20"/>
              </w:rPr>
            </w:pPr>
            <w:r w:rsidRPr="032B93E0">
              <w:rPr>
                <w:rFonts w:eastAsia="Times New Roman"/>
                <w:sz w:val="20"/>
                <w:szCs w:val="20"/>
              </w:rPr>
              <w:lastRenderedPageBreak/>
              <w:t>60 (Day 4 PC)</w:t>
            </w:r>
          </w:p>
        </w:tc>
        <w:tc>
          <w:tcPr>
            <w:tcW w:w="1851" w:type="dxa"/>
          </w:tcPr>
          <w:p w14:paraId="6778FC94" w14:textId="0F453239" w:rsidR="032B93E0" w:rsidRDefault="032B93E0" w:rsidP="032B93E0">
            <w:pPr>
              <w:jc w:val="center"/>
              <w:rPr>
                <w:rFonts w:eastAsia="Times New Roman"/>
                <w:sz w:val="20"/>
                <w:szCs w:val="20"/>
              </w:rPr>
            </w:pPr>
            <w:r w:rsidRPr="032B93E0">
              <w:rPr>
                <w:rFonts w:eastAsia="Times New Roman"/>
                <w:sz w:val="20"/>
                <w:szCs w:val="20"/>
              </w:rPr>
              <w:t>~3 mL SST</w:t>
            </w:r>
          </w:p>
        </w:tc>
        <w:tc>
          <w:tcPr>
            <w:tcW w:w="1851" w:type="dxa"/>
          </w:tcPr>
          <w:p w14:paraId="15022C6E" w14:textId="62833EAD"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364E1424" w14:textId="79F7FD60"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3C624C61" w14:textId="4ACE6E8E"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12EB6766" w14:textId="1BFF3875"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684BBBB6" w14:textId="3CD2ECCB"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0902C1B2" w14:textId="77777777" w:rsidTr="004E2940">
        <w:tc>
          <w:tcPr>
            <w:tcW w:w="1851" w:type="dxa"/>
          </w:tcPr>
          <w:p w14:paraId="404E410A" w14:textId="55C4C566" w:rsidR="032B93E0" w:rsidRDefault="032B93E0" w:rsidP="032B93E0">
            <w:pPr>
              <w:jc w:val="center"/>
              <w:rPr>
                <w:rFonts w:eastAsia="Times New Roman"/>
                <w:sz w:val="20"/>
                <w:szCs w:val="20"/>
              </w:rPr>
            </w:pPr>
            <w:r w:rsidRPr="032B93E0">
              <w:rPr>
                <w:rFonts w:eastAsia="Times New Roman"/>
                <w:sz w:val="20"/>
                <w:szCs w:val="20"/>
              </w:rPr>
              <w:t>61 (Day 5 PC)</w:t>
            </w:r>
          </w:p>
        </w:tc>
        <w:tc>
          <w:tcPr>
            <w:tcW w:w="1851" w:type="dxa"/>
          </w:tcPr>
          <w:p w14:paraId="3948C337" w14:textId="3CC61501"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7694E6FB" w14:textId="77FE228B"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1E8C861E" w14:textId="7B04893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2445A469" w14:textId="65DCEF6C"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2D45C19F" w14:textId="5F5508F5"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5007236B" w14:textId="3F342E07"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7D00B18B" w14:textId="77777777" w:rsidTr="004E2940">
        <w:tc>
          <w:tcPr>
            <w:tcW w:w="1851" w:type="dxa"/>
          </w:tcPr>
          <w:p w14:paraId="04517770" w14:textId="5048464B" w:rsidR="032B93E0" w:rsidRDefault="032B93E0" w:rsidP="032B93E0">
            <w:pPr>
              <w:jc w:val="center"/>
              <w:rPr>
                <w:rFonts w:eastAsia="Times New Roman"/>
                <w:sz w:val="20"/>
                <w:szCs w:val="20"/>
              </w:rPr>
            </w:pPr>
            <w:r w:rsidRPr="032B93E0">
              <w:rPr>
                <w:rFonts w:eastAsia="Times New Roman"/>
                <w:sz w:val="20"/>
                <w:szCs w:val="20"/>
              </w:rPr>
              <w:t>62 (Day 6 PC)</w:t>
            </w:r>
          </w:p>
        </w:tc>
        <w:tc>
          <w:tcPr>
            <w:tcW w:w="1851" w:type="dxa"/>
          </w:tcPr>
          <w:p w14:paraId="27419D9C" w14:textId="50AEE5E8"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04D90059" w14:textId="5AF0A375"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EEEA94C" w14:textId="2260FDBC"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3C7F564" w14:textId="5F1D4DFC"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37A80BE1" w14:textId="21E37204"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7C094CD2" w14:textId="07A81ED1"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030A0FEF" w14:textId="77777777" w:rsidTr="004E2940">
        <w:tc>
          <w:tcPr>
            <w:tcW w:w="1851" w:type="dxa"/>
          </w:tcPr>
          <w:p w14:paraId="2F0BCBCC" w14:textId="2D136C6D" w:rsidR="032B93E0" w:rsidRDefault="032B93E0" w:rsidP="032B93E0">
            <w:pPr>
              <w:jc w:val="center"/>
              <w:rPr>
                <w:rFonts w:eastAsia="Times New Roman"/>
                <w:sz w:val="20"/>
                <w:szCs w:val="20"/>
              </w:rPr>
            </w:pPr>
            <w:r w:rsidRPr="032B93E0">
              <w:rPr>
                <w:rFonts w:eastAsia="Times New Roman"/>
                <w:sz w:val="20"/>
                <w:szCs w:val="20"/>
              </w:rPr>
              <w:t>63 (Day 7 PC)</w:t>
            </w:r>
          </w:p>
        </w:tc>
        <w:tc>
          <w:tcPr>
            <w:tcW w:w="1851" w:type="dxa"/>
          </w:tcPr>
          <w:p w14:paraId="58D0354E" w14:textId="6CA46A47" w:rsidR="032B93E0" w:rsidRDefault="032B93E0" w:rsidP="032B93E0">
            <w:pPr>
              <w:jc w:val="center"/>
              <w:rPr>
                <w:rFonts w:eastAsia="Times New Roman"/>
                <w:sz w:val="20"/>
                <w:szCs w:val="20"/>
              </w:rPr>
            </w:pPr>
            <w:r w:rsidRPr="032B93E0">
              <w:rPr>
                <w:rFonts w:eastAsia="Times New Roman"/>
                <w:sz w:val="20"/>
                <w:szCs w:val="20"/>
              </w:rPr>
              <w:t>~3 mL SST</w:t>
            </w:r>
          </w:p>
        </w:tc>
        <w:tc>
          <w:tcPr>
            <w:tcW w:w="1851" w:type="dxa"/>
          </w:tcPr>
          <w:p w14:paraId="7B908492" w14:textId="6EF78EE0"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6FEE6D5A" w14:textId="3731AFDF"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56B36817" w14:textId="55E42B8B"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63564302" w14:textId="6E85E8EF"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302290FE" w14:textId="3FEF6E63"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1F9335C3" w14:textId="77777777" w:rsidTr="004E2940">
        <w:tc>
          <w:tcPr>
            <w:tcW w:w="1851" w:type="dxa"/>
          </w:tcPr>
          <w:p w14:paraId="6100C308" w14:textId="393E5476" w:rsidR="032B93E0" w:rsidRDefault="032B93E0" w:rsidP="032B93E0">
            <w:pPr>
              <w:jc w:val="center"/>
              <w:rPr>
                <w:rFonts w:eastAsia="Times New Roman"/>
                <w:sz w:val="20"/>
                <w:szCs w:val="20"/>
              </w:rPr>
            </w:pPr>
            <w:r w:rsidRPr="032B93E0">
              <w:rPr>
                <w:rFonts w:eastAsia="Times New Roman"/>
                <w:sz w:val="20"/>
                <w:szCs w:val="20"/>
              </w:rPr>
              <w:t xml:space="preserve">65 (Day 9 PC) </w:t>
            </w:r>
          </w:p>
        </w:tc>
        <w:tc>
          <w:tcPr>
            <w:tcW w:w="1851" w:type="dxa"/>
          </w:tcPr>
          <w:p w14:paraId="4C83B8A9" w14:textId="7A8E211F" w:rsidR="032B93E0" w:rsidRDefault="032B93E0" w:rsidP="032B93E0">
            <w:pPr>
              <w:jc w:val="center"/>
              <w:rPr>
                <w:rFonts w:eastAsia="Times New Roman"/>
                <w:sz w:val="20"/>
                <w:szCs w:val="20"/>
              </w:rPr>
            </w:pPr>
            <w:r w:rsidRPr="032B93E0">
              <w:rPr>
                <w:rFonts w:eastAsia="Times New Roman"/>
                <w:sz w:val="20"/>
                <w:szCs w:val="20"/>
              </w:rPr>
              <w:t>~3 mL SST</w:t>
            </w:r>
          </w:p>
        </w:tc>
        <w:tc>
          <w:tcPr>
            <w:tcW w:w="1851" w:type="dxa"/>
          </w:tcPr>
          <w:p w14:paraId="59F079CE" w14:textId="45F2D380"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561D276B" w14:textId="4519461A"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6F84D725" w14:textId="63FCF29C" w:rsidR="032B93E0" w:rsidRDefault="032B93E0" w:rsidP="032B93E0">
            <w:pPr>
              <w:jc w:val="center"/>
              <w:rPr>
                <w:rFonts w:eastAsia="Times New Roman"/>
                <w:sz w:val="20"/>
                <w:szCs w:val="20"/>
              </w:rPr>
            </w:pPr>
            <w:r w:rsidRPr="032B93E0">
              <w:rPr>
                <w:rFonts w:eastAsia="Times New Roman"/>
                <w:sz w:val="20"/>
                <w:szCs w:val="20"/>
              </w:rPr>
              <w:t>X</w:t>
            </w:r>
          </w:p>
        </w:tc>
        <w:tc>
          <w:tcPr>
            <w:tcW w:w="1851" w:type="dxa"/>
          </w:tcPr>
          <w:p w14:paraId="7944184E" w14:textId="68886286" w:rsidR="032B93E0" w:rsidRDefault="032B93E0" w:rsidP="032B93E0">
            <w:pPr>
              <w:jc w:val="center"/>
              <w:rPr>
                <w:rFonts w:eastAsia="Times New Roman"/>
                <w:sz w:val="20"/>
                <w:szCs w:val="20"/>
              </w:rPr>
            </w:pPr>
            <w:r w:rsidRPr="032B93E0">
              <w:rPr>
                <w:rFonts w:eastAsia="Times New Roman"/>
                <w:sz w:val="20"/>
                <w:szCs w:val="20"/>
              </w:rPr>
              <w:t xml:space="preserve"> </w:t>
            </w:r>
          </w:p>
        </w:tc>
        <w:tc>
          <w:tcPr>
            <w:tcW w:w="1851" w:type="dxa"/>
          </w:tcPr>
          <w:p w14:paraId="49E25042" w14:textId="2D646FB8" w:rsidR="032B93E0" w:rsidRDefault="032B93E0" w:rsidP="032B93E0">
            <w:pPr>
              <w:jc w:val="center"/>
              <w:rPr>
                <w:rFonts w:eastAsia="Times New Roman"/>
                <w:sz w:val="20"/>
                <w:szCs w:val="20"/>
              </w:rPr>
            </w:pPr>
            <w:r w:rsidRPr="032B93E0">
              <w:rPr>
                <w:rFonts w:eastAsia="Times New Roman"/>
                <w:sz w:val="20"/>
                <w:szCs w:val="20"/>
              </w:rPr>
              <w:t xml:space="preserve"> </w:t>
            </w:r>
          </w:p>
        </w:tc>
      </w:tr>
      <w:tr w:rsidR="032B93E0" w14:paraId="0CB11A21" w14:textId="77777777" w:rsidTr="004E2940">
        <w:tc>
          <w:tcPr>
            <w:tcW w:w="1851" w:type="dxa"/>
          </w:tcPr>
          <w:p w14:paraId="7EF42035" w14:textId="0C4C552A"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70 (Day 14 PC)</w:t>
            </w:r>
          </w:p>
        </w:tc>
        <w:tc>
          <w:tcPr>
            <w:tcW w:w="1851" w:type="dxa"/>
          </w:tcPr>
          <w:p w14:paraId="14E5E4CE" w14:textId="68662F83"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w:t>
            </w:r>
            <w:proofErr w:type="gramStart"/>
            <w:r w:rsidRPr="00B6630D">
              <w:rPr>
                <w:rFonts w:eastAsia="Times New Roman"/>
                <w:sz w:val="20"/>
                <w:szCs w:val="20"/>
              </w:rPr>
              <w:t>40  mL</w:t>
            </w:r>
            <w:proofErr w:type="gramEnd"/>
            <w:r w:rsidRPr="00B6630D">
              <w:rPr>
                <w:rFonts w:eastAsia="Times New Roman"/>
                <w:sz w:val="20"/>
                <w:szCs w:val="20"/>
              </w:rPr>
              <w:t xml:space="preserve"> SST</w:t>
            </w:r>
          </w:p>
        </w:tc>
        <w:tc>
          <w:tcPr>
            <w:tcW w:w="1851" w:type="dxa"/>
          </w:tcPr>
          <w:p w14:paraId="31EF2BB0" w14:textId="1EBAC295"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X</w:t>
            </w:r>
          </w:p>
        </w:tc>
        <w:tc>
          <w:tcPr>
            <w:tcW w:w="1851" w:type="dxa"/>
          </w:tcPr>
          <w:p w14:paraId="03C2D59E" w14:textId="10751D6C"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 xml:space="preserve"> </w:t>
            </w:r>
          </w:p>
        </w:tc>
        <w:tc>
          <w:tcPr>
            <w:tcW w:w="1851" w:type="dxa"/>
          </w:tcPr>
          <w:p w14:paraId="42D1C862" w14:textId="3BE49329"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X</w:t>
            </w:r>
          </w:p>
        </w:tc>
        <w:tc>
          <w:tcPr>
            <w:tcW w:w="1851" w:type="dxa"/>
          </w:tcPr>
          <w:p w14:paraId="04E5D8EC" w14:textId="1162D4D3" w:rsidR="032B93E0" w:rsidRPr="00B6630D" w:rsidRDefault="032B93E0" w:rsidP="004E2940">
            <w:pPr>
              <w:spacing w:line="240" w:lineRule="auto"/>
              <w:jc w:val="center"/>
              <w:rPr>
                <w:rFonts w:eastAsia="Times New Roman"/>
                <w:sz w:val="20"/>
                <w:szCs w:val="20"/>
              </w:rPr>
            </w:pPr>
            <w:r w:rsidRPr="00B6630D">
              <w:rPr>
                <w:rFonts w:eastAsia="Times New Roman"/>
                <w:sz w:val="20"/>
                <w:szCs w:val="20"/>
              </w:rPr>
              <w:t xml:space="preserve"> </w:t>
            </w:r>
          </w:p>
        </w:tc>
        <w:tc>
          <w:tcPr>
            <w:tcW w:w="1851" w:type="dxa"/>
          </w:tcPr>
          <w:p w14:paraId="0CFA5297" w14:textId="31AC079D" w:rsidR="032B93E0" w:rsidRPr="00B6630D" w:rsidRDefault="032B93E0" w:rsidP="004E2940">
            <w:pPr>
              <w:spacing w:line="240" w:lineRule="auto"/>
              <w:jc w:val="center"/>
              <w:rPr>
                <w:rFonts w:eastAsia="Times New Roman"/>
                <w:sz w:val="20"/>
                <w:szCs w:val="20"/>
              </w:rPr>
            </w:pPr>
          </w:p>
        </w:tc>
      </w:tr>
    </w:tbl>
    <w:p w14:paraId="43086704" w14:textId="49AB6E7F" w:rsidR="23FC5BB8" w:rsidRDefault="23FC5BB8" w:rsidP="004E2940">
      <w:pPr>
        <w:spacing w:line="240" w:lineRule="auto"/>
        <w:rPr>
          <w:rFonts w:eastAsia="Times New Roman"/>
          <w:sz w:val="16"/>
          <w:szCs w:val="16"/>
        </w:rPr>
      </w:pPr>
      <w:r w:rsidRPr="004E2940">
        <w:rPr>
          <w:rFonts w:eastAsia="Times New Roman"/>
          <w:sz w:val="16"/>
          <w:szCs w:val="16"/>
        </w:rPr>
        <w:t xml:space="preserve">BAL = Bronchoalveolar Lavage </w:t>
      </w:r>
    </w:p>
    <w:p w14:paraId="61E74A08" w14:textId="7500A633" w:rsidR="23FC5BB8" w:rsidRDefault="23FC5BB8" w:rsidP="004E2940">
      <w:pPr>
        <w:spacing w:line="240" w:lineRule="auto"/>
        <w:rPr>
          <w:rFonts w:eastAsia="Times New Roman"/>
          <w:sz w:val="16"/>
          <w:szCs w:val="16"/>
        </w:rPr>
      </w:pPr>
      <w:r w:rsidRPr="004E2940">
        <w:rPr>
          <w:rFonts w:eastAsia="Times New Roman"/>
          <w:sz w:val="16"/>
          <w:szCs w:val="16"/>
        </w:rPr>
        <w:t>CPT = Cell Preparation Tubes</w:t>
      </w:r>
    </w:p>
    <w:p w14:paraId="73F03D62" w14:textId="783549DE" w:rsidR="23FC5BB8" w:rsidRDefault="23FC5BB8" w:rsidP="004E2940">
      <w:pPr>
        <w:spacing w:line="240" w:lineRule="auto"/>
        <w:rPr>
          <w:rFonts w:eastAsia="Times New Roman"/>
          <w:sz w:val="16"/>
          <w:szCs w:val="16"/>
        </w:rPr>
      </w:pPr>
      <w:r w:rsidRPr="004E2940">
        <w:rPr>
          <w:rFonts w:eastAsia="Times New Roman"/>
          <w:sz w:val="16"/>
          <w:szCs w:val="16"/>
        </w:rPr>
        <w:t>MN = Microneutralization</w:t>
      </w:r>
    </w:p>
    <w:p w14:paraId="7FD1B675" w14:textId="786CC8A4" w:rsidR="23FC5BB8" w:rsidRDefault="23FC5BB8" w:rsidP="004E2940">
      <w:pPr>
        <w:spacing w:line="240" w:lineRule="auto"/>
        <w:rPr>
          <w:rFonts w:eastAsia="Times New Roman"/>
          <w:sz w:val="16"/>
          <w:szCs w:val="16"/>
        </w:rPr>
      </w:pPr>
      <w:r w:rsidRPr="004E2940">
        <w:rPr>
          <w:rFonts w:eastAsia="Times New Roman"/>
          <w:sz w:val="16"/>
          <w:szCs w:val="16"/>
        </w:rPr>
        <w:t>MSD-ECLIA = Meso Scale Discovery Electrochemiluminescence Immunoassay</w:t>
      </w:r>
    </w:p>
    <w:p w14:paraId="0AF5B79B" w14:textId="0A26B175" w:rsidR="23FC5BB8" w:rsidRDefault="23FC5BB8" w:rsidP="004E2940">
      <w:pPr>
        <w:spacing w:line="240" w:lineRule="auto"/>
        <w:rPr>
          <w:rFonts w:eastAsia="Times New Roman"/>
          <w:sz w:val="16"/>
          <w:szCs w:val="16"/>
        </w:rPr>
      </w:pPr>
      <w:r w:rsidRPr="004E2940">
        <w:rPr>
          <w:rFonts w:eastAsia="Times New Roman"/>
          <w:sz w:val="16"/>
          <w:szCs w:val="16"/>
        </w:rPr>
        <w:t>PC = Post-challenge</w:t>
      </w:r>
    </w:p>
    <w:p w14:paraId="6583B5BC" w14:textId="5C19E0A7" w:rsidR="23FC5BB8" w:rsidRDefault="23FC5BB8" w:rsidP="004E2940">
      <w:pPr>
        <w:spacing w:line="240" w:lineRule="auto"/>
        <w:rPr>
          <w:rFonts w:eastAsia="Times New Roman"/>
          <w:sz w:val="16"/>
          <w:szCs w:val="16"/>
        </w:rPr>
      </w:pPr>
      <w:r w:rsidRPr="004E2940">
        <w:rPr>
          <w:rFonts w:eastAsia="Times New Roman"/>
          <w:sz w:val="16"/>
          <w:szCs w:val="16"/>
        </w:rPr>
        <w:t>PBMC = peripheral blood mononuclear cells</w:t>
      </w:r>
    </w:p>
    <w:p w14:paraId="362461D9" w14:textId="61E5AAA3" w:rsidR="23FC5BB8" w:rsidRDefault="23FC5BB8" w:rsidP="004E2940">
      <w:pPr>
        <w:spacing w:line="240" w:lineRule="auto"/>
        <w:rPr>
          <w:rFonts w:eastAsia="Times New Roman"/>
          <w:sz w:val="16"/>
          <w:szCs w:val="16"/>
        </w:rPr>
      </w:pPr>
      <w:proofErr w:type="spellStart"/>
      <w:r w:rsidRPr="004E2940">
        <w:rPr>
          <w:rFonts w:eastAsia="Times New Roman"/>
          <w:sz w:val="16"/>
          <w:szCs w:val="16"/>
        </w:rPr>
        <w:t>PreC</w:t>
      </w:r>
      <w:proofErr w:type="spellEnd"/>
      <w:r w:rsidRPr="004E2940">
        <w:rPr>
          <w:rFonts w:eastAsia="Times New Roman"/>
          <w:sz w:val="16"/>
          <w:szCs w:val="16"/>
        </w:rPr>
        <w:t xml:space="preserve"> = Pre-challenge</w:t>
      </w:r>
    </w:p>
    <w:p w14:paraId="363A8C86" w14:textId="4E39B06B" w:rsidR="23FC5BB8" w:rsidRDefault="23FC5BB8" w:rsidP="004E2940">
      <w:pPr>
        <w:spacing w:line="240" w:lineRule="auto"/>
        <w:rPr>
          <w:rFonts w:eastAsia="Times New Roman"/>
          <w:sz w:val="16"/>
          <w:szCs w:val="16"/>
        </w:rPr>
      </w:pPr>
      <w:proofErr w:type="spellStart"/>
      <w:r w:rsidRPr="004E2940">
        <w:rPr>
          <w:rFonts w:eastAsia="Times New Roman"/>
          <w:sz w:val="16"/>
          <w:szCs w:val="16"/>
        </w:rPr>
        <w:t>PsVNA</w:t>
      </w:r>
      <w:proofErr w:type="spellEnd"/>
      <w:r w:rsidRPr="004E2940">
        <w:rPr>
          <w:rFonts w:eastAsia="Times New Roman"/>
          <w:sz w:val="16"/>
          <w:szCs w:val="16"/>
        </w:rPr>
        <w:t xml:space="preserve"> = </w:t>
      </w:r>
      <w:proofErr w:type="spellStart"/>
      <w:r w:rsidRPr="004E2940">
        <w:rPr>
          <w:rFonts w:eastAsia="Times New Roman"/>
          <w:sz w:val="16"/>
          <w:szCs w:val="16"/>
        </w:rPr>
        <w:t>Pseudovirus</w:t>
      </w:r>
      <w:proofErr w:type="spellEnd"/>
      <w:r w:rsidRPr="004E2940">
        <w:rPr>
          <w:rFonts w:eastAsia="Times New Roman"/>
          <w:sz w:val="16"/>
          <w:szCs w:val="16"/>
        </w:rPr>
        <w:t xml:space="preserve"> Neutralization Assay</w:t>
      </w:r>
    </w:p>
    <w:p w14:paraId="6D680021" w14:textId="5A962966" w:rsidR="23FC5BB8" w:rsidRDefault="23FC5BB8" w:rsidP="004E2940">
      <w:pPr>
        <w:spacing w:line="240" w:lineRule="auto"/>
        <w:rPr>
          <w:rFonts w:eastAsia="Times New Roman"/>
          <w:sz w:val="16"/>
          <w:szCs w:val="16"/>
        </w:rPr>
      </w:pPr>
      <w:r w:rsidRPr="004E2940">
        <w:rPr>
          <w:rFonts w:eastAsia="Times New Roman"/>
          <w:sz w:val="16"/>
          <w:szCs w:val="16"/>
        </w:rPr>
        <w:t xml:space="preserve">SST = Serum separator tube </w:t>
      </w:r>
    </w:p>
    <w:p w14:paraId="0EA94F89" w14:textId="12A8AAEE" w:rsidR="23FC5BB8" w:rsidRDefault="23FC5BB8" w:rsidP="004E2940">
      <w:pPr>
        <w:spacing w:line="240" w:lineRule="auto"/>
        <w:rPr>
          <w:rFonts w:eastAsia="Times New Roman"/>
          <w:sz w:val="16"/>
          <w:szCs w:val="16"/>
        </w:rPr>
      </w:pPr>
      <w:r w:rsidRPr="004E2940">
        <w:rPr>
          <w:rFonts w:eastAsia="Times New Roman"/>
          <w:sz w:val="16"/>
          <w:szCs w:val="16"/>
        </w:rPr>
        <w:t>^ System Serology only performed on pre-challenge samples</w:t>
      </w:r>
    </w:p>
    <w:p w14:paraId="775911E3" w14:textId="06628E2B" w:rsidR="23FC5BB8" w:rsidRPr="004E2940" w:rsidRDefault="23FC5BB8" w:rsidP="004E2940">
      <w:pPr>
        <w:spacing w:line="240" w:lineRule="auto"/>
        <w:jc w:val="both"/>
        <w:rPr>
          <w:rFonts w:eastAsia="Times New Roman"/>
          <w:sz w:val="16"/>
          <w:szCs w:val="16"/>
        </w:rPr>
      </w:pPr>
      <w:r w:rsidRPr="004E2940">
        <w:rPr>
          <w:rFonts w:eastAsia="Times New Roman"/>
          <w:sz w:val="16"/>
          <w:szCs w:val="16"/>
        </w:rPr>
        <w:t>*Collected before challenge</w:t>
      </w:r>
    </w:p>
    <w:p w14:paraId="354220D3" w14:textId="5206536B" w:rsidR="032B93E0" w:rsidRDefault="032B93E0" w:rsidP="032B93E0"/>
    <w:p w14:paraId="04E39A46" w14:textId="68173EBF" w:rsidR="032B93E0" w:rsidRDefault="032B93E0"/>
    <w:p w14:paraId="1899E77E" w14:textId="6C6078BB" w:rsidR="032B93E0" w:rsidRDefault="032B93E0"/>
    <w:p w14:paraId="1FD00AC9" w14:textId="77777777" w:rsidR="009101C4" w:rsidRDefault="009101C4" w:rsidP="00344BE8">
      <w:pPr>
        <w:spacing w:after="0"/>
        <w:sectPr w:rsidR="009101C4" w:rsidSect="001E7D2E">
          <w:pgSz w:w="15840" w:h="12240" w:orient="landscape"/>
          <w:pgMar w:top="1440" w:right="1440" w:bottom="1440" w:left="1440" w:header="720" w:footer="720" w:gutter="0"/>
          <w:cols w:space="720"/>
          <w:docGrid w:linePitch="360"/>
        </w:sectPr>
      </w:pPr>
    </w:p>
    <w:p w14:paraId="389DB898" w14:textId="5E93F04A" w:rsidR="00C13F4C" w:rsidRDefault="71ACBD3C" w:rsidP="032B93E0">
      <w:pPr>
        <w:pStyle w:val="Heading1"/>
        <w:spacing w:before="120" w:after="120"/>
      </w:pPr>
      <w:bookmarkStart w:id="41" w:name="_Toc21525873"/>
      <w:bookmarkStart w:id="42" w:name="_Toc26242298"/>
      <w:bookmarkStart w:id="43" w:name="_Toc26243107"/>
      <w:bookmarkStart w:id="44" w:name="_Toc60811590"/>
      <w:bookmarkStart w:id="45" w:name="_Toc21525875"/>
      <w:bookmarkEnd w:id="41"/>
      <w:r>
        <w:lastRenderedPageBreak/>
        <w:t>S</w:t>
      </w:r>
      <w:r w:rsidR="62A66F61">
        <w:t>tatistical</w:t>
      </w:r>
      <w:r>
        <w:t xml:space="preserve"> </w:t>
      </w:r>
      <w:r w:rsidR="3BDE28F1">
        <w:t>Considerations</w:t>
      </w:r>
      <w:bookmarkEnd w:id="42"/>
      <w:bookmarkEnd w:id="43"/>
      <w:bookmarkEnd w:id="44"/>
    </w:p>
    <w:p w14:paraId="465C007C" w14:textId="58EEC00A" w:rsidR="00C13F4C" w:rsidRDefault="259E7967" w:rsidP="032B93E0">
      <w:pPr>
        <w:pStyle w:val="Heading2"/>
        <w:rPr>
          <w:rFonts w:ascii="Times New Roman" w:eastAsia="Times New Roman" w:hAnsi="Times New Roman" w:cs="Times New Roman"/>
          <w:b/>
          <w:bCs/>
          <w:color w:val="auto"/>
          <w:sz w:val="24"/>
          <w:szCs w:val="24"/>
        </w:rPr>
      </w:pPr>
      <w:bookmarkStart w:id="46" w:name="_Toc60811591"/>
      <w:r w:rsidRPr="032B93E0">
        <w:rPr>
          <w:rFonts w:ascii="Times New Roman" w:eastAsia="Times New Roman" w:hAnsi="Times New Roman" w:cs="Times New Roman"/>
          <w:b/>
          <w:bCs/>
          <w:color w:val="auto"/>
          <w:sz w:val="24"/>
          <w:szCs w:val="24"/>
        </w:rPr>
        <w:t>6</w:t>
      </w:r>
      <w:r w:rsidR="6671638B" w:rsidRPr="032B93E0">
        <w:rPr>
          <w:rFonts w:ascii="Times New Roman" w:eastAsia="Times New Roman" w:hAnsi="Times New Roman" w:cs="Times New Roman"/>
          <w:b/>
          <w:bCs/>
          <w:color w:val="auto"/>
          <w:sz w:val="24"/>
          <w:szCs w:val="24"/>
        </w:rPr>
        <w:t>.1         Overview</w:t>
      </w:r>
      <w:bookmarkEnd w:id="46"/>
    </w:p>
    <w:p w14:paraId="2E2DE0BF" w14:textId="7FD0EDA4" w:rsidR="00C13F4C" w:rsidRDefault="6CEA2F80" w:rsidP="27B4A244">
      <w:pPr>
        <w:spacing w:before="120" w:after="120" w:line="257" w:lineRule="auto"/>
        <w:rPr>
          <w:rFonts w:eastAsia="Times New Roman"/>
        </w:rPr>
      </w:pPr>
      <w:r w:rsidRPr="134F9F9C">
        <w:rPr>
          <w:rFonts w:eastAsia="Times New Roman"/>
        </w:rPr>
        <w:t xml:space="preserve">Immune correlates analyses are a way to get a fuller picture of the possible relationship </w:t>
      </w:r>
      <w:r w:rsidR="7533EFD4" w:rsidRPr="134F9F9C">
        <w:rPr>
          <w:rFonts w:eastAsia="Times New Roman"/>
        </w:rPr>
        <w:t xml:space="preserve">between </w:t>
      </w:r>
      <w:r w:rsidRPr="134F9F9C">
        <w:rPr>
          <w:rFonts w:eastAsia="Times New Roman"/>
        </w:rPr>
        <w:t xml:space="preserve">post-vaccination immune measurements </w:t>
      </w:r>
      <w:r w:rsidR="7533EFD4" w:rsidRPr="134F9F9C">
        <w:rPr>
          <w:rFonts w:eastAsia="Times New Roman"/>
        </w:rPr>
        <w:t xml:space="preserve">and </w:t>
      </w:r>
      <w:r w:rsidRPr="134F9F9C">
        <w:rPr>
          <w:rFonts w:eastAsia="Times New Roman"/>
        </w:rPr>
        <w:t>post-challenge outcomes.  The analyses using a</w:t>
      </w:r>
      <w:r w:rsidR="55418AED" w:rsidRPr="134F9F9C">
        <w:rPr>
          <w:rFonts w:eastAsia="Times New Roman"/>
        </w:rPr>
        <w:t xml:space="preserve"> marker (i.e., a</w:t>
      </w:r>
      <w:r w:rsidRPr="134F9F9C">
        <w:rPr>
          <w:rFonts w:eastAsia="Times New Roman"/>
        </w:rPr>
        <w:t xml:space="preserve"> purported immune correlate</w:t>
      </w:r>
      <w:r w:rsidR="55418AED" w:rsidRPr="134F9F9C">
        <w:rPr>
          <w:rFonts w:eastAsia="Times New Roman"/>
        </w:rPr>
        <w:t xml:space="preserve">, such as </w:t>
      </w:r>
      <w:r w:rsidRPr="134F9F9C">
        <w:rPr>
          <w:rFonts w:eastAsia="Times New Roman"/>
        </w:rPr>
        <w:t xml:space="preserve">one variable from Section </w:t>
      </w:r>
      <w:r w:rsidRPr="0071149A">
        <w:rPr>
          <w:rFonts w:eastAsia="Times New Roman"/>
        </w:rPr>
        <w:t>3.</w:t>
      </w:r>
      <w:r w:rsidR="0A542468" w:rsidRPr="0071149A">
        <w:rPr>
          <w:rFonts w:eastAsia="Times New Roman"/>
        </w:rPr>
        <w:t>2</w:t>
      </w:r>
      <w:r w:rsidRPr="134F9F9C">
        <w:rPr>
          <w:rFonts w:eastAsia="Times New Roman"/>
        </w:rPr>
        <w:t xml:space="preserve">) and a post-challenge outcome (i.e., one variable from Section </w:t>
      </w:r>
      <w:r w:rsidRPr="0071149A">
        <w:rPr>
          <w:rFonts w:eastAsia="Times New Roman"/>
        </w:rPr>
        <w:t>3.</w:t>
      </w:r>
      <w:r w:rsidR="243D1B39" w:rsidRPr="0071149A">
        <w:rPr>
          <w:rFonts w:eastAsia="Times New Roman"/>
        </w:rPr>
        <w:t>3</w:t>
      </w:r>
      <w:r w:rsidRPr="134F9F9C">
        <w:rPr>
          <w:rFonts w:eastAsia="Times New Roman"/>
        </w:rPr>
        <w:t xml:space="preserve">) are described below. The statistical section describes generic analyses defined in terms of the type of data (e.g., outcome is binary and immune correlate is non-binary numeric).  Several combinations of outcomes and immune correlates will be examined. Because this study is essentially a hypothesis generating study, there will not be an adjustment for multiple comparisons for several reasons. First, it is expected that several of the purported immune responses will be correlated to each other as well as with the outcomes, therefore many of the results will be similar. Second, the many different combinations will be exploring and explaining different aspects of the vaccine efficacy, therefore, many of the results will be reported rather than only the most significant results.  Third, it may not be clear until the data are available as to which analyses will provide the clearest picture of the association of the correlate of risk with the outcome.  </w:t>
      </w:r>
    </w:p>
    <w:p w14:paraId="5CEB2866" w14:textId="746945A8" w:rsidR="00C13F4C" w:rsidRDefault="6CEA2F80" w:rsidP="134F9F9C">
      <w:pPr>
        <w:spacing w:before="120" w:after="120" w:line="257" w:lineRule="auto"/>
        <w:rPr>
          <w:rFonts w:eastAsia="Times New Roman"/>
        </w:rPr>
      </w:pPr>
      <w:r w:rsidRPr="134F9F9C">
        <w:rPr>
          <w:rFonts w:eastAsia="Times New Roman"/>
        </w:rPr>
        <w:t xml:space="preserve">Section </w:t>
      </w:r>
      <w:r w:rsidRPr="0071149A">
        <w:rPr>
          <w:rFonts w:eastAsia="Times New Roman"/>
        </w:rPr>
        <w:t>6.2</w:t>
      </w:r>
      <w:r w:rsidRPr="134F9F9C">
        <w:rPr>
          <w:rFonts w:eastAsia="Times New Roman"/>
        </w:rPr>
        <w:t xml:space="preserve"> details the simple pairwise statistics and graphics.</w:t>
      </w:r>
    </w:p>
    <w:p w14:paraId="0FDEEE92" w14:textId="53A3ABDD" w:rsidR="00C13F4C" w:rsidRDefault="6CEA2F80" w:rsidP="27B4A244">
      <w:pPr>
        <w:spacing w:before="120" w:after="120" w:line="257" w:lineRule="auto"/>
        <w:rPr>
          <w:rFonts w:eastAsia="Times New Roman"/>
        </w:rPr>
      </w:pPr>
      <w:r w:rsidRPr="134F9F9C">
        <w:rPr>
          <w:rFonts w:eastAsia="Times New Roman"/>
        </w:rPr>
        <w:t xml:space="preserve">Section </w:t>
      </w:r>
      <w:r w:rsidRPr="0071149A">
        <w:rPr>
          <w:rFonts w:eastAsia="Times New Roman"/>
        </w:rPr>
        <w:t>6.3</w:t>
      </w:r>
      <w:r w:rsidRPr="134F9F9C">
        <w:rPr>
          <w:rFonts w:eastAsia="Times New Roman"/>
        </w:rPr>
        <w:t xml:space="preserve"> explores the causal effects that can be estimated. To scientifically determine </w:t>
      </w:r>
      <w:r w:rsidR="34B2C69B" w:rsidRPr="134F9F9C">
        <w:rPr>
          <w:rFonts w:eastAsia="Times New Roman"/>
        </w:rPr>
        <w:t>i</w:t>
      </w:r>
      <w:r w:rsidRPr="134F9F9C">
        <w:rPr>
          <w:rFonts w:eastAsia="Times New Roman"/>
        </w:rPr>
        <w:t xml:space="preserve">f an intervention causes an outcome, the gold standard is a randomized experiment.  For this study, the animals are randomized to different vaccine arms, so the causal inferences that are most easily made and with the fewest assumptions are how the vaccine arms relate to post-vaccination outcomes. In this study the two types of post-vaccination outcomes of the most interest are the challenge responses (Section </w:t>
      </w:r>
      <w:r w:rsidRPr="0071149A">
        <w:rPr>
          <w:rFonts w:eastAsia="Times New Roman"/>
        </w:rPr>
        <w:t>6.3.1</w:t>
      </w:r>
      <w:r w:rsidRPr="134F9F9C">
        <w:rPr>
          <w:rFonts w:eastAsia="Times New Roman"/>
        </w:rPr>
        <w:t xml:space="preserve">) and the possible immune correlates (Section </w:t>
      </w:r>
      <w:r w:rsidRPr="0071149A">
        <w:rPr>
          <w:rFonts w:eastAsia="Times New Roman"/>
        </w:rPr>
        <w:t>6.3.2</w:t>
      </w:r>
      <w:r w:rsidRPr="134F9F9C">
        <w:rPr>
          <w:rFonts w:eastAsia="Times New Roman"/>
        </w:rPr>
        <w:t xml:space="preserve">).  The hypothesis is that within each vaccine product, </w:t>
      </w:r>
      <w:proofErr w:type="gramStart"/>
      <w:r w:rsidRPr="134F9F9C">
        <w:rPr>
          <w:rFonts w:eastAsia="Times New Roman"/>
        </w:rPr>
        <w:t>both of these</w:t>
      </w:r>
      <w:proofErr w:type="gramEnd"/>
      <w:r w:rsidRPr="134F9F9C">
        <w:rPr>
          <w:rFonts w:eastAsia="Times New Roman"/>
        </w:rPr>
        <w:t xml:space="preserve"> two types of outcomes will be related to vaccine dose.  These hypotheses will be tested as detailed in Section 6.3. </w:t>
      </w:r>
    </w:p>
    <w:p w14:paraId="047C8C5F" w14:textId="4D5E00AF" w:rsidR="00C13F4C" w:rsidRDefault="6CEA2F80" w:rsidP="134F9F9C">
      <w:pPr>
        <w:spacing w:before="120" w:after="120" w:line="257" w:lineRule="auto"/>
        <w:rPr>
          <w:rFonts w:eastAsia="Times New Roman"/>
        </w:rPr>
      </w:pPr>
      <w:r w:rsidRPr="134F9F9C">
        <w:rPr>
          <w:rFonts w:eastAsia="Times New Roman"/>
        </w:rPr>
        <w:t xml:space="preserve">Section </w:t>
      </w:r>
      <w:r w:rsidRPr="0071149A">
        <w:rPr>
          <w:rFonts w:eastAsia="Times New Roman"/>
        </w:rPr>
        <w:t>6.4</w:t>
      </w:r>
      <w:r w:rsidRPr="134F9F9C">
        <w:rPr>
          <w:rFonts w:eastAsia="Times New Roman"/>
        </w:rPr>
        <w:t xml:space="preserve"> describes models with one </w:t>
      </w:r>
      <w:r w:rsidR="55418AED" w:rsidRPr="134F9F9C">
        <w:rPr>
          <w:rFonts w:eastAsia="Times New Roman"/>
        </w:rPr>
        <w:t>marker</w:t>
      </w:r>
      <w:r w:rsidRPr="134F9F9C">
        <w:rPr>
          <w:rFonts w:eastAsia="Times New Roman"/>
        </w:rPr>
        <w:t xml:space="preserve"> and one outcome. Section </w:t>
      </w:r>
      <w:r w:rsidRPr="0071149A">
        <w:rPr>
          <w:rFonts w:eastAsia="Times New Roman"/>
        </w:rPr>
        <w:t>6.5</w:t>
      </w:r>
      <w:r w:rsidRPr="134F9F9C">
        <w:rPr>
          <w:rFonts w:eastAsia="Times New Roman"/>
        </w:rPr>
        <w:t xml:space="preserve"> and </w:t>
      </w:r>
      <w:r w:rsidRPr="0071149A">
        <w:rPr>
          <w:rFonts w:eastAsia="Times New Roman"/>
        </w:rPr>
        <w:t>6.6</w:t>
      </w:r>
      <w:r w:rsidRPr="134F9F9C">
        <w:rPr>
          <w:rFonts w:eastAsia="Times New Roman"/>
        </w:rPr>
        <w:t xml:space="preserve"> describe the outcome variance explained by the model including only the immune correlate as a percentage of the outcome variance explain by a fuller model including dose level (Section </w:t>
      </w:r>
      <w:r w:rsidRPr="0071149A">
        <w:rPr>
          <w:rFonts w:eastAsia="Times New Roman"/>
        </w:rPr>
        <w:t>6.5</w:t>
      </w:r>
      <w:r w:rsidRPr="134F9F9C">
        <w:rPr>
          <w:rFonts w:eastAsia="Times New Roman"/>
        </w:rPr>
        <w:t xml:space="preserve">) or including all dose/vaccine combination levels (Section </w:t>
      </w:r>
      <w:r w:rsidRPr="0071149A">
        <w:rPr>
          <w:rFonts w:eastAsia="Times New Roman"/>
        </w:rPr>
        <w:t>6.6</w:t>
      </w:r>
      <w:r w:rsidRPr="134F9F9C">
        <w:rPr>
          <w:rFonts w:eastAsia="Times New Roman"/>
        </w:rPr>
        <w:t xml:space="preserve">).  Section </w:t>
      </w:r>
      <w:r w:rsidRPr="0071149A">
        <w:rPr>
          <w:rFonts w:eastAsia="Times New Roman"/>
        </w:rPr>
        <w:t>6.7</w:t>
      </w:r>
      <w:r w:rsidRPr="134F9F9C">
        <w:rPr>
          <w:rFonts w:eastAsia="Times New Roman"/>
        </w:rPr>
        <w:t xml:space="preserve"> describes repeating these types of analyses with possibly two immune correlates. </w:t>
      </w:r>
      <w:r w:rsidR="6F189A51" w:rsidRPr="134F9F9C">
        <w:rPr>
          <w:rFonts w:eastAsia="Times New Roman"/>
        </w:rPr>
        <w:t>Section 6.8 describes a cross valid</w:t>
      </w:r>
      <w:r w:rsidR="6F0B97D2" w:rsidRPr="134F9F9C">
        <w:rPr>
          <w:rFonts w:eastAsia="Times New Roman"/>
        </w:rPr>
        <w:t>a</w:t>
      </w:r>
      <w:r w:rsidR="6F189A51" w:rsidRPr="134F9F9C">
        <w:rPr>
          <w:rFonts w:eastAsia="Times New Roman"/>
        </w:rPr>
        <w:t>tion prediction, whereby one vaccine product (or group</w:t>
      </w:r>
      <w:r w:rsidR="6F0B97D2" w:rsidRPr="134F9F9C">
        <w:rPr>
          <w:rFonts w:eastAsia="Times New Roman"/>
        </w:rPr>
        <w:t xml:space="preserve"> of vaccine products</w:t>
      </w:r>
      <w:r w:rsidR="6F189A51" w:rsidRPr="134F9F9C">
        <w:rPr>
          <w:rFonts w:eastAsia="Times New Roman"/>
        </w:rPr>
        <w:t xml:space="preserve">) is used to build a model, and that model is used to predict responses for another vaccine product. Section 6.9 discusses a harmonized analysis with the human correlates study. Section 6.10 describes machine learning approaches to incorporate possibly many covariates at once to predict outcomes. Finally, we end in Section 6.11 with a discussion of sample size. </w:t>
      </w:r>
    </w:p>
    <w:p w14:paraId="7CB8F75E" w14:textId="1DAF28C7" w:rsidR="00E055AF" w:rsidRDefault="00E055AF" w:rsidP="00081999">
      <w:pPr>
        <w:spacing w:before="120" w:after="120" w:line="257" w:lineRule="auto"/>
      </w:pPr>
    </w:p>
    <w:p w14:paraId="40686037" w14:textId="790547DC" w:rsidR="00C13F4C" w:rsidRPr="008B4133" w:rsidRDefault="6604DDCE" w:rsidP="032B93E0">
      <w:pPr>
        <w:pStyle w:val="Heading2"/>
        <w:rPr>
          <w:rFonts w:ascii="Times New Roman" w:eastAsia="Times New Roman" w:hAnsi="Times New Roman" w:cs="Times New Roman"/>
          <w:b/>
          <w:bCs/>
          <w:color w:val="auto"/>
          <w:sz w:val="24"/>
          <w:szCs w:val="24"/>
        </w:rPr>
      </w:pPr>
      <w:bookmarkStart w:id="47" w:name="_Toc60811592"/>
      <w:r w:rsidRPr="63D7B13A">
        <w:rPr>
          <w:rFonts w:ascii="Times New Roman" w:eastAsia="Times New Roman" w:hAnsi="Times New Roman" w:cs="Times New Roman"/>
          <w:b/>
          <w:bCs/>
          <w:color w:val="auto"/>
          <w:sz w:val="24"/>
          <w:szCs w:val="24"/>
        </w:rPr>
        <w:t>6</w:t>
      </w:r>
      <w:r w:rsidR="6671638B" w:rsidRPr="008B4133">
        <w:rPr>
          <w:rFonts w:ascii="Times New Roman" w:eastAsia="Times New Roman" w:hAnsi="Times New Roman" w:cs="Times New Roman"/>
          <w:b/>
          <w:bCs/>
          <w:color w:val="auto"/>
          <w:sz w:val="24"/>
          <w:szCs w:val="24"/>
        </w:rPr>
        <w:t>.2         Graphical Exploration of Immune Correlates and Post-Challenge Outcome</w:t>
      </w:r>
      <w:bookmarkEnd w:id="47"/>
    </w:p>
    <w:p w14:paraId="1C7DE127" w14:textId="3F695C02" w:rsidR="00C13F4C" w:rsidRDefault="6671638B" w:rsidP="032B93E0">
      <w:pPr>
        <w:spacing w:before="120" w:after="120" w:line="257" w:lineRule="auto"/>
        <w:rPr>
          <w:rFonts w:eastAsia="Times New Roman"/>
          <w:szCs w:val="24"/>
        </w:rPr>
      </w:pPr>
      <w:r w:rsidRPr="032B93E0">
        <w:rPr>
          <w:rFonts w:eastAsia="Times New Roman"/>
          <w:szCs w:val="24"/>
        </w:rPr>
        <w:t xml:space="preserve">Scatter plots of pairs of immune </w:t>
      </w:r>
      <w:r w:rsidR="0069067E">
        <w:rPr>
          <w:rFonts w:eastAsia="Times New Roman"/>
          <w:szCs w:val="24"/>
        </w:rPr>
        <w:t>markers</w:t>
      </w:r>
      <w:r w:rsidRPr="032B93E0">
        <w:rPr>
          <w:rFonts w:eastAsia="Times New Roman"/>
          <w:szCs w:val="24"/>
        </w:rPr>
        <w:t xml:space="preserve"> will be generated to determine how well they correlate. All arms (different vaccine products, different dilutions, and controls) will be included on the same </w:t>
      </w:r>
      <w:r w:rsidR="006C4DB5">
        <w:rPr>
          <w:rFonts w:eastAsia="Times New Roman"/>
          <w:szCs w:val="24"/>
        </w:rPr>
        <w:t>figure</w:t>
      </w:r>
      <w:r w:rsidRPr="032B93E0">
        <w:rPr>
          <w:rFonts w:eastAsia="Times New Roman"/>
          <w:szCs w:val="24"/>
        </w:rPr>
        <w:t xml:space="preserve"> with different </w:t>
      </w:r>
      <w:r w:rsidR="00081067">
        <w:rPr>
          <w:rFonts w:eastAsia="Times New Roman"/>
          <w:szCs w:val="24"/>
        </w:rPr>
        <w:t>colors for dose groups and different panels for vaccine product</w:t>
      </w:r>
      <w:r w:rsidRPr="032B93E0">
        <w:rPr>
          <w:rFonts w:eastAsia="Times New Roman"/>
          <w:szCs w:val="24"/>
        </w:rPr>
        <w:t xml:space="preserve">.  </w:t>
      </w:r>
      <w:r w:rsidRPr="032B93E0">
        <w:rPr>
          <w:rFonts w:eastAsia="Times New Roman"/>
          <w:szCs w:val="24"/>
        </w:rPr>
        <w:lastRenderedPageBreak/>
        <w:t>Simple statistics will be performed independent of the vaccine product.</w:t>
      </w:r>
      <w:r w:rsidR="0069067E">
        <w:rPr>
          <w:rFonts w:eastAsia="Times New Roman"/>
          <w:szCs w:val="24"/>
        </w:rPr>
        <w:t xml:space="preserve"> For example, the Spearman correlation between each pair of immune markers will be calculated.</w:t>
      </w:r>
      <w:r w:rsidRPr="032B93E0">
        <w:rPr>
          <w:rFonts w:eastAsia="Times New Roman"/>
          <w:szCs w:val="24"/>
        </w:rPr>
        <w:t xml:space="preserve"> Spearman (i.e., rank) correlations with confidence intervals will be generated</w:t>
      </w:r>
      <w:r w:rsidR="00C46459">
        <w:rPr>
          <w:rFonts w:eastAsia="Times New Roman"/>
          <w:szCs w:val="24"/>
        </w:rPr>
        <w:t>;</w:t>
      </w:r>
      <w:r w:rsidRPr="032B93E0">
        <w:rPr>
          <w:rFonts w:eastAsia="Times New Roman"/>
          <w:szCs w:val="24"/>
        </w:rPr>
        <w:t xml:space="preserve"> </w:t>
      </w:r>
      <w:r w:rsidR="00C46459">
        <w:rPr>
          <w:rFonts w:eastAsia="Times New Roman"/>
          <w:szCs w:val="24"/>
        </w:rPr>
        <w:t>confidence intervals for the Spearman’s correlation coefficient are calculated by using the ranks in a Pearson’s correlation</w:t>
      </w:r>
      <w:r w:rsidRPr="032B93E0">
        <w:rPr>
          <w:rFonts w:eastAsia="Times New Roman"/>
          <w:szCs w:val="24"/>
        </w:rPr>
        <w:t xml:space="preserve">, which generally performs well (Caruso and Cliff, 1997). If there are many ties, this method will be checked using nonparametric bootstrap as a sensitivity analysis. </w:t>
      </w:r>
    </w:p>
    <w:p w14:paraId="1519198D" w14:textId="7C6F2127" w:rsidR="00C13F4C" w:rsidRDefault="315886A0" w:rsidP="27B4A244">
      <w:pPr>
        <w:spacing w:before="120" w:after="120" w:line="257" w:lineRule="auto"/>
        <w:rPr>
          <w:rFonts w:eastAsia="Times New Roman"/>
        </w:rPr>
      </w:pPr>
      <w:r w:rsidRPr="714B3603">
        <w:rPr>
          <w:rFonts w:eastAsia="Times New Roman"/>
        </w:rPr>
        <w:t>P</w:t>
      </w:r>
      <w:r w:rsidR="66FCEBD9" w:rsidRPr="714B3603">
        <w:rPr>
          <w:rFonts w:eastAsia="Times New Roman"/>
        </w:rPr>
        <w:t xml:space="preserve">airwise plots of each immune </w:t>
      </w:r>
      <w:r w:rsidR="345D556E" w:rsidRPr="714B3603">
        <w:rPr>
          <w:rFonts w:eastAsia="Times New Roman"/>
        </w:rPr>
        <w:t xml:space="preserve">marker </w:t>
      </w:r>
      <w:r w:rsidR="66FCEBD9" w:rsidRPr="714B3603">
        <w:rPr>
          <w:rFonts w:eastAsia="Times New Roman"/>
        </w:rPr>
        <w:t>with each post-challenge outcome</w:t>
      </w:r>
      <w:r w:rsidR="647D9A13" w:rsidRPr="714B3603">
        <w:rPr>
          <w:rFonts w:eastAsia="Times New Roman"/>
        </w:rPr>
        <w:t xml:space="preserve"> will be </w:t>
      </w:r>
      <w:r w:rsidR="43167334" w:rsidRPr="714B3603">
        <w:rPr>
          <w:rFonts w:eastAsia="Times New Roman"/>
        </w:rPr>
        <w:t>generat</w:t>
      </w:r>
      <w:r w:rsidR="647D9A13" w:rsidRPr="714B3603">
        <w:rPr>
          <w:rFonts w:eastAsia="Times New Roman"/>
        </w:rPr>
        <w:t>ed</w:t>
      </w:r>
      <w:r w:rsidR="66FCEBD9" w:rsidRPr="714B3603">
        <w:rPr>
          <w:rFonts w:eastAsia="Times New Roman"/>
        </w:rPr>
        <w:t>.</w:t>
      </w:r>
      <w:r w:rsidR="00081067">
        <w:rPr>
          <w:rFonts w:eastAsia="Times New Roman"/>
        </w:rPr>
        <w:t xml:space="preserve"> Data will be plotted with different colors for dose group and different panels for vaccine product.</w:t>
      </w:r>
      <w:r w:rsidR="66FCEBD9" w:rsidRPr="714B3603">
        <w:rPr>
          <w:rFonts w:eastAsia="Times New Roman"/>
        </w:rPr>
        <w:t xml:space="preserve"> For the numeric outcomes</w:t>
      </w:r>
      <w:r w:rsidR="126E6491" w:rsidRPr="714B3603">
        <w:rPr>
          <w:rFonts w:eastAsia="Times New Roman"/>
        </w:rPr>
        <w:t>,</w:t>
      </w:r>
      <w:r w:rsidR="66FCEBD9" w:rsidRPr="714B3603">
        <w:rPr>
          <w:rFonts w:eastAsia="Times New Roman"/>
        </w:rPr>
        <w:t xml:space="preserve"> Spearman correlations</w:t>
      </w:r>
      <w:r w:rsidR="26432C8B" w:rsidRPr="714B3603">
        <w:rPr>
          <w:rFonts w:eastAsia="Times New Roman"/>
        </w:rPr>
        <w:t xml:space="preserve"> </w:t>
      </w:r>
      <w:r w:rsidR="35E48105" w:rsidRPr="714B3603">
        <w:rPr>
          <w:rFonts w:eastAsia="Times New Roman"/>
        </w:rPr>
        <w:t>will be</w:t>
      </w:r>
      <w:r w:rsidR="26432C8B" w:rsidRPr="714B3603">
        <w:rPr>
          <w:rFonts w:eastAsia="Times New Roman"/>
          <w:color w:val="000000" w:themeColor="text1"/>
        </w:rPr>
        <w:t xml:space="preserve"> calculated</w:t>
      </w:r>
      <w:r w:rsidR="66FCEBD9" w:rsidRPr="714B3603">
        <w:rPr>
          <w:rFonts w:eastAsia="Times New Roman"/>
        </w:rPr>
        <w:t>. For binary outcomes, the geometric mean ratio (GMR) as the geometric mean of the immune correlates from those animals with a positive signal for the outcome (e.g., viral sub-genomic RNA for nasal swab at day 2 post-challenge) over the geometric mean of the immune correlates from those animals without a positive signal</w:t>
      </w:r>
      <w:r w:rsidR="5C287446" w:rsidRPr="714B3603">
        <w:rPr>
          <w:rFonts w:eastAsia="Times New Roman"/>
        </w:rPr>
        <w:t xml:space="preserve"> </w:t>
      </w:r>
      <w:r w:rsidR="0AEADEB2" w:rsidRPr="714B3603">
        <w:rPr>
          <w:rFonts w:eastAsia="Times New Roman"/>
        </w:rPr>
        <w:t>will be</w:t>
      </w:r>
      <w:r w:rsidR="5C287446" w:rsidRPr="714B3603">
        <w:rPr>
          <w:rFonts w:eastAsia="Times New Roman"/>
        </w:rPr>
        <w:t xml:space="preserve"> calculated</w:t>
      </w:r>
      <w:r w:rsidR="66FCEBD9" w:rsidRPr="714B3603">
        <w:rPr>
          <w:rFonts w:eastAsia="Times New Roman"/>
        </w:rPr>
        <w:t xml:space="preserve">. The confidence interval and tests on the GMR will be calculated by t-test on the difference in means of the log10 immune correlate values, and back-transforming it to GMRs. </w:t>
      </w:r>
    </w:p>
    <w:p w14:paraId="36C54D52" w14:textId="3F603B96" w:rsidR="00081999" w:rsidRDefault="00081999" w:rsidP="27B4A244">
      <w:pPr>
        <w:spacing w:before="120" w:after="120" w:line="257" w:lineRule="auto"/>
        <w:rPr>
          <w:rFonts w:eastAsia="Times New Roman"/>
        </w:rPr>
      </w:pPr>
    </w:p>
    <w:p w14:paraId="2FFEF385" w14:textId="281A272E" w:rsidR="00C13F4C" w:rsidRPr="008B4133" w:rsidRDefault="4C3B3E0E" w:rsidP="032B93E0">
      <w:pPr>
        <w:pStyle w:val="Heading2"/>
        <w:rPr>
          <w:rFonts w:ascii="Times New Roman" w:eastAsia="Times New Roman" w:hAnsi="Times New Roman" w:cs="Times New Roman"/>
          <w:b/>
          <w:bCs/>
          <w:color w:val="auto"/>
          <w:sz w:val="24"/>
          <w:szCs w:val="24"/>
        </w:rPr>
      </w:pPr>
      <w:bookmarkStart w:id="48" w:name="_Toc60811593"/>
      <w:r w:rsidRPr="032B93E0">
        <w:rPr>
          <w:rFonts w:ascii="Times New Roman" w:eastAsia="Times New Roman" w:hAnsi="Times New Roman" w:cs="Times New Roman"/>
          <w:b/>
          <w:bCs/>
          <w:color w:val="auto"/>
          <w:sz w:val="24"/>
          <w:szCs w:val="24"/>
        </w:rPr>
        <w:t>6</w:t>
      </w:r>
      <w:r w:rsidR="6671638B" w:rsidRPr="032B93E0">
        <w:rPr>
          <w:rFonts w:ascii="Times New Roman" w:eastAsia="Times New Roman" w:hAnsi="Times New Roman" w:cs="Times New Roman"/>
          <w:b/>
          <w:bCs/>
          <w:color w:val="auto"/>
          <w:sz w:val="24"/>
          <w:szCs w:val="24"/>
        </w:rPr>
        <w:t>.3         Dose-Response Effects of Vaccine Product on Immune Correlates or Post-C</w:t>
      </w:r>
      <w:r w:rsidR="6671638B" w:rsidRPr="008B4133">
        <w:rPr>
          <w:rFonts w:ascii="Times New Roman" w:eastAsia="Times New Roman" w:hAnsi="Times New Roman" w:cs="Times New Roman"/>
          <w:b/>
          <w:bCs/>
          <w:color w:val="auto"/>
          <w:sz w:val="24"/>
          <w:szCs w:val="24"/>
        </w:rPr>
        <w:t>hallenge Outcome</w:t>
      </w:r>
      <w:bookmarkEnd w:id="48"/>
    </w:p>
    <w:p w14:paraId="50B0294D" w14:textId="5DCEBB17" w:rsidR="004D43BA" w:rsidRDefault="6671638B" w:rsidP="032B93E0">
      <w:pPr>
        <w:spacing w:before="120" w:after="120" w:line="257" w:lineRule="auto"/>
        <w:rPr>
          <w:rFonts w:eastAsia="Times New Roman"/>
          <w:szCs w:val="24"/>
        </w:rPr>
      </w:pPr>
      <w:r w:rsidRPr="032B93E0">
        <w:rPr>
          <w:rFonts w:eastAsia="Times New Roman"/>
          <w:szCs w:val="24"/>
        </w:rPr>
        <w:t xml:space="preserve">The expectation is that there will be a significant dose-response effect for both the immune correlates and the post-challenge outcomes.  For each immune correlate or </w:t>
      </w:r>
      <w:r w:rsidR="00890DA2" w:rsidRPr="032B93E0">
        <w:rPr>
          <w:rFonts w:eastAsia="Times New Roman"/>
          <w:szCs w:val="24"/>
        </w:rPr>
        <w:t>outcome,</w:t>
      </w:r>
      <w:r w:rsidRPr="032B93E0">
        <w:rPr>
          <w:rFonts w:eastAsia="Times New Roman"/>
          <w:szCs w:val="24"/>
        </w:rPr>
        <w:t xml:space="preserve"> a test for a dose response will be performed</w:t>
      </w:r>
      <w:r w:rsidR="004D43BA">
        <w:rPr>
          <w:rFonts w:eastAsia="Times New Roman"/>
          <w:szCs w:val="24"/>
        </w:rPr>
        <w:t xml:space="preserve">. Since each vaccine product will </w:t>
      </w:r>
      <w:r w:rsidR="00890DA2">
        <w:rPr>
          <w:rFonts w:eastAsia="Times New Roman"/>
          <w:szCs w:val="24"/>
        </w:rPr>
        <w:t xml:space="preserve">have </w:t>
      </w:r>
      <w:r w:rsidR="004D43BA">
        <w:rPr>
          <w:rFonts w:eastAsia="Times New Roman"/>
          <w:szCs w:val="24"/>
        </w:rPr>
        <w:t xml:space="preserve">its own set of dose dilutions, we define a separate dose score for each vaccine. Let  </w:t>
      </w:r>
      <m:oMath>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Aj</m:t>
            </m:r>
          </m:sub>
        </m:sSub>
      </m:oMath>
      <w:r w:rsidR="0030193B">
        <w:rPr>
          <w:rFonts w:eastAsia="Times New Roman"/>
          <w:szCs w:val="24"/>
        </w:rPr>
        <w:t xml:space="preserve"> be the </w:t>
      </w:r>
      <w:proofErr w:type="spellStart"/>
      <w:r w:rsidR="0030193B">
        <w:rPr>
          <w:rFonts w:eastAsia="Times New Roman"/>
          <w:szCs w:val="24"/>
        </w:rPr>
        <w:t>j</w:t>
      </w:r>
      <w:r w:rsidR="0030193B" w:rsidRPr="004E2940">
        <w:rPr>
          <w:rFonts w:eastAsia="Times New Roman"/>
          <w:szCs w:val="24"/>
          <w:vertAlign w:val="superscript"/>
        </w:rPr>
        <w:t>th</w:t>
      </w:r>
      <w:proofErr w:type="spellEnd"/>
      <w:r w:rsidR="0030193B">
        <w:rPr>
          <w:rFonts w:eastAsia="Times New Roman"/>
          <w:szCs w:val="24"/>
        </w:rPr>
        <w:t xml:space="preserve"> dose for vaccine A, and let </w:t>
      </w:r>
      <m:oMath>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A,min</m:t>
            </m:r>
          </m:sub>
        </m:sSub>
      </m:oMath>
      <w:r w:rsidR="0030193B">
        <w:rPr>
          <w:rFonts w:eastAsia="Times New Roman"/>
          <w:szCs w:val="24"/>
        </w:rPr>
        <w:t xml:space="preserve"> be the minimum dose (i.e., the most diluted dose) of vaccine A, then the corresponding dose score is</w:t>
      </w:r>
    </w:p>
    <w:p w14:paraId="125D5915" w14:textId="72E4175D" w:rsidR="004D43BA" w:rsidRDefault="000522B7" w:rsidP="032B93E0">
      <w:pPr>
        <w:spacing w:before="120" w:after="120" w:line="257" w:lineRule="auto"/>
        <w:rPr>
          <w:rFonts w:eastAsia="Times New Roman"/>
          <w:szCs w:val="24"/>
        </w:rPr>
      </w:pPr>
      <m:oMathPara>
        <m:oMath>
          <m:func>
            <m:funcPr>
              <m:ctrlPr>
                <w:rPr>
                  <w:rFonts w:ascii="Cambria Math" w:eastAsia="Times New Roman" w:hAnsi="Cambria Math"/>
                  <w:i/>
                  <w:szCs w:val="24"/>
                </w:rPr>
              </m:ctrlPr>
            </m:funcPr>
            <m:fName>
              <m:sSub>
                <m:sSubPr>
                  <m:ctrlPr>
                    <w:rPr>
                      <w:rFonts w:ascii="Cambria Math" w:eastAsia="Times New Roman" w:hAnsi="Cambria Math"/>
                      <w:i/>
                      <w:szCs w:val="24"/>
                    </w:rPr>
                  </m:ctrlPr>
                </m:sSubPr>
                <m:e>
                  <m:sSub>
                    <m:sSubPr>
                      <m:ctrlPr>
                        <w:rPr>
                          <w:rFonts w:ascii="Cambria Math" w:eastAsia="Times New Roman" w:hAnsi="Cambria Math"/>
                          <w:szCs w:val="24"/>
                        </w:rPr>
                      </m:ctrlPr>
                    </m:sSubPr>
                    <m:e>
                      <m:r>
                        <w:rPr>
                          <w:rFonts w:ascii="Cambria Math" w:eastAsia="Times New Roman" w:hAnsi="Cambria Math"/>
                          <w:szCs w:val="24"/>
                        </w:rPr>
                        <m:t>d</m:t>
                      </m:r>
                    </m:e>
                    <m:sub>
                      <m:r>
                        <w:rPr>
                          <w:rFonts w:ascii="Cambria Math" w:eastAsia="Times New Roman" w:hAnsi="Cambria Math"/>
                          <w:szCs w:val="24"/>
                        </w:rPr>
                        <m:t>Aj</m:t>
                      </m:r>
                    </m:sub>
                  </m:sSub>
                  <m:r>
                    <m:rPr>
                      <m:sty m:val="p"/>
                    </m:rPr>
                    <w:rPr>
                      <w:rFonts w:ascii="Cambria Math" w:eastAsia="Times New Roman" w:hAnsi="Cambria Math"/>
                      <w:szCs w:val="24"/>
                    </w:rPr>
                    <m:t>= log</m:t>
                  </m:r>
                </m:e>
                <m:sub>
                  <m:r>
                    <w:rPr>
                      <w:rFonts w:ascii="Cambria Math" w:eastAsia="Times New Roman" w:hAnsi="Cambria Math"/>
                      <w:szCs w:val="24"/>
                    </w:rPr>
                    <m:t>10</m:t>
                  </m:r>
                </m:sub>
              </m:sSub>
            </m:fName>
            <m:e>
              <m:d>
                <m:dPr>
                  <m:ctrlPr>
                    <w:rPr>
                      <w:rFonts w:ascii="Cambria Math" w:eastAsia="Times New Roman" w:hAnsi="Cambria Math"/>
                      <w:i/>
                      <w:szCs w:val="24"/>
                    </w:rPr>
                  </m:ctrlPr>
                </m:dPr>
                <m:e>
                  <m:f>
                    <m:fPr>
                      <m:ctrlPr>
                        <w:rPr>
                          <w:rFonts w:ascii="Cambria Math" w:eastAsia="Times New Roman" w:hAnsi="Cambria Math"/>
                          <w:i/>
                          <w:szCs w:val="24"/>
                        </w:rPr>
                      </m:ctrlPr>
                    </m:fPr>
                    <m:num>
                      <m:r>
                        <w:rPr>
                          <w:rFonts w:ascii="Cambria Math" w:eastAsia="Times New Roman" w:hAnsi="Cambria Math"/>
                          <w:szCs w:val="24"/>
                        </w:rPr>
                        <m:t>10*</m:t>
                      </m:r>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Aj</m:t>
                          </m:r>
                        </m:sub>
                      </m:sSub>
                    </m:num>
                    <m:den>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A,min</m:t>
                          </m:r>
                        </m:sub>
                      </m:sSub>
                    </m:den>
                  </m:f>
                </m:e>
              </m:d>
            </m:e>
          </m:func>
        </m:oMath>
      </m:oMathPara>
    </w:p>
    <w:p w14:paraId="7CB2608A" w14:textId="55E38203" w:rsidR="00C13F4C" w:rsidRDefault="6AE765A1" w:rsidP="714B3603">
      <w:pPr>
        <w:spacing w:before="120" w:after="120" w:line="257" w:lineRule="auto"/>
        <w:rPr>
          <w:rFonts w:eastAsia="Times New Roman"/>
        </w:rPr>
      </w:pPr>
      <w:r w:rsidRPr="714B3603">
        <w:rPr>
          <w:rFonts w:eastAsia="Times New Roman"/>
        </w:rPr>
        <w:t xml:space="preserve">Thus, the dose score associated with the minimum dose will always be 1, and the dose 10 times larger will be 2, etc.  We define the dose score for the placebo group to be 0, which is functionally equivalent to a 10-fold dilution of the minimum dose for each vaccine. </w:t>
      </w:r>
      <w:r w:rsidR="71CA0802" w:rsidRPr="714B3603">
        <w:rPr>
          <w:rFonts w:eastAsia="Times New Roman"/>
        </w:rPr>
        <w:t xml:space="preserve"> Most vaccines will be given as two immunizations. For those animals that are given as only 1 immunization, we will define two vaccine scores: (1) same as above (i.e., animals that are given 1 immunization of dose x, will have the same dose score as animals that have 2 immunizations [</w:t>
      </w:r>
      <w:proofErr w:type="spellStart"/>
      <w:r w:rsidR="71CA0802" w:rsidRPr="714B3603">
        <w:rPr>
          <w:rFonts w:eastAsia="Times New Roman"/>
        </w:rPr>
        <w:t>prime+boost</w:t>
      </w:r>
      <w:proofErr w:type="spellEnd"/>
      <w:r w:rsidR="71CA0802" w:rsidRPr="714B3603">
        <w:rPr>
          <w:rFonts w:eastAsia="Times New Roman"/>
        </w:rPr>
        <w:t xml:space="preserve">] of dose x), or (2) the values associated with one scheduled immunization have their dose divided by 2 (because the cumulative dose is half as much as those that get two scheduled immunizations). </w:t>
      </w:r>
      <w:r w:rsidRPr="714B3603">
        <w:rPr>
          <w:rFonts w:eastAsia="Times New Roman"/>
        </w:rPr>
        <w:t xml:space="preserve"> </w:t>
      </w:r>
      <w:r w:rsidR="2CFAF945" w:rsidRPr="714B3603">
        <w:rPr>
          <w:rFonts w:eastAsia="Times New Roman"/>
        </w:rPr>
        <w:t>Alternatively, some analyses may leave out animal groups that only</w:t>
      </w:r>
      <w:r w:rsidR="00984A11">
        <w:rPr>
          <w:rFonts w:eastAsia="Times New Roman"/>
        </w:rPr>
        <w:t xml:space="preserve"> </w:t>
      </w:r>
      <w:r w:rsidR="638FDFEB" w:rsidRPr="714B3603">
        <w:rPr>
          <w:rFonts w:eastAsia="Times New Roman"/>
        </w:rPr>
        <w:t>received</w:t>
      </w:r>
      <w:r w:rsidR="2CFAF945" w:rsidRPr="714B3603">
        <w:rPr>
          <w:rFonts w:eastAsia="Times New Roman"/>
        </w:rPr>
        <w:t xml:space="preserve"> one immunization. </w:t>
      </w:r>
    </w:p>
    <w:p w14:paraId="7F167F3B" w14:textId="77777777" w:rsidR="0030193B" w:rsidRDefault="0030193B" w:rsidP="0030193B">
      <w:pPr>
        <w:spacing w:before="120" w:after="120" w:line="257" w:lineRule="auto"/>
        <w:rPr>
          <w:rFonts w:eastAsia="Times New Roman"/>
          <w:szCs w:val="24"/>
        </w:rPr>
      </w:pPr>
    </w:p>
    <w:p w14:paraId="0559A2A9" w14:textId="48433305" w:rsidR="00C13F4C" w:rsidRDefault="02FE6961" w:rsidP="032B93E0">
      <w:pPr>
        <w:pStyle w:val="Heading3"/>
        <w:rPr>
          <w:rFonts w:ascii="Times New Roman" w:eastAsia="Times New Roman" w:hAnsi="Times New Roman" w:cs="Times New Roman"/>
          <w:b/>
          <w:bCs/>
          <w:color w:val="auto"/>
        </w:rPr>
      </w:pPr>
      <w:bookmarkStart w:id="49" w:name="_Toc60811594"/>
      <w:r w:rsidRPr="032B93E0">
        <w:rPr>
          <w:rFonts w:ascii="Times New Roman" w:eastAsia="Times New Roman" w:hAnsi="Times New Roman" w:cs="Times New Roman"/>
          <w:b/>
          <w:bCs/>
          <w:color w:val="auto"/>
        </w:rPr>
        <w:lastRenderedPageBreak/>
        <w:t>6</w:t>
      </w:r>
      <w:r w:rsidR="6671638B" w:rsidRPr="032B93E0">
        <w:rPr>
          <w:rFonts w:ascii="Times New Roman" w:eastAsia="Times New Roman" w:hAnsi="Times New Roman" w:cs="Times New Roman"/>
          <w:b/>
          <w:bCs/>
          <w:color w:val="auto"/>
        </w:rPr>
        <w:t>.3.1        Numeric Values (</w:t>
      </w:r>
      <w:r w:rsidR="00BD4F4D">
        <w:rPr>
          <w:rFonts w:ascii="Times New Roman" w:eastAsia="Times New Roman" w:hAnsi="Times New Roman" w:cs="Times New Roman"/>
          <w:b/>
          <w:bCs/>
          <w:color w:val="auto"/>
        </w:rPr>
        <w:t>immune marker</w:t>
      </w:r>
      <w:r w:rsidR="00BD4F4D" w:rsidRPr="032B93E0">
        <w:rPr>
          <w:rFonts w:ascii="Times New Roman" w:eastAsia="Times New Roman" w:hAnsi="Times New Roman" w:cs="Times New Roman"/>
          <w:b/>
          <w:bCs/>
          <w:color w:val="auto"/>
        </w:rPr>
        <w:t xml:space="preserve"> </w:t>
      </w:r>
      <w:r w:rsidR="6671638B" w:rsidRPr="032B93E0">
        <w:rPr>
          <w:rFonts w:ascii="Times New Roman" w:eastAsia="Times New Roman" w:hAnsi="Times New Roman" w:cs="Times New Roman"/>
          <w:b/>
          <w:bCs/>
          <w:color w:val="auto"/>
        </w:rPr>
        <w:t>or post-challenge outcome)</w:t>
      </w:r>
      <w:bookmarkEnd w:id="49"/>
    </w:p>
    <w:p w14:paraId="75D53A0E" w14:textId="587BF29E" w:rsidR="00C13F4C" w:rsidRDefault="6671638B" w:rsidP="032B93E0">
      <w:pPr>
        <w:spacing w:before="120" w:after="120" w:line="257" w:lineRule="auto"/>
        <w:rPr>
          <w:rFonts w:eastAsia="Times New Roman"/>
          <w:szCs w:val="24"/>
        </w:rPr>
      </w:pPr>
      <w:r w:rsidRPr="032B93E0">
        <w:rPr>
          <w:rFonts w:eastAsia="Times New Roman"/>
          <w:szCs w:val="24"/>
        </w:rPr>
        <w:t xml:space="preserve">Initially, </w:t>
      </w:r>
      <w:r w:rsidR="0030193B">
        <w:rPr>
          <w:rFonts w:eastAsia="Times New Roman"/>
          <w:szCs w:val="24"/>
        </w:rPr>
        <w:t xml:space="preserve">within each vaccine product </w:t>
      </w:r>
      <w:r w:rsidRPr="032B93E0">
        <w:rPr>
          <w:rFonts w:eastAsia="Times New Roman"/>
          <w:szCs w:val="24"/>
        </w:rPr>
        <w:t xml:space="preserve">a Spearman correlation (i.e., rank correlation) of the dose score with the </w:t>
      </w:r>
      <w:r w:rsidR="00BD4F4D">
        <w:rPr>
          <w:rFonts w:eastAsia="Times New Roman"/>
          <w:szCs w:val="24"/>
        </w:rPr>
        <w:t>marker</w:t>
      </w:r>
      <w:r w:rsidR="00BD4F4D" w:rsidRPr="032B93E0">
        <w:rPr>
          <w:rFonts w:eastAsia="Times New Roman"/>
          <w:szCs w:val="24"/>
        </w:rPr>
        <w:t xml:space="preserve"> </w:t>
      </w:r>
      <w:r w:rsidRPr="032B93E0">
        <w:rPr>
          <w:rFonts w:eastAsia="Times New Roman"/>
          <w:szCs w:val="24"/>
        </w:rPr>
        <w:t xml:space="preserve">or post-challenge outcome will be performed. This is a check that the </w:t>
      </w:r>
      <w:r w:rsidR="00BD4F4D">
        <w:rPr>
          <w:rFonts w:eastAsia="Times New Roman"/>
          <w:szCs w:val="24"/>
        </w:rPr>
        <w:t>marker</w:t>
      </w:r>
      <w:r w:rsidR="00BD4F4D" w:rsidRPr="032B93E0">
        <w:rPr>
          <w:rFonts w:eastAsia="Times New Roman"/>
          <w:szCs w:val="24"/>
        </w:rPr>
        <w:t xml:space="preserve"> </w:t>
      </w:r>
      <w:r w:rsidRPr="032B93E0">
        <w:rPr>
          <w:rFonts w:eastAsia="Times New Roman"/>
          <w:szCs w:val="24"/>
        </w:rPr>
        <w:t xml:space="preserve">and outcome is associated with vaccine dose in a monotonic way. </w:t>
      </w:r>
      <w:r w:rsidR="00273F52">
        <w:rPr>
          <w:rFonts w:eastAsia="Times New Roman"/>
          <w:szCs w:val="24"/>
        </w:rPr>
        <w:t xml:space="preserve"> Then, the overall Spearman correlation with all vaccine product and the placebo arms included will be done.</w:t>
      </w:r>
    </w:p>
    <w:p w14:paraId="4BAF2E93" w14:textId="2E04500B" w:rsidR="00BD4F4D" w:rsidRDefault="00BD4F4D" w:rsidP="032B93E0">
      <w:pPr>
        <w:spacing w:before="120" w:after="120" w:line="257" w:lineRule="auto"/>
        <w:rPr>
          <w:rFonts w:eastAsia="Times New Roman"/>
          <w:szCs w:val="24"/>
        </w:rPr>
      </w:pPr>
      <w:r>
        <w:rPr>
          <w:rFonts w:eastAsia="Times New Roman"/>
          <w:szCs w:val="24"/>
        </w:rPr>
        <w:t xml:space="preserve">We graphically plot the marker and outcome by dose score, with geometric means and 95% confidence intervals within each dose score/vaccine product group. </w:t>
      </w:r>
    </w:p>
    <w:p w14:paraId="57777371" w14:textId="224744B0" w:rsidR="00375A7E" w:rsidRDefault="41FE760C" w:rsidP="27B4A244">
      <w:pPr>
        <w:spacing w:before="120" w:after="120" w:line="257" w:lineRule="auto"/>
        <w:rPr>
          <w:rFonts w:eastAsia="Times New Roman"/>
        </w:rPr>
      </w:pPr>
      <w:r w:rsidRPr="134F9F9C">
        <w:rPr>
          <w:rFonts w:eastAsia="Times New Roman"/>
        </w:rPr>
        <w:t xml:space="preserve">Next we </w:t>
      </w:r>
      <w:proofErr w:type="gramStart"/>
      <w:r w:rsidRPr="134F9F9C">
        <w:rPr>
          <w:rFonts w:eastAsia="Times New Roman"/>
        </w:rPr>
        <w:t>fit</w:t>
      </w:r>
      <w:r w:rsidR="6CEA2F80" w:rsidRPr="134F9F9C">
        <w:rPr>
          <w:rFonts w:eastAsia="Times New Roman"/>
        </w:rPr>
        <w:t xml:space="preserve">  a</w:t>
      </w:r>
      <w:proofErr w:type="gramEnd"/>
      <w:r w:rsidR="6CEA2F80" w:rsidRPr="134F9F9C">
        <w:rPr>
          <w:rFonts w:eastAsia="Times New Roman"/>
        </w:rPr>
        <w:t xml:space="preserve"> linear model on the log of the outcome, where the model </w:t>
      </w:r>
      <w:r w:rsidR="08F07D6F" w:rsidRPr="134F9F9C">
        <w:rPr>
          <w:rFonts w:eastAsia="Times New Roman"/>
        </w:rPr>
        <w:t xml:space="preserve">for </w:t>
      </w:r>
      <w:r w:rsidR="6CEA2F80" w:rsidRPr="134F9F9C">
        <w:rPr>
          <w:rFonts w:eastAsia="Times New Roman"/>
        </w:rPr>
        <w:t>the mean wi</w:t>
      </w:r>
      <w:r w:rsidR="22B02C2D" w:rsidRPr="134F9F9C">
        <w:rPr>
          <w:rFonts w:eastAsia="Times New Roman"/>
        </w:rPr>
        <w:t>ll include</w:t>
      </w:r>
      <w:r w:rsidR="6CEA2F80" w:rsidRPr="134F9F9C">
        <w:rPr>
          <w:rFonts w:eastAsia="Times New Roman"/>
        </w:rPr>
        <w:t xml:space="preserve"> an intercept</w:t>
      </w:r>
      <w:r w:rsidR="22B02C2D" w:rsidRPr="134F9F9C">
        <w:rPr>
          <w:rFonts w:eastAsia="Times New Roman"/>
        </w:rPr>
        <w:t>,</w:t>
      </w:r>
      <w:r w:rsidR="6CEA2F80" w:rsidRPr="134F9F9C">
        <w:rPr>
          <w:rFonts w:eastAsia="Times New Roman"/>
        </w:rPr>
        <w:t xml:space="preserve"> </w:t>
      </w:r>
      <w:r w:rsidR="22B02C2D" w:rsidRPr="134F9F9C">
        <w:rPr>
          <w:rFonts w:eastAsia="Times New Roman"/>
        </w:rPr>
        <w:t>and</w:t>
      </w:r>
      <w:r w:rsidR="6CEA2F80" w:rsidRPr="134F9F9C">
        <w:rPr>
          <w:rFonts w:eastAsia="Times New Roman"/>
        </w:rPr>
        <w:t xml:space="preserve"> the dose scores are treated as </w:t>
      </w:r>
      <w:r w:rsidR="0069067E">
        <w:rPr>
          <w:rFonts w:eastAsia="Times New Roman"/>
        </w:rPr>
        <w:t xml:space="preserve">numeric </w:t>
      </w:r>
      <w:r w:rsidR="39C6DA79" w:rsidRPr="134F9F9C">
        <w:rPr>
          <w:rFonts w:eastAsia="Times New Roman"/>
        </w:rPr>
        <w:t>allowing a different dose parameter for each vaccine product</w:t>
      </w:r>
      <w:r w:rsidR="6CEA2F80" w:rsidRPr="134F9F9C">
        <w:rPr>
          <w:rFonts w:eastAsia="Times New Roman"/>
        </w:rPr>
        <w:t xml:space="preserve">. </w:t>
      </w:r>
      <w:r w:rsidR="410E5B61" w:rsidRPr="134F9F9C">
        <w:rPr>
          <w:rFonts w:eastAsia="Times New Roman"/>
        </w:rPr>
        <w:t xml:space="preserve"> This model will allow </w:t>
      </w:r>
      <w:r w:rsidR="39C6DA79" w:rsidRPr="134F9F9C">
        <w:rPr>
          <w:rFonts w:eastAsia="Times New Roman"/>
        </w:rPr>
        <w:t>a calibration of each</w:t>
      </w:r>
      <w:r w:rsidR="410E5B61" w:rsidRPr="134F9F9C">
        <w:rPr>
          <w:rFonts w:eastAsia="Times New Roman"/>
        </w:rPr>
        <w:t xml:space="preserve"> dose score</w:t>
      </w:r>
      <w:r w:rsidR="39C6DA79" w:rsidRPr="134F9F9C">
        <w:rPr>
          <w:rFonts w:eastAsia="Times New Roman"/>
        </w:rPr>
        <w:t xml:space="preserve"> to its vaccine product</w:t>
      </w:r>
      <w:r w:rsidR="410E5B61" w:rsidRPr="134F9F9C">
        <w:rPr>
          <w:rFonts w:eastAsia="Times New Roman"/>
        </w:rPr>
        <w:t>.</w:t>
      </w:r>
      <w:r w:rsidR="39C6DA79" w:rsidRPr="134F9F9C">
        <w:rPr>
          <w:rFonts w:eastAsia="Times New Roman"/>
        </w:rPr>
        <w:t xml:space="preserve">  </w:t>
      </w:r>
      <w:r w:rsidR="7133BA35" w:rsidRPr="134F9F9C">
        <w:rPr>
          <w:rFonts w:eastAsia="Times New Roman"/>
        </w:rPr>
        <w:t>Let</w:t>
      </w:r>
      <w:r w:rsidR="39C6DA79" w:rsidRPr="134F9F9C">
        <w:rPr>
          <w:rFonts w:eastAsia="Times New Roman"/>
        </w:rPr>
        <w:t xml:space="preserve"> </w:t>
      </w:r>
      <w:proofErr w:type="spellStart"/>
      <w:r w:rsidR="39C6DA79" w:rsidRPr="134F9F9C">
        <w:rPr>
          <w:rFonts w:eastAsia="Times New Roman"/>
        </w:rPr>
        <w:t>y</w:t>
      </w:r>
      <w:r w:rsidR="39C6DA79" w:rsidRPr="134F9F9C">
        <w:rPr>
          <w:rFonts w:eastAsia="Times New Roman"/>
          <w:vertAlign w:val="subscript"/>
        </w:rPr>
        <w:t>jk</w:t>
      </w:r>
      <w:proofErr w:type="spellEnd"/>
      <w:r w:rsidR="39C6DA79" w:rsidRPr="134F9F9C">
        <w:rPr>
          <w:rFonts w:eastAsia="Times New Roman"/>
        </w:rPr>
        <w:t xml:space="preserve">, </w:t>
      </w:r>
      <w:proofErr w:type="spellStart"/>
      <w:r w:rsidR="39C6DA79" w:rsidRPr="134F9F9C">
        <w:rPr>
          <w:rFonts w:eastAsia="Times New Roman"/>
        </w:rPr>
        <w:t>v</w:t>
      </w:r>
      <w:r w:rsidR="39C6DA79" w:rsidRPr="134F9F9C">
        <w:rPr>
          <w:rFonts w:eastAsia="Times New Roman"/>
          <w:vertAlign w:val="subscript"/>
        </w:rPr>
        <w:t>jk</w:t>
      </w:r>
      <w:proofErr w:type="spellEnd"/>
      <w:r w:rsidR="39C6DA79" w:rsidRPr="134F9F9C">
        <w:rPr>
          <w:rFonts w:eastAsia="Times New Roman"/>
        </w:rPr>
        <w:t xml:space="preserve">, and </w:t>
      </w:r>
      <w:proofErr w:type="spellStart"/>
      <w:r w:rsidR="39C6DA79" w:rsidRPr="134F9F9C">
        <w:rPr>
          <w:rFonts w:eastAsia="Times New Roman"/>
        </w:rPr>
        <w:t>d</w:t>
      </w:r>
      <w:r w:rsidR="39C6DA79" w:rsidRPr="134F9F9C">
        <w:rPr>
          <w:rFonts w:eastAsia="Times New Roman"/>
          <w:vertAlign w:val="subscript"/>
        </w:rPr>
        <w:t>jk</w:t>
      </w:r>
      <w:proofErr w:type="spellEnd"/>
      <w:r w:rsidR="39C6DA79" w:rsidRPr="134F9F9C">
        <w:rPr>
          <w:rFonts w:eastAsia="Times New Roman"/>
        </w:rPr>
        <w:t>, be the numeric outcome, vaccine product, and dose score, respectively for the k</w:t>
      </w:r>
      <w:r w:rsidR="39C6DA79" w:rsidRPr="134F9F9C">
        <w:rPr>
          <w:rFonts w:eastAsia="Times New Roman"/>
          <w:vertAlign w:val="superscript"/>
        </w:rPr>
        <w:t>th</w:t>
      </w:r>
      <w:r w:rsidR="39C6DA79" w:rsidRPr="134F9F9C">
        <w:rPr>
          <w:rFonts w:eastAsia="Times New Roman"/>
        </w:rPr>
        <w:t xml:space="preserve"> animal in the </w:t>
      </w:r>
      <w:proofErr w:type="spellStart"/>
      <w:r w:rsidR="39C6DA79" w:rsidRPr="134F9F9C">
        <w:rPr>
          <w:rFonts w:eastAsia="Times New Roman"/>
        </w:rPr>
        <w:t>j</w:t>
      </w:r>
      <w:r w:rsidR="39C6DA79" w:rsidRPr="134F9F9C">
        <w:rPr>
          <w:rFonts w:eastAsia="Times New Roman"/>
          <w:vertAlign w:val="superscript"/>
        </w:rPr>
        <w:t>th</w:t>
      </w:r>
      <w:proofErr w:type="spellEnd"/>
      <w:r w:rsidR="39C6DA79" w:rsidRPr="134F9F9C">
        <w:rPr>
          <w:rFonts w:eastAsia="Times New Roman"/>
        </w:rPr>
        <w:t xml:space="preserve"> vaccine dose group (where </w:t>
      </w:r>
      <w:r w:rsidR="7133BA35" w:rsidRPr="134F9F9C">
        <w:rPr>
          <w:rFonts w:eastAsia="Times New Roman"/>
        </w:rPr>
        <w:t>a vaccine dose group is defined by a row in Table 1, except placebos that are all combined).</w:t>
      </w:r>
      <w:r w:rsidR="39C6DA79" w:rsidRPr="134F9F9C">
        <w:rPr>
          <w:rFonts w:eastAsia="Times New Roman"/>
        </w:rPr>
        <w:t xml:space="preserve"> </w:t>
      </w:r>
      <w:r w:rsidR="7133BA35" w:rsidRPr="134F9F9C">
        <w:rPr>
          <w:rFonts w:eastAsia="Times New Roman"/>
        </w:rPr>
        <w:t xml:space="preserve"> Then the model is</w:t>
      </w:r>
    </w:p>
    <w:p w14:paraId="0DE1C727" w14:textId="6A1D4621" w:rsidR="00375A7E" w:rsidRPr="00375A7E" w:rsidRDefault="000522B7" w:rsidP="27B4A244">
      <w:pPr>
        <w:spacing w:before="120" w:after="120" w:line="257" w:lineRule="auto"/>
        <w:rPr>
          <w:rFonts w:eastAsia="Times New Roman"/>
        </w:rPr>
      </w:pPr>
      <m:oMathPara>
        <m:oMath>
          <m:func>
            <m:funcPr>
              <m:ctrlPr>
                <w:rPr>
                  <w:rFonts w:ascii="Cambria Math" w:eastAsia="Times New Roman" w:hAnsi="Cambria Math"/>
                  <w:i/>
                </w:rPr>
              </m:ctrlPr>
            </m:funcPr>
            <m:fName>
              <m:r>
                <m:rPr>
                  <m:sty m:val="p"/>
                </m:rPr>
                <w:rPr>
                  <w:rFonts w:ascii="Cambria Math" w:eastAsia="Times New Roman" w:hAnsi="Cambria Math"/>
                </w:rPr>
                <m:t>log</m:t>
              </m:r>
            </m:fName>
            <m:e>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jk</m:t>
                  </m:r>
                </m:sub>
              </m:sSub>
            </m:e>
          </m:func>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β</m:t>
              </m:r>
            </m:e>
            <m:sub>
              <m:r>
                <w:rPr>
                  <w:rFonts w:ascii="Cambria Math" w:eastAsia="Times New Roman" w:hAnsi="Cambria Math"/>
                </w:rPr>
                <m:t>0</m:t>
              </m:r>
            </m:sub>
          </m:sSub>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β</m:t>
              </m:r>
            </m:e>
            <m:sub>
              <m:r>
                <w:rPr>
                  <w:rFonts w:ascii="Cambria Math" w:eastAsia="Times New Roman" w:hAnsi="Cambria Math"/>
                </w:rPr>
                <m:t>1</m:t>
              </m:r>
            </m:sub>
          </m:sSub>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d</m:t>
              </m:r>
            </m:e>
            <m:sub>
              <m:r>
                <w:rPr>
                  <w:rFonts w:ascii="Cambria Math" w:eastAsia="Times New Roman" w:hAnsi="Cambria Math"/>
                </w:rPr>
                <m:t>jk</m:t>
              </m:r>
            </m:sub>
          </m:sSub>
          <m:r>
            <w:rPr>
              <w:rFonts w:ascii="Cambria Math" w:eastAsia="Times New Roman" w:hAnsi="Cambria Math"/>
            </w:rPr>
            <m:t xml:space="preserve"> I</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jk</m:t>
                  </m:r>
                </m:sub>
              </m:sSub>
              <m:r>
                <w:rPr>
                  <w:rFonts w:ascii="Cambria Math" w:eastAsia="Times New Roman" w:hAnsi="Cambria Math"/>
                </w:rPr>
                <m:t>=A</m:t>
              </m:r>
            </m:e>
          </m:d>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β</m:t>
              </m:r>
            </m:e>
            <m:sub>
              <m:r>
                <w:rPr>
                  <w:rFonts w:ascii="Cambria Math" w:eastAsia="Times New Roman" w:hAnsi="Cambria Math"/>
                </w:rPr>
                <m:t>2</m:t>
              </m:r>
            </m:sub>
          </m:sSub>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d</m:t>
              </m:r>
            </m:e>
            <m:sub>
              <m:r>
                <w:rPr>
                  <w:rFonts w:ascii="Cambria Math" w:eastAsia="Times New Roman" w:hAnsi="Cambria Math"/>
                </w:rPr>
                <m:t>jk</m:t>
              </m:r>
            </m:sub>
          </m:sSub>
          <m:r>
            <w:rPr>
              <w:rFonts w:ascii="Cambria Math" w:eastAsia="Times New Roman" w:hAnsi="Cambria Math"/>
            </w:rPr>
            <m:t xml:space="preserve"> I</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jk</m:t>
                  </m:r>
                </m:sub>
              </m:sSub>
              <m:r>
                <w:rPr>
                  <w:rFonts w:ascii="Cambria Math" w:eastAsia="Times New Roman" w:hAnsi="Cambria Math"/>
                </w:rPr>
                <m:t>=B</m:t>
              </m:r>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β</m:t>
              </m:r>
            </m:e>
            <m:sub>
              <m:r>
                <w:rPr>
                  <w:rFonts w:ascii="Cambria Math" w:eastAsia="Times New Roman" w:hAnsi="Cambria Math"/>
                </w:rPr>
                <m:t>3</m:t>
              </m:r>
            </m:sub>
          </m:sSub>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d</m:t>
              </m:r>
            </m:e>
            <m:sub>
              <m:r>
                <w:rPr>
                  <w:rFonts w:ascii="Cambria Math" w:eastAsia="Times New Roman" w:hAnsi="Cambria Math"/>
                </w:rPr>
                <m:t>jk</m:t>
              </m:r>
            </m:sub>
          </m:sSub>
          <m:r>
            <w:rPr>
              <w:rFonts w:ascii="Cambria Math" w:eastAsia="Times New Roman" w:hAnsi="Cambria Math"/>
            </w:rPr>
            <m:t xml:space="preserve"> I</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jk</m:t>
                  </m:r>
                </m:sub>
              </m:sSub>
              <m:r>
                <w:rPr>
                  <w:rFonts w:ascii="Cambria Math" w:eastAsia="Times New Roman" w:hAnsi="Cambria Math"/>
                </w:rPr>
                <m:t>=C</m:t>
              </m:r>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β</m:t>
              </m:r>
            </m:e>
            <m:sub>
              <m:r>
                <w:rPr>
                  <w:rFonts w:ascii="Cambria Math" w:eastAsia="Times New Roman" w:hAnsi="Cambria Math"/>
                </w:rPr>
                <m:t>4</m:t>
              </m:r>
            </m:sub>
          </m:sSub>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d</m:t>
              </m:r>
            </m:e>
            <m:sub>
              <m:r>
                <w:rPr>
                  <w:rFonts w:ascii="Cambria Math" w:eastAsia="Times New Roman" w:hAnsi="Cambria Math"/>
                </w:rPr>
                <m:t>jk</m:t>
              </m:r>
            </m:sub>
          </m:sSub>
          <m:r>
            <w:rPr>
              <w:rFonts w:ascii="Cambria Math" w:eastAsia="Times New Roman" w:hAnsi="Cambria Math"/>
            </w:rPr>
            <m:t xml:space="preserve"> I</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jk</m:t>
                  </m:r>
                </m:sub>
              </m:sSub>
              <m:r>
                <w:rPr>
                  <w:rFonts w:ascii="Cambria Math" w:eastAsia="Times New Roman" w:hAnsi="Cambria Math"/>
                </w:rPr>
                <m:t>=D</m:t>
              </m:r>
            </m:e>
          </m:d>
        </m:oMath>
      </m:oMathPara>
    </w:p>
    <w:p w14:paraId="0018600C" w14:textId="4CF8E9A9" w:rsidR="00375A7E" w:rsidRDefault="00375A7E" w:rsidP="27B4A244">
      <w:pPr>
        <w:spacing w:before="120" w:after="120" w:line="257" w:lineRule="auto"/>
        <w:rPr>
          <w:rFonts w:eastAsia="Times New Roman"/>
        </w:rPr>
      </w:pPr>
      <w:r>
        <w:rPr>
          <w:rFonts w:eastAsia="Times New Roman"/>
        </w:rPr>
        <w:t xml:space="preserve">where </w:t>
      </w:r>
      <m:oMath>
        <m:r>
          <w:rPr>
            <w:rFonts w:ascii="Cambria Math" w:eastAsia="Times New Roman" w:hAnsi="Cambria Math"/>
          </w:rPr>
          <m:t>I</m:t>
        </m:r>
        <m:d>
          <m:dPr>
            <m:ctrlPr>
              <w:rPr>
                <w:rFonts w:ascii="Cambria Math" w:eastAsia="Times New Roman" w:hAnsi="Cambria Math"/>
                <w:i/>
              </w:rPr>
            </m:ctrlPr>
          </m:dPr>
          <m:e>
            <m:r>
              <w:rPr>
                <w:rFonts w:ascii="Cambria Math" w:eastAsia="Times New Roman" w:hAnsi="Cambria Math"/>
              </w:rPr>
              <m:t>S</m:t>
            </m:r>
          </m:e>
        </m:d>
      </m:oMath>
      <w:r>
        <w:rPr>
          <w:rFonts w:eastAsia="Times New Roman"/>
        </w:rPr>
        <w:t xml:space="preserve"> =1 if statement S is true, and 0 otherwise.   </w:t>
      </w:r>
    </w:p>
    <w:p w14:paraId="42D5883F" w14:textId="0593E274" w:rsidR="00C13F4C" w:rsidRDefault="6671638B" w:rsidP="27B4A244">
      <w:pPr>
        <w:spacing w:before="120" w:after="120" w:line="257" w:lineRule="auto"/>
        <w:rPr>
          <w:rFonts w:eastAsia="Times New Roman"/>
        </w:rPr>
      </w:pPr>
      <w:r w:rsidRPr="27B4A244">
        <w:rPr>
          <w:rFonts w:eastAsia="Times New Roman"/>
        </w:rPr>
        <w:t xml:space="preserve">This will be fit with a generalized estimating equation (GEE) model with the data clustered by </w:t>
      </w:r>
      <w:r w:rsidR="00375A7E">
        <w:rPr>
          <w:rFonts w:eastAsia="Times New Roman"/>
        </w:rPr>
        <w:t xml:space="preserve">challenge day groupings (see groups defined in Table 3) </w:t>
      </w:r>
      <w:r w:rsidRPr="27B4A244">
        <w:rPr>
          <w:rFonts w:eastAsia="Times New Roman"/>
        </w:rPr>
        <w:t xml:space="preserve">using a working independence variance model. Because the GEE model uses a sandwich estimator of variance, it allows for misspecification of the model. Typically, the GEE models </w:t>
      </w:r>
      <w:r w:rsidR="61F95B6F" w:rsidRPr="27B4A244">
        <w:rPr>
          <w:rFonts w:eastAsia="Times New Roman"/>
        </w:rPr>
        <w:t xml:space="preserve">are </w:t>
      </w:r>
      <w:r w:rsidRPr="27B4A244">
        <w:rPr>
          <w:rFonts w:eastAsia="Times New Roman"/>
        </w:rPr>
        <w:t xml:space="preserve">presumed as </w:t>
      </w:r>
      <w:proofErr w:type="spellStart"/>
      <w:r w:rsidRPr="27B4A244">
        <w:rPr>
          <w:rFonts w:eastAsia="Times New Roman"/>
        </w:rPr>
        <w:t>misspecifying</w:t>
      </w:r>
      <w:proofErr w:type="spellEnd"/>
      <w:r w:rsidRPr="27B4A244">
        <w:rPr>
          <w:rFonts w:eastAsia="Times New Roman"/>
        </w:rPr>
        <w:t xml:space="preserve"> the variance with a “working variance” model; however, sandwich estimators also work for </w:t>
      </w:r>
      <w:proofErr w:type="spellStart"/>
      <w:r w:rsidRPr="27B4A244">
        <w:rPr>
          <w:rFonts w:eastAsia="Times New Roman"/>
        </w:rPr>
        <w:t>misspecifying</w:t>
      </w:r>
      <w:proofErr w:type="spellEnd"/>
      <w:r w:rsidRPr="27B4A244">
        <w:rPr>
          <w:rFonts w:eastAsia="Times New Roman"/>
        </w:rPr>
        <w:t xml:space="preserve"> the mean (see e.g., White, 1996).  For example, if the models for the </w:t>
      </w:r>
      <w:proofErr w:type="spellStart"/>
      <w:r w:rsidRPr="27B4A244">
        <w:rPr>
          <w:rFonts w:eastAsia="Times New Roman"/>
        </w:rPr>
        <w:t>CoR</w:t>
      </w:r>
      <w:proofErr w:type="spellEnd"/>
      <w:r w:rsidRPr="27B4A244">
        <w:rPr>
          <w:rFonts w:eastAsia="Times New Roman"/>
        </w:rPr>
        <w:t xml:space="preserve"> predicting the outcome are similar but slightly different for different vaccine product, then the model without vaccine product information will be </w:t>
      </w:r>
      <w:proofErr w:type="spellStart"/>
      <w:r w:rsidRPr="27B4A244">
        <w:rPr>
          <w:rFonts w:eastAsia="Times New Roman"/>
        </w:rPr>
        <w:t>misspecified</w:t>
      </w:r>
      <w:proofErr w:type="spellEnd"/>
      <w:r w:rsidRPr="27B4A244">
        <w:rPr>
          <w:rFonts w:eastAsia="Times New Roman"/>
        </w:rPr>
        <w:t xml:space="preserve"> and will measure a kind of average effect.  Because GEE methods are typically anti-conservative, inferences adjusted for small samples will be made using the saws R package with the default method (Fay and Graubard, 2001). </w:t>
      </w:r>
    </w:p>
    <w:p w14:paraId="64C463B5" w14:textId="77777777" w:rsidR="00BD4F4D" w:rsidRPr="004E2940" w:rsidRDefault="00BD4F4D" w:rsidP="004E2940"/>
    <w:p w14:paraId="690E1985" w14:textId="471E447A" w:rsidR="00C13F4C" w:rsidRDefault="5D399473" w:rsidP="032B93E0">
      <w:pPr>
        <w:pStyle w:val="Heading3"/>
        <w:rPr>
          <w:rFonts w:ascii="Times New Roman" w:eastAsia="Times New Roman" w:hAnsi="Times New Roman" w:cs="Times New Roman"/>
          <w:b/>
          <w:bCs/>
          <w:color w:val="auto"/>
        </w:rPr>
      </w:pPr>
      <w:bookmarkStart w:id="50" w:name="_Toc60811595"/>
      <w:r w:rsidRPr="032B93E0">
        <w:rPr>
          <w:rFonts w:ascii="Times New Roman" w:eastAsia="Times New Roman" w:hAnsi="Times New Roman" w:cs="Times New Roman"/>
          <w:b/>
          <w:bCs/>
          <w:color w:val="auto"/>
        </w:rPr>
        <w:t>6</w:t>
      </w:r>
      <w:r w:rsidR="6671638B" w:rsidRPr="032B93E0">
        <w:rPr>
          <w:rFonts w:ascii="Times New Roman" w:eastAsia="Times New Roman" w:hAnsi="Times New Roman" w:cs="Times New Roman"/>
          <w:b/>
          <w:bCs/>
          <w:color w:val="auto"/>
        </w:rPr>
        <w:t>.3.2        Binary Outcomes</w:t>
      </w:r>
      <w:bookmarkEnd w:id="50"/>
      <w:r w:rsidR="6671638B" w:rsidRPr="032B93E0">
        <w:rPr>
          <w:rFonts w:ascii="Times New Roman" w:eastAsia="Times New Roman" w:hAnsi="Times New Roman" w:cs="Times New Roman"/>
          <w:b/>
          <w:bCs/>
          <w:color w:val="auto"/>
        </w:rPr>
        <w:t xml:space="preserve"> </w:t>
      </w:r>
    </w:p>
    <w:p w14:paraId="46EFD349" w14:textId="7579D407" w:rsidR="00AC4702" w:rsidRDefault="6671638B" w:rsidP="00AC4702">
      <w:pPr>
        <w:spacing w:before="120" w:after="120" w:line="257" w:lineRule="auto"/>
        <w:rPr>
          <w:rFonts w:eastAsia="Times New Roman"/>
          <w:szCs w:val="24"/>
        </w:rPr>
      </w:pPr>
      <w:r w:rsidRPr="27B4A244">
        <w:rPr>
          <w:rFonts w:eastAsia="Times New Roman"/>
        </w:rPr>
        <w:t xml:space="preserve">For binary variables, </w:t>
      </w:r>
      <w:r w:rsidR="00C46459">
        <w:rPr>
          <w:rFonts w:eastAsia="Times New Roman"/>
        </w:rPr>
        <w:t>when possible</w:t>
      </w:r>
      <w:r w:rsidR="006C4DB5">
        <w:rPr>
          <w:rFonts w:eastAsia="Times New Roman"/>
        </w:rPr>
        <w:t xml:space="preserve"> (i.e., when not all of the binary responses are the same)</w:t>
      </w:r>
      <w:r w:rsidR="00C46459">
        <w:rPr>
          <w:rFonts w:eastAsia="Times New Roman"/>
        </w:rPr>
        <w:t xml:space="preserve">, </w:t>
      </w:r>
      <w:r w:rsidR="00BD4F4D">
        <w:rPr>
          <w:rFonts w:eastAsia="Times New Roman"/>
        </w:rPr>
        <w:t xml:space="preserve">within each vaccine product </w:t>
      </w:r>
      <w:r w:rsidRPr="27B4A244">
        <w:rPr>
          <w:rFonts w:eastAsia="Times New Roman"/>
        </w:rPr>
        <w:t xml:space="preserve">a dose-response will be evaluated by a Wilcoxon-Mann-Whitney </w:t>
      </w:r>
      <w:r w:rsidR="00AC4702">
        <w:rPr>
          <w:rFonts w:eastAsia="Times New Roman"/>
        </w:rPr>
        <w:t xml:space="preserve">(WMW) </w:t>
      </w:r>
      <w:r w:rsidRPr="27B4A244">
        <w:rPr>
          <w:rFonts w:eastAsia="Times New Roman"/>
        </w:rPr>
        <w:t xml:space="preserve">test comparing the dose score of animals with a positive signal to those with a negative signal. </w:t>
      </w:r>
      <w:r w:rsidR="00AC4702">
        <w:rPr>
          <w:rFonts w:eastAsia="Times New Roman"/>
          <w:szCs w:val="24"/>
        </w:rPr>
        <w:t>Then, the overall WMW test with all vaccine product and the placebo arms included will be done.</w:t>
      </w:r>
    </w:p>
    <w:p w14:paraId="18D29A56" w14:textId="47FB9F27" w:rsidR="00BD4F4D" w:rsidRDefault="00CD5E7E" w:rsidP="27B4A244">
      <w:pPr>
        <w:spacing w:before="120" w:after="120" w:line="257" w:lineRule="auto"/>
        <w:rPr>
          <w:rFonts w:eastAsia="Times New Roman"/>
        </w:rPr>
      </w:pPr>
      <w:r>
        <w:rPr>
          <w:rFonts w:eastAsia="Times New Roman"/>
        </w:rPr>
        <w:t xml:space="preserve">We graphically plot the </w:t>
      </w:r>
      <w:r w:rsidR="00081067">
        <w:rPr>
          <w:rFonts w:eastAsia="Times New Roman"/>
        </w:rPr>
        <w:t>immune correlate</w:t>
      </w:r>
      <w:r>
        <w:rPr>
          <w:rFonts w:eastAsia="Times New Roman"/>
        </w:rPr>
        <w:t xml:space="preserve"> for each vaccine product, stratified by animals with a positive signal and animals with a negative signal. </w:t>
      </w:r>
    </w:p>
    <w:p w14:paraId="42790B31" w14:textId="6D20F891" w:rsidR="00C13F4C" w:rsidRDefault="00CD5E7E" w:rsidP="27B4A244">
      <w:pPr>
        <w:spacing w:before="120" w:after="120" w:line="257" w:lineRule="auto"/>
        <w:rPr>
          <w:rFonts w:eastAsia="Times New Roman"/>
        </w:rPr>
      </w:pPr>
      <w:r>
        <w:rPr>
          <w:rFonts w:eastAsia="Times New Roman"/>
        </w:rPr>
        <w:t>As a combined analysis</w:t>
      </w:r>
      <w:r w:rsidR="6671638B" w:rsidRPr="27B4A244">
        <w:rPr>
          <w:rFonts w:eastAsia="Times New Roman"/>
        </w:rPr>
        <w:t>, a GEE logistic regression will be used</w:t>
      </w:r>
      <w:r w:rsidR="00C46459">
        <w:rPr>
          <w:rFonts w:eastAsia="Times New Roman"/>
        </w:rPr>
        <w:t xml:space="preserve"> when possible</w:t>
      </w:r>
      <w:r w:rsidR="6671638B" w:rsidRPr="27B4A244">
        <w:rPr>
          <w:rFonts w:eastAsia="Times New Roman"/>
        </w:rPr>
        <w:t xml:space="preserve">. </w:t>
      </w:r>
      <w:r w:rsidR="00AC4702">
        <w:rPr>
          <w:rFonts w:eastAsia="Times New Roman"/>
        </w:rPr>
        <w:t>The linear predictor portion of the model will be the same as in Section 6.3.1</w:t>
      </w:r>
      <w:r w:rsidR="6671638B" w:rsidRPr="27B4A244">
        <w:rPr>
          <w:rFonts w:eastAsia="Times New Roman"/>
        </w:rPr>
        <w:t xml:space="preserve">.  The model will be fit with a </w:t>
      </w:r>
      <w:r w:rsidR="6671638B" w:rsidRPr="27B4A244">
        <w:rPr>
          <w:rFonts w:eastAsia="Times New Roman"/>
        </w:rPr>
        <w:lastRenderedPageBreak/>
        <w:t xml:space="preserve">GEE model with the data clustered by </w:t>
      </w:r>
      <w:r w:rsidR="00AC4702">
        <w:rPr>
          <w:rFonts w:eastAsia="Times New Roman"/>
        </w:rPr>
        <w:t>challenge day groupings</w:t>
      </w:r>
      <w:r w:rsidR="6671638B" w:rsidRPr="27B4A244">
        <w:rPr>
          <w:rFonts w:eastAsia="Times New Roman"/>
        </w:rPr>
        <w:t xml:space="preserve"> using a working independence variance model and the saws adjustment for small samples as in Section 6.3.1. </w:t>
      </w:r>
    </w:p>
    <w:p w14:paraId="79248B90" w14:textId="77777777" w:rsidR="00CD5E7E" w:rsidRPr="004E2940" w:rsidRDefault="00CD5E7E" w:rsidP="004E2940"/>
    <w:p w14:paraId="65C87B73" w14:textId="7566039D" w:rsidR="00C13F4C" w:rsidRDefault="6E2F1085" w:rsidP="032B93E0">
      <w:pPr>
        <w:pStyle w:val="Heading2"/>
        <w:rPr>
          <w:rFonts w:ascii="Times New Roman" w:eastAsia="Times New Roman" w:hAnsi="Times New Roman" w:cs="Times New Roman"/>
          <w:b/>
          <w:bCs/>
          <w:color w:val="auto"/>
          <w:sz w:val="24"/>
          <w:szCs w:val="24"/>
        </w:rPr>
      </w:pPr>
      <w:bookmarkStart w:id="51" w:name="_Toc60811596"/>
      <w:r w:rsidRPr="032B93E0">
        <w:rPr>
          <w:rFonts w:ascii="Times New Roman" w:eastAsia="Times New Roman" w:hAnsi="Times New Roman" w:cs="Times New Roman"/>
          <w:b/>
          <w:bCs/>
          <w:color w:val="auto"/>
          <w:sz w:val="24"/>
          <w:szCs w:val="24"/>
        </w:rPr>
        <w:t>6</w:t>
      </w:r>
      <w:r w:rsidR="6671638B" w:rsidRPr="032B93E0">
        <w:rPr>
          <w:rFonts w:ascii="Times New Roman" w:eastAsia="Times New Roman" w:hAnsi="Times New Roman" w:cs="Times New Roman"/>
          <w:b/>
          <w:bCs/>
          <w:color w:val="auto"/>
          <w:sz w:val="24"/>
          <w:szCs w:val="24"/>
        </w:rPr>
        <w:t>.4         Prediction of Post-Challenge Outcome with Single Immune Correlate</w:t>
      </w:r>
      <w:bookmarkEnd w:id="51"/>
    </w:p>
    <w:p w14:paraId="09A7ABAA" w14:textId="7EC46685" w:rsidR="00C13F4C" w:rsidRDefault="2D723EA2" w:rsidP="63D7B13A">
      <w:pPr>
        <w:spacing w:before="120" w:after="120" w:line="257" w:lineRule="auto"/>
        <w:rPr>
          <w:rFonts w:eastAsia="Times New Roman"/>
        </w:rPr>
      </w:pPr>
      <w:r w:rsidRPr="134F9F9C">
        <w:rPr>
          <w:rFonts w:eastAsia="Times New Roman"/>
        </w:rPr>
        <w:t>T</w:t>
      </w:r>
      <w:r w:rsidR="2F4B6FE0" w:rsidRPr="134F9F9C">
        <w:rPr>
          <w:rFonts w:eastAsia="Times New Roman"/>
        </w:rPr>
        <w:t>h</w:t>
      </w:r>
      <w:r w:rsidRPr="134F9F9C">
        <w:rPr>
          <w:rFonts w:eastAsia="Times New Roman"/>
        </w:rPr>
        <w:t>e first step is to predict a p</w:t>
      </w:r>
      <w:r w:rsidR="6CEA2F80" w:rsidRPr="134F9F9C">
        <w:rPr>
          <w:rFonts w:eastAsia="Times New Roman"/>
        </w:rPr>
        <w:t xml:space="preserve">ost-challenge outcome (chosen from </w:t>
      </w:r>
      <w:r w:rsidR="6CEA2F80" w:rsidRPr="0071149A">
        <w:rPr>
          <w:rFonts w:eastAsia="Times New Roman"/>
        </w:rPr>
        <w:t>Section 3.</w:t>
      </w:r>
      <w:r w:rsidR="1B43AFB5" w:rsidRPr="134F9F9C">
        <w:rPr>
          <w:rFonts w:eastAsia="Times New Roman"/>
        </w:rPr>
        <w:t>3</w:t>
      </w:r>
      <w:r w:rsidR="6CEA2F80" w:rsidRPr="134F9F9C">
        <w:rPr>
          <w:rFonts w:eastAsia="Times New Roman"/>
        </w:rPr>
        <w:t>) using a</w:t>
      </w:r>
      <w:r w:rsidR="77DE7CBB" w:rsidRPr="134F9F9C">
        <w:rPr>
          <w:rFonts w:eastAsia="Times New Roman"/>
        </w:rPr>
        <w:t>n</w:t>
      </w:r>
      <w:r w:rsidR="6CEA2F80" w:rsidRPr="134F9F9C">
        <w:rPr>
          <w:rFonts w:eastAsia="Times New Roman"/>
        </w:rPr>
        <w:t xml:space="preserve"> immune </w:t>
      </w:r>
      <w:r w:rsidR="77DE7CBB" w:rsidRPr="134F9F9C">
        <w:rPr>
          <w:rFonts w:eastAsia="Times New Roman"/>
        </w:rPr>
        <w:t xml:space="preserve">marker </w:t>
      </w:r>
      <w:r w:rsidR="6CEA2F80" w:rsidRPr="134F9F9C">
        <w:rPr>
          <w:rFonts w:eastAsia="Times New Roman"/>
        </w:rPr>
        <w:t xml:space="preserve">(from </w:t>
      </w:r>
      <w:r w:rsidR="6CEA2F80" w:rsidRPr="0071149A">
        <w:rPr>
          <w:rFonts w:eastAsia="Times New Roman"/>
        </w:rPr>
        <w:t>Section 3.</w:t>
      </w:r>
      <w:r w:rsidR="1B43AFB5" w:rsidRPr="134F9F9C">
        <w:rPr>
          <w:rFonts w:eastAsia="Times New Roman"/>
        </w:rPr>
        <w:t>2</w:t>
      </w:r>
      <w:r w:rsidR="6CEA2F80" w:rsidRPr="134F9F9C">
        <w:rPr>
          <w:rFonts w:eastAsia="Times New Roman"/>
        </w:rPr>
        <w:t xml:space="preserve">). </w:t>
      </w:r>
      <w:r w:rsidR="67840BDE" w:rsidRPr="134F9F9C">
        <w:rPr>
          <w:rFonts w:eastAsia="Times New Roman"/>
        </w:rPr>
        <w:t>D</w:t>
      </w:r>
      <w:r w:rsidR="6CEA2F80" w:rsidRPr="134F9F9C">
        <w:rPr>
          <w:rFonts w:eastAsia="Times New Roman"/>
        </w:rPr>
        <w:t xml:space="preserve">ifferent models </w:t>
      </w:r>
      <w:r w:rsidR="6C9C3054" w:rsidRPr="134F9F9C">
        <w:rPr>
          <w:rFonts w:eastAsia="Times New Roman"/>
        </w:rPr>
        <w:t>are u</w:t>
      </w:r>
      <w:r w:rsidR="22B02C2D" w:rsidRPr="134F9F9C">
        <w:rPr>
          <w:rFonts w:eastAsia="Times New Roman"/>
        </w:rPr>
        <w:t>sed</w:t>
      </w:r>
      <w:r w:rsidR="6C9C3054" w:rsidRPr="134F9F9C">
        <w:rPr>
          <w:rFonts w:eastAsia="Times New Roman"/>
        </w:rPr>
        <w:t xml:space="preserve"> </w:t>
      </w:r>
      <w:r w:rsidR="6CEA2F80" w:rsidRPr="134F9F9C">
        <w:rPr>
          <w:rFonts w:eastAsia="Times New Roman"/>
        </w:rPr>
        <w:t xml:space="preserve">depending on whether the post-challenge outcome is binary or numeric. </w:t>
      </w:r>
    </w:p>
    <w:p w14:paraId="5424E0A3" w14:textId="21782A41" w:rsidR="008063E0" w:rsidRDefault="008063E0" w:rsidP="63D7B13A">
      <w:pPr>
        <w:spacing w:before="120" w:after="120" w:line="257" w:lineRule="auto"/>
        <w:rPr>
          <w:rFonts w:eastAsia="Times New Roman"/>
        </w:rPr>
      </w:pPr>
    </w:p>
    <w:p w14:paraId="100956BE" w14:textId="65C6BA5E" w:rsidR="00C13F4C" w:rsidRDefault="4676B398" w:rsidP="032B93E0">
      <w:pPr>
        <w:pStyle w:val="Heading3"/>
        <w:rPr>
          <w:rFonts w:ascii="Times New Roman" w:eastAsia="Times New Roman" w:hAnsi="Times New Roman" w:cs="Times New Roman"/>
          <w:b/>
          <w:bCs/>
          <w:color w:val="auto"/>
        </w:rPr>
      </w:pPr>
      <w:bookmarkStart w:id="52" w:name="_Toc60811597"/>
      <w:r w:rsidRPr="27B4A244">
        <w:rPr>
          <w:rFonts w:ascii="Times New Roman" w:eastAsia="Times New Roman" w:hAnsi="Times New Roman" w:cs="Times New Roman"/>
          <w:b/>
          <w:bCs/>
          <w:color w:val="auto"/>
        </w:rPr>
        <w:t>6</w:t>
      </w:r>
      <w:r w:rsidR="6671638B" w:rsidRPr="27B4A244">
        <w:rPr>
          <w:rFonts w:ascii="Times New Roman" w:eastAsia="Times New Roman" w:hAnsi="Times New Roman" w:cs="Times New Roman"/>
          <w:b/>
          <w:bCs/>
          <w:color w:val="auto"/>
        </w:rPr>
        <w:t xml:space="preserve">.4.1        Numeric Outcomes </w:t>
      </w:r>
      <w:bookmarkEnd w:id="52"/>
    </w:p>
    <w:p w14:paraId="700C8B84" w14:textId="7E85D634" w:rsidR="003D556F" w:rsidRDefault="6671638B" w:rsidP="27B4A244">
      <w:pPr>
        <w:spacing w:before="120" w:after="120" w:line="257" w:lineRule="auto"/>
        <w:rPr>
          <w:rFonts w:eastAsia="Times New Roman"/>
          <w:szCs w:val="24"/>
        </w:rPr>
      </w:pPr>
      <w:r w:rsidRPr="27B4A244">
        <w:rPr>
          <w:rFonts w:eastAsia="Times New Roman"/>
        </w:rPr>
        <w:t xml:space="preserve">For numeric outcomes, </w:t>
      </w:r>
      <w:r w:rsidR="00191E24">
        <w:rPr>
          <w:rFonts w:eastAsia="Times New Roman"/>
        </w:rPr>
        <w:t xml:space="preserve">several </w:t>
      </w:r>
      <w:r w:rsidRPr="27B4A244">
        <w:rPr>
          <w:rFonts w:eastAsia="Times New Roman"/>
        </w:rPr>
        <w:t>model</w:t>
      </w:r>
      <w:r w:rsidR="00191E24">
        <w:rPr>
          <w:rFonts w:eastAsia="Times New Roman"/>
        </w:rPr>
        <w:t>s</w:t>
      </w:r>
      <w:r w:rsidRPr="27B4A244">
        <w:rPr>
          <w:rFonts w:eastAsia="Times New Roman"/>
        </w:rPr>
        <w:t xml:space="preserve"> will be fit using the log of the response value. Let </w:t>
      </w:r>
      <w:proofErr w:type="spellStart"/>
      <w:r w:rsidRPr="27B4A244">
        <w:rPr>
          <w:rFonts w:eastAsia="Times New Roman"/>
        </w:rPr>
        <w:t>y</w:t>
      </w:r>
      <w:r w:rsidRPr="27B4A244">
        <w:rPr>
          <w:rFonts w:eastAsia="Times New Roman"/>
          <w:vertAlign w:val="subscript"/>
        </w:rPr>
        <w:t>jk</w:t>
      </w:r>
      <w:proofErr w:type="spellEnd"/>
      <w:r w:rsidRPr="27B4A244">
        <w:rPr>
          <w:rFonts w:eastAsia="Times New Roman"/>
        </w:rPr>
        <w:t xml:space="preserve"> and </w:t>
      </w:r>
      <w:proofErr w:type="spellStart"/>
      <w:r w:rsidRPr="27B4A244">
        <w:rPr>
          <w:rFonts w:eastAsia="Times New Roman"/>
        </w:rPr>
        <w:t>x</w:t>
      </w:r>
      <w:r w:rsidRPr="27B4A244">
        <w:rPr>
          <w:rFonts w:eastAsia="Times New Roman"/>
          <w:vertAlign w:val="subscript"/>
        </w:rPr>
        <w:t>jk</w:t>
      </w:r>
      <w:proofErr w:type="spellEnd"/>
      <w:r w:rsidRPr="27B4A244">
        <w:rPr>
          <w:rFonts w:eastAsia="Times New Roman"/>
        </w:rPr>
        <w:t xml:space="preserve"> be the out</w:t>
      </w:r>
      <w:r w:rsidR="008B4133">
        <w:rPr>
          <w:rFonts w:eastAsia="Times New Roman"/>
        </w:rPr>
        <w:t>c</w:t>
      </w:r>
      <w:r w:rsidRPr="27B4A244">
        <w:rPr>
          <w:rFonts w:eastAsia="Times New Roman"/>
        </w:rPr>
        <w:t xml:space="preserve">ome (e.g., log of the viral load outcome) and the immune correlate, </w:t>
      </w:r>
      <w:r w:rsidR="00890DA2" w:rsidRPr="27B4A244">
        <w:rPr>
          <w:rFonts w:eastAsia="Times New Roman"/>
        </w:rPr>
        <w:t xml:space="preserve">respectively, </w:t>
      </w:r>
      <w:r w:rsidR="00890DA2">
        <w:rPr>
          <w:rFonts w:eastAsia="Times New Roman"/>
        </w:rPr>
        <w:t>for</w:t>
      </w:r>
      <w:r w:rsidRPr="27B4A244">
        <w:rPr>
          <w:rFonts w:eastAsia="Times New Roman"/>
        </w:rPr>
        <w:t xml:space="preserve"> the k</w:t>
      </w:r>
      <w:r w:rsidRPr="27B4A244">
        <w:rPr>
          <w:rFonts w:eastAsia="Times New Roman"/>
          <w:vertAlign w:val="superscript"/>
        </w:rPr>
        <w:t>th</w:t>
      </w:r>
      <w:r w:rsidRPr="27B4A244">
        <w:rPr>
          <w:rFonts w:eastAsia="Times New Roman"/>
        </w:rPr>
        <w:t xml:space="preserve"> animal in the </w:t>
      </w:r>
      <w:proofErr w:type="spellStart"/>
      <w:r w:rsidRPr="27B4A244">
        <w:rPr>
          <w:rFonts w:eastAsia="Times New Roman"/>
        </w:rPr>
        <w:t>j</w:t>
      </w:r>
      <w:r w:rsidRPr="27B4A244">
        <w:rPr>
          <w:rFonts w:eastAsia="Times New Roman"/>
          <w:vertAlign w:val="superscript"/>
        </w:rPr>
        <w:t>th</w:t>
      </w:r>
      <w:proofErr w:type="spellEnd"/>
      <w:r w:rsidRPr="27B4A244">
        <w:rPr>
          <w:rFonts w:eastAsia="Times New Roman"/>
        </w:rPr>
        <w:t xml:space="preserve"> arm.  Let  </w:t>
      </w:r>
      <m:oMath>
        <m:sSub>
          <m:sSubPr>
            <m:ctrlPr>
              <w:rPr>
                <w:rFonts w:ascii="Cambria Math" w:eastAsia="Times New Roman" w:hAnsi="Cambria Math"/>
                <w:i/>
                <w:szCs w:val="24"/>
              </w:rPr>
            </m:ctrlPr>
          </m:sSubPr>
          <m:e>
            <m:r>
              <w:rPr>
                <w:rFonts w:ascii="Cambria Math" w:eastAsia="Times New Roman" w:hAnsi="Cambria Math"/>
                <w:szCs w:val="24"/>
              </w:rPr>
              <m:t>μ</m:t>
            </m:r>
          </m:e>
          <m:sub>
            <m:r>
              <w:rPr>
                <w:rFonts w:ascii="Cambria Math" w:eastAsia="Times New Roman" w:hAnsi="Cambria Math"/>
                <w:szCs w:val="24"/>
              </w:rPr>
              <m:t>jk</m:t>
            </m:r>
          </m:sub>
        </m:sSub>
        <m:r>
          <w:rPr>
            <w:rFonts w:ascii="Cambria Math" w:eastAsia="Times New Roman" w:hAnsi="Cambria Math"/>
            <w:szCs w:val="24"/>
          </w:rPr>
          <m:t xml:space="preserve"> </m:t>
        </m:r>
      </m:oMath>
      <w:r w:rsidRPr="27B4A244">
        <w:rPr>
          <w:rFonts w:eastAsia="Times New Roman"/>
        </w:rPr>
        <w:t xml:space="preserve">be the mean response associated with </w:t>
      </w:r>
      <w:proofErr w:type="spellStart"/>
      <w:r w:rsidRPr="27B4A244">
        <w:rPr>
          <w:rFonts w:eastAsia="Times New Roman"/>
        </w:rPr>
        <w:t>y</w:t>
      </w:r>
      <w:r w:rsidRPr="27B4A244">
        <w:rPr>
          <w:rFonts w:eastAsia="Times New Roman"/>
          <w:vertAlign w:val="subscript"/>
        </w:rPr>
        <w:t>jk</w:t>
      </w:r>
      <w:proofErr w:type="spellEnd"/>
      <w:r w:rsidRPr="27B4A244">
        <w:rPr>
          <w:rFonts w:eastAsia="Times New Roman"/>
        </w:rPr>
        <w:t>.  For this model, the vaccine arm</w:t>
      </w:r>
      <w:r w:rsidR="4CBA7B77" w:rsidRPr="27B4A244">
        <w:rPr>
          <w:rFonts w:eastAsia="Times New Roman"/>
        </w:rPr>
        <w:t xml:space="preserve"> is not modeled</w:t>
      </w:r>
      <w:r w:rsidRPr="27B4A244">
        <w:rPr>
          <w:rFonts w:eastAsia="Times New Roman"/>
        </w:rPr>
        <w:t xml:space="preserve">, so that two animals from different vaccine arms with the same value of the immune correlate will have the same predicted response.  </w:t>
      </w:r>
      <w:r w:rsidR="003D556F">
        <w:rPr>
          <w:rFonts w:eastAsia="Times New Roman"/>
        </w:rPr>
        <w:t xml:space="preserve">Several different models will be fit to the data, and </w:t>
      </w:r>
      <w:r w:rsidR="003D556F">
        <w:rPr>
          <w:rFonts w:eastAsia="Times New Roman"/>
          <w:szCs w:val="24"/>
        </w:rPr>
        <w:t xml:space="preserve">best model will be selected by repeated cross validation, where </w:t>
      </w:r>
      <w:r w:rsidR="006E34C6">
        <w:rPr>
          <w:rFonts w:eastAsia="Times New Roman"/>
          <w:szCs w:val="24"/>
        </w:rPr>
        <w:t>a certain proportion of the animals (e.g., 10%) are</w:t>
      </w:r>
      <w:r w:rsidR="003D556F">
        <w:rPr>
          <w:rFonts w:eastAsia="Times New Roman"/>
          <w:szCs w:val="24"/>
        </w:rPr>
        <w:t xml:space="preserve"> randomly left out of the model building and those left</w:t>
      </w:r>
      <w:r w:rsidR="004D64A3">
        <w:rPr>
          <w:rFonts w:eastAsia="Times New Roman"/>
          <w:szCs w:val="24"/>
        </w:rPr>
        <w:t>-</w:t>
      </w:r>
      <w:r w:rsidR="003D556F">
        <w:rPr>
          <w:rFonts w:eastAsia="Times New Roman"/>
          <w:szCs w:val="24"/>
        </w:rPr>
        <w:t xml:space="preserve">out animals will be used to </w:t>
      </w:r>
      <w:r w:rsidR="004D64A3">
        <w:rPr>
          <w:rFonts w:eastAsia="Times New Roman"/>
          <w:szCs w:val="24"/>
        </w:rPr>
        <w:t xml:space="preserve">compare </w:t>
      </w:r>
      <w:r w:rsidR="003D556F">
        <w:rPr>
          <w:rFonts w:eastAsia="Times New Roman"/>
          <w:szCs w:val="24"/>
        </w:rPr>
        <w:t>the fit</w:t>
      </w:r>
      <w:r w:rsidR="004D64A3">
        <w:rPr>
          <w:rFonts w:eastAsia="Times New Roman"/>
          <w:szCs w:val="24"/>
        </w:rPr>
        <w:t>s of different models</w:t>
      </w:r>
      <w:r w:rsidR="003D556F">
        <w:rPr>
          <w:rFonts w:eastAsia="Times New Roman"/>
          <w:szCs w:val="24"/>
        </w:rPr>
        <w:t xml:space="preserve"> by </w:t>
      </w:r>
      <w:r w:rsidR="00757FF4">
        <w:rPr>
          <w:rFonts w:eastAsia="Times New Roman"/>
          <w:szCs w:val="24"/>
        </w:rPr>
        <w:t xml:space="preserve">adjusted </w:t>
      </w:r>
      <w:r w:rsidR="004D64A3">
        <w:rPr>
          <w:rFonts w:eastAsia="Times New Roman"/>
          <w:szCs w:val="24"/>
        </w:rPr>
        <w:t>R-square</w:t>
      </w:r>
      <w:r w:rsidR="00757FF4">
        <w:rPr>
          <w:rFonts w:eastAsia="Times New Roman"/>
          <w:szCs w:val="24"/>
        </w:rPr>
        <w:t>d</w:t>
      </w:r>
      <w:r w:rsidR="003D556F">
        <w:rPr>
          <w:rFonts w:eastAsia="Times New Roman"/>
          <w:szCs w:val="24"/>
        </w:rPr>
        <w:t xml:space="preserve">.  Here is a list of models that may be tried; however, other models may be used if the fit is appropriate. </w:t>
      </w:r>
    </w:p>
    <w:p w14:paraId="44EFDD9B" w14:textId="77777777" w:rsidR="003D556F" w:rsidRDefault="003D556F" w:rsidP="27B4A244">
      <w:pPr>
        <w:spacing w:before="120" w:after="120" w:line="257" w:lineRule="auto"/>
        <w:rPr>
          <w:rFonts w:eastAsia="Times New Roman"/>
          <w:szCs w:val="24"/>
        </w:rPr>
      </w:pPr>
    </w:p>
    <w:p w14:paraId="499AB624" w14:textId="49542286" w:rsidR="00C13F4C" w:rsidRDefault="6671638B" w:rsidP="27B4A244">
      <w:pPr>
        <w:spacing w:before="120" w:after="120" w:line="257" w:lineRule="auto"/>
        <w:rPr>
          <w:rFonts w:eastAsia="Times New Roman"/>
        </w:rPr>
      </w:pPr>
      <w:r w:rsidRPr="27B4A244">
        <w:rPr>
          <w:rFonts w:eastAsia="Times New Roman"/>
        </w:rPr>
        <w:t xml:space="preserve">The </w:t>
      </w:r>
      <w:r w:rsidR="00191E24">
        <w:rPr>
          <w:rFonts w:eastAsia="Times New Roman"/>
        </w:rPr>
        <w:t xml:space="preserve">simplest model tried will be the linear </w:t>
      </w:r>
      <w:r w:rsidRPr="27B4A244">
        <w:rPr>
          <w:rFonts w:eastAsia="Times New Roman"/>
        </w:rPr>
        <w:t>model:</w:t>
      </w:r>
    </w:p>
    <w:p w14:paraId="406EE336" w14:textId="617487E2" w:rsidR="00C13F4C" w:rsidRDefault="30D95EC6" w:rsidP="032B93E0">
      <w:pPr>
        <w:spacing w:before="120" w:after="120" w:line="257" w:lineRule="auto"/>
        <w:jc w:val="center"/>
        <w:rPr>
          <w:rFonts w:eastAsia="Times New Roman"/>
          <w:szCs w:val="24"/>
        </w:rPr>
      </w:pPr>
      <w:r w:rsidRPr="032B93E0">
        <w:rPr>
          <w:rFonts w:eastAsia="Times New Roman"/>
          <w:szCs w:val="24"/>
        </w:rPr>
        <w:t xml:space="preserve">   </w:t>
      </w:r>
      <w:bookmarkStart w:id="53" w:name="_Hlk61618805"/>
      <m:oMath>
        <m:sSub>
          <m:sSubPr>
            <m:ctrlPr>
              <w:rPr>
                <w:rFonts w:ascii="Cambria Math" w:eastAsia="Times New Roman" w:hAnsi="Cambria Math"/>
                <w:i/>
                <w:szCs w:val="24"/>
              </w:rPr>
            </m:ctrlPr>
          </m:sSubPr>
          <m:e>
            <m:r>
              <w:rPr>
                <w:rFonts w:ascii="Cambria Math" w:eastAsia="Times New Roman" w:hAnsi="Cambria Math"/>
                <w:szCs w:val="24"/>
              </w:rPr>
              <m:t>μ</m:t>
            </m:r>
          </m:e>
          <m:sub>
            <m:r>
              <w:rPr>
                <w:rFonts w:ascii="Cambria Math" w:eastAsia="Times New Roman" w:hAnsi="Cambria Math"/>
                <w:szCs w:val="24"/>
              </w:rPr>
              <m:t>jk</m:t>
            </m:r>
          </m:sub>
        </m:sSub>
        <w:bookmarkEnd w:id="53"/>
        <m:r>
          <w:rPr>
            <w:rFonts w:ascii="Cambria Math" w:eastAsia="Times New Roman" w:hAnsi="Cambria Math"/>
            <w:szCs w:val="24"/>
          </w:rPr>
          <m:t xml:space="preserve">= </m:t>
        </m:r>
        <m:sSub>
          <m:sSubPr>
            <m:ctrlPr>
              <w:rPr>
                <w:rFonts w:ascii="Cambria Math" w:eastAsia="Times New Roman" w:hAnsi="Cambria Math"/>
                <w:i/>
                <w:szCs w:val="24"/>
              </w:rPr>
            </m:ctrlPr>
          </m:sSubPr>
          <m:e>
            <m:r>
              <w:rPr>
                <w:rFonts w:ascii="Cambria Math" w:eastAsia="Times New Roman" w:hAnsi="Cambria Math"/>
                <w:szCs w:val="24"/>
              </w:rPr>
              <m:t>β</m:t>
            </m:r>
          </m:e>
          <m:sub>
            <m:r>
              <w:rPr>
                <w:rFonts w:ascii="Cambria Math" w:eastAsia="Times New Roman" w:hAnsi="Cambria Math"/>
                <w:szCs w:val="24"/>
              </w:rPr>
              <m:t>0</m:t>
            </m:r>
          </m:sub>
        </m:sSub>
        <m:r>
          <w:rPr>
            <w:rFonts w:ascii="Cambria Math" w:eastAsia="Times New Roman" w:hAnsi="Cambria Math"/>
            <w:szCs w:val="24"/>
          </w:rPr>
          <m:t>+</m:t>
        </m:r>
        <m:sSub>
          <m:sSubPr>
            <m:ctrlPr>
              <w:rPr>
                <w:rFonts w:ascii="Cambria Math" w:eastAsia="Times New Roman" w:hAnsi="Cambria Math"/>
                <w:i/>
                <w:szCs w:val="24"/>
              </w:rPr>
            </m:ctrlPr>
          </m:sSubPr>
          <m:e>
            <m:r>
              <w:rPr>
                <w:rFonts w:ascii="Cambria Math" w:eastAsia="Times New Roman" w:hAnsi="Cambria Math"/>
                <w:szCs w:val="24"/>
              </w:rPr>
              <m:t>β</m:t>
            </m:r>
          </m:e>
          <m:sub>
            <m:r>
              <w:rPr>
                <w:rFonts w:ascii="Cambria Math" w:eastAsia="Times New Roman" w:hAnsi="Cambria Math"/>
                <w:szCs w:val="24"/>
              </w:rPr>
              <m:t>1</m:t>
            </m:r>
          </m:sub>
        </m:sSub>
        <m:sSub>
          <m:sSubPr>
            <m:ctrlPr>
              <w:rPr>
                <w:rFonts w:ascii="Cambria Math" w:eastAsia="Times New Roman" w:hAnsi="Cambria Math"/>
                <w:i/>
                <w:szCs w:val="24"/>
              </w:rPr>
            </m:ctrlPr>
          </m:sSubPr>
          <m:e>
            <m:r>
              <w:rPr>
                <w:rFonts w:ascii="Cambria Math" w:eastAsia="Times New Roman" w:hAnsi="Cambria Math"/>
                <w:szCs w:val="24"/>
              </w:rPr>
              <m:t>x</m:t>
            </m:r>
          </m:e>
          <m:sub>
            <m:r>
              <w:rPr>
                <w:rFonts w:ascii="Cambria Math" w:eastAsia="Times New Roman" w:hAnsi="Cambria Math"/>
                <w:szCs w:val="24"/>
              </w:rPr>
              <m:t>jk.</m:t>
            </m:r>
          </m:sub>
        </m:sSub>
      </m:oMath>
      <w:r w:rsidRPr="032B93E0">
        <w:rPr>
          <w:rFonts w:eastAsia="Times New Roman"/>
          <w:szCs w:val="24"/>
        </w:rPr>
        <w:t xml:space="preserve"> </w:t>
      </w:r>
    </w:p>
    <w:p w14:paraId="31B56EBB" w14:textId="71725C20" w:rsidR="00C13F4C" w:rsidRDefault="003D556F" w:rsidP="032B93E0">
      <w:pPr>
        <w:spacing w:before="120" w:after="120" w:line="257" w:lineRule="auto"/>
        <w:rPr>
          <w:rFonts w:eastAsia="Times New Roman"/>
          <w:szCs w:val="24"/>
        </w:rPr>
      </w:pPr>
      <w:r>
        <w:rPr>
          <w:rFonts w:eastAsia="Times New Roman"/>
        </w:rPr>
        <w:t xml:space="preserve">Another model is an exponential model (see e.g., McMahan, </w:t>
      </w:r>
      <w:r w:rsidR="00487F63">
        <w:rPr>
          <w:rFonts w:eastAsia="Times New Roman"/>
        </w:rPr>
        <w:t>et al.,</w:t>
      </w:r>
      <w:r>
        <w:rPr>
          <w:rFonts w:eastAsia="Times New Roman"/>
        </w:rPr>
        <w:t xml:space="preserve"> 2020</w:t>
      </w:r>
      <w:r w:rsidR="008968CB">
        <w:rPr>
          <w:rFonts w:eastAsia="Times New Roman"/>
        </w:rPr>
        <w:t>, Fig. 2</w:t>
      </w:r>
      <w:r>
        <w:rPr>
          <w:rFonts w:eastAsia="Times New Roman"/>
        </w:rPr>
        <w:t>). A third set of models are</w:t>
      </w:r>
      <w:r w:rsidR="6671638B" w:rsidRPr="27B4A244">
        <w:rPr>
          <w:rFonts w:eastAsia="Times New Roman"/>
        </w:rPr>
        <w:t xml:space="preserve"> </w:t>
      </w:r>
      <w:r w:rsidR="00797CDA">
        <w:rPr>
          <w:rFonts w:eastAsia="Times New Roman"/>
        </w:rPr>
        <w:t xml:space="preserve">segmented regression </w:t>
      </w:r>
      <w:r w:rsidR="6671638B" w:rsidRPr="27B4A244">
        <w:rPr>
          <w:rFonts w:eastAsia="Times New Roman"/>
        </w:rPr>
        <w:t>model</w:t>
      </w:r>
      <w:r w:rsidR="004D64A3">
        <w:rPr>
          <w:rFonts w:eastAsia="Times New Roman"/>
        </w:rPr>
        <w:t>s</w:t>
      </w:r>
      <w:r w:rsidR="003A6DDA">
        <w:rPr>
          <w:rFonts w:eastAsia="Times New Roman"/>
        </w:rPr>
        <w:t xml:space="preserve"> with</w:t>
      </w:r>
      <w:r w:rsidR="006E34C6">
        <w:rPr>
          <w:rFonts w:eastAsia="Times New Roman"/>
        </w:rPr>
        <w:t xml:space="preserve"> </w:t>
      </w:r>
      <w:r w:rsidR="00797CDA">
        <w:rPr>
          <w:rFonts w:eastAsia="Times New Roman"/>
        </w:rPr>
        <w:t>2 breakpoints</w:t>
      </w:r>
      <w:r w:rsidR="6671638B" w:rsidRPr="27B4A244">
        <w:rPr>
          <w:rFonts w:eastAsia="Times New Roman"/>
        </w:rPr>
        <w:t xml:space="preserve">, using the </w:t>
      </w:r>
      <w:r w:rsidR="00890DA2">
        <w:rPr>
          <w:rFonts w:eastAsia="Times New Roman"/>
        </w:rPr>
        <w:t>segmented</w:t>
      </w:r>
      <w:r w:rsidR="00890DA2" w:rsidRPr="27B4A244">
        <w:rPr>
          <w:rFonts w:eastAsia="Times New Roman"/>
        </w:rPr>
        <w:t xml:space="preserve"> R</w:t>
      </w:r>
      <w:r w:rsidR="6671638B" w:rsidRPr="27B4A244">
        <w:rPr>
          <w:rFonts w:eastAsia="Times New Roman"/>
        </w:rPr>
        <w:t xml:space="preserve"> package</w:t>
      </w:r>
      <w:r w:rsidR="00797CDA">
        <w:rPr>
          <w:rFonts w:eastAsia="Times New Roman"/>
        </w:rPr>
        <w:t xml:space="preserve"> (</w:t>
      </w:r>
      <w:proofErr w:type="spellStart"/>
      <w:r w:rsidR="00797CDA">
        <w:rPr>
          <w:rFonts w:eastAsia="Times New Roman"/>
        </w:rPr>
        <w:t>Muggeo</w:t>
      </w:r>
      <w:proofErr w:type="spellEnd"/>
      <w:r w:rsidR="00797CDA">
        <w:rPr>
          <w:rFonts w:eastAsia="Times New Roman"/>
        </w:rPr>
        <w:t>, 2020)</w:t>
      </w:r>
      <w:r w:rsidR="004D08FD">
        <w:rPr>
          <w:rFonts w:eastAsia="Times New Roman"/>
        </w:rPr>
        <w:t xml:space="preserve">. </w:t>
      </w:r>
      <w:r w:rsidR="006E34C6">
        <w:rPr>
          <w:rFonts w:eastAsia="Times New Roman"/>
        </w:rPr>
        <w:t xml:space="preserve">A fourth set of models are </w:t>
      </w:r>
      <w:r w:rsidR="006E34C6" w:rsidRPr="27B4A244">
        <w:rPr>
          <w:rFonts w:eastAsia="Times New Roman"/>
        </w:rPr>
        <w:t xml:space="preserve">fit with natural cubic splines with 5 degrees of freedom, using the default knots in the ns function in the spline R package. </w:t>
      </w:r>
      <w:r w:rsidR="004D64A3">
        <w:rPr>
          <w:rFonts w:eastAsia="Times New Roman"/>
        </w:rPr>
        <w:t xml:space="preserve">Finally, a </w:t>
      </w:r>
      <w:proofErr w:type="gramStart"/>
      <w:r w:rsidR="001D3011">
        <w:rPr>
          <w:rFonts w:eastAsia="Times New Roman"/>
          <w:szCs w:val="24"/>
        </w:rPr>
        <w:t>four parameter</w:t>
      </w:r>
      <w:proofErr w:type="gramEnd"/>
      <w:r w:rsidR="001D3011">
        <w:rPr>
          <w:rFonts w:eastAsia="Times New Roman"/>
          <w:szCs w:val="24"/>
        </w:rPr>
        <w:t xml:space="preserve"> </w:t>
      </w:r>
      <w:r w:rsidR="00890DA2">
        <w:rPr>
          <w:rFonts w:eastAsia="Times New Roman"/>
          <w:szCs w:val="24"/>
        </w:rPr>
        <w:t>logistic (</w:t>
      </w:r>
      <w:r w:rsidR="6671638B" w:rsidRPr="032B93E0">
        <w:rPr>
          <w:rFonts w:eastAsia="Times New Roman"/>
          <w:szCs w:val="24"/>
        </w:rPr>
        <w:t>4-PL</w:t>
      </w:r>
      <w:r w:rsidR="001D3011">
        <w:rPr>
          <w:rFonts w:eastAsia="Times New Roman"/>
          <w:szCs w:val="24"/>
        </w:rPr>
        <w:t>)</w:t>
      </w:r>
      <w:r w:rsidR="6671638B" w:rsidRPr="032B93E0">
        <w:rPr>
          <w:rFonts w:eastAsia="Times New Roman"/>
          <w:szCs w:val="24"/>
        </w:rPr>
        <w:t xml:space="preserve"> model may also be evaluated</w:t>
      </w:r>
      <w:r w:rsidR="007E6F45">
        <w:rPr>
          <w:rFonts w:eastAsia="Times New Roman"/>
          <w:szCs w:val="24"/>
        </w:rPr>
        <w:t xml:space="preserve"> in the </w:t>
      </w:r>
      <w:proofErr w:type="spellStart"/>
      <w:r w:rsidR="007E6F45">
        <w:rPr>
          <w:rFonts w:eastAsia="Times New Roman"/>
          <w:szCs w:val="24"/>
        </w:rPr>
        <w:t>drm</w:t>
      </w:r>
      <w:proofErr w:type="spellEnd"/>
      <w:r w:rsidR="007E6F45">
        <w:rPr>
          <w:rFonts w:eastAsia="Times New Roman"/>
          <w:szCs w:val="24"/>
        </w:rPr>
        <w:t xml:space="preserve"> function in the </w:t>
      </w:r>
      <w:proofErr w:type="spellStart"/>
      <w:r w:rsidR="007E6F45">
        <w:rPr>
          <w:rFonts w:eastAsia="Times New Roman"/>
          <w:szCs w:val="24"/>
        </w:rPr>
        <w:t>drc</w:t>
      </w:r>
      <w:proofErr w:type="spellEnd"/>
      <w:r w:rsidR="007E6F45">
        <w:rPr>
          <w:rFonts w:eastAsia="Times New Roman"/>
          <w:szCs w:val="24"/>
        </w:rPr>
        <w:t xml:space="preserve"> R package</w:t>
      </w:r>
      <w:r w:rsidR="005C3BBA">
        <w:rPr>
          <w:rFonts w:eastAsia="Times New Roman"/>
          <w:szCs w:val="24"/>
        </w:rPr>
        <w:t xml:space="preserve"> (Ritz et al., 2015)</w:t>
      </w:r>
      <w:r w:rsidR="6671638B" w:rsidRPr="032B93E0">
        <w:rPr>
          <w:rFonts w:eastAsia="Times New Roman"/>
          <w:szCs w:val="24"/>
        </w:rPr>
        <w:t>:</w:t>
      </w:r>
    </w:p>
    <w:p w14:paraId="162AEB10" w14:textId="31CEF7E9" w:rsidR="00C13F4C" w:rsidRDefault="001D3011" w:rsidP="032B93E0">
      <w:pPr>
        <w:spacing w:before="120" w:after="120" w:line="257" w:lineRule="auto"/>
        <w:jc w:val="center"/>
        <w:rPr>
          <w:rFonts w:eastAsia="Times New Roman"/>
          <w:szCs w:val="24"/>
        </w:rPr>
      </w:pPr>
      <w:r>
        <w:rPr>
          <w:rFonts w:eastAsia="Times New Roman"/>
          <w:szCs w:val="24"/>
        </w:rPr>
        <w:t>µ</w:t>
      </w:r>
      <w:proofErr w:type="spellStart"/>
      <w:r w:rsidR="13590F71" w:rsidRPr="032B93E0">
        <w:rPr>
          <w:rFonts w:eastAsia="Times New Roman"/>
          <w:szCs w:val="24"/>
          <w:vertAlign w:val="subscript"/>
        </w:rPr>
        <w:t>jk</w:t>
      </w:r>
      <w:proofErr w:type="spellEnd"/>
      <w:r w:rsidR="13590F71" w:rsidRPr="032B93E0">
        <w:rPr>
          <w:rFonts w:eastAsia="Times New Roman"/>
          <w:szCs w:val="24"/>
        </w:rPr>
        <w:t>= B + (A-B)/(1+(</w:t>
      </w:r>
      <w:proofErr w:type="spellStart"/>
      <w:r w:rsidR="13590F71" w:rsidRPr="032B93E0">
        <w:rPr>
          <w:rFonts w:eastAsia="Times New Roman"/>
          <w:szCs w:val="24"/>
        </w:rPr>
        <w:t>x</w:t>
      </w:r>
      <w:r w:rsidR="13590F71" w:rsidRPr="032B93E0">
        <w:rPr>
          <w:rFonts w:eastAsia="Times New Roman"/>
          <w:szCs w:val="24"/>
          <w:vertAlign w:val="subscript"/>
        </w:rPr>
        <w:t>jk</w:t>
      </w:r>
      <w:proofErr w:type="spellEnd"/>
      <w:r w:rsidR="13590F71" w:rsidRPr="032B93E0">
        <w:rPr>
          <w:rFonts w:eastAsia="Times New Roman"/>
          <w:szCs w:val="24"/>
        </w:rPr>
        <w:t>/</w:t>
      </w:r>
      <w:proofErr w:type="gramStart"/>
      <w:r w:rsidR="13590F71" w:rsidRPr="032B93E0">
        <w:rPr>
          <w:rFonts w:eastAsia="Times New Roman"/>
          <w:szCs w:val="24"/>
        </w:rPr>
        <w:t>C)^</w:t>
      </w:r>
      <w:proofErr w:type="gramEnd"/>
      <w:r w:rsidR="13590F71" w:rsidRPr="032B93E0">
        <w:rPr>
          <w:rFonts w:eastAsia="Times New Roman"/>
          <w:szCs w:val="24"/>
        </w:rPr>
        <w:t>D )</w:t>
      </w:r>
    </w:p>
    <w:p w14:paraId="0ABA9EC4" w14:textId="516D7FEA" w:rsidR="001872BB" w:rsidRDefault="6671638B" w:rsidP="032B93E0">
      <w:pPr>
        <w:spacing w:before="120" w:after="120" w:line="257" w:lineRule="auto"/>
        <w:rPr>
          <w:rFonts w:eastAsia="Times New Roman"/>
          <w:szCs w:val="24"/>
        </w:rPr>
      </w:pPr>
      <w:r w:rsidRPr="032B93E0">
        <w:rPr>
          <w:rFonts w:eastAsia="Times New Roman"/>
          <w:szCs w:val="24"/>
        </w:rPr>
        <w:t>Where the 4-PL parameters are: A = lower asymptote, B = upper asymptote, C = midpoint, D = slope parameter.</w:t>
      </w:r>
      <w:r w:rsidR="001D3011">
        <w:rPr>
          <w:rFonts w:eastAsia="Times New Roman"/>
          <w:szCs w:val="24"/>
        </w:rPr>
        <w:t xml:space="preserve"> Th</w:t>
      </w:r>
      <w:r w:rsidR="004D64A3">
        <w:rPr>
          <w:rFonts w:eastAsia="Times New Roman"/>
          <w:szCs w:val="24"/>
        </w:rPr>
        <w:t>at</w:t>
      </w:r>
      <w:r w:rsidR="001D3011">
        <w:rPr>
          <w:rFonts w:eastAsia="Times New Roman"/>
          <w:szCs w:val="24"/>
        </w:rPr>
        <w:t xml:space="preserve"> model will be fit by </w:t>
      </w:r>
      <w:r w:rsidR="00757FF4">
        <w:rPr>
          <w:rFonts w:eastAsia="Times New Roman"/>
          <w:szCs w:val="24"/>
        </w:rPr>
        <w:t>least squares</w:t>
      </w:r>
      <w:r w:rsidR="00D338B2">
        <w:rPr>
          <w:rFonts w:eastAsia="Times New Roman"/>
          <w:szCs w:val="24"/>
        </w:rPr>
        <w:t xml:space="preserve"> and the BFGS optimization method</w:t>
      </w:r>
      <w:r w:rsidR="00797CDA">
        <w:rPr>
          <w:rFonts w:eastAsia="Times New Roman"/>
          <w:szCs w:val="24"/>
        </w:rPr>
        <w:t>.</w:t>
      </w:r>
    </w:p>
    <w:p w14:paraId="0C22D50B" w14:textId="3390123D" w:rsidR="006E34C6" w:rsidRDefault="006E34C6" w:rsidP="032B93E0">
      <w:pPr>
        <w:spacing w:before="120" w:after="120" w:line="257" w:lineRule="auto"/>
        <w:rPr>
          <w:rFonts w:eastAsia="Times New Roman"/>
          <w:szCs w:val="24"/>
        </w:rPr>
      </w:pPr>
    </w:p>
    <w:p w14:paraId="68FB8A96" w14:textId="3FD1860D" w:rsidR="002E7F64" w:rsidRDefault="002E7F64" w:rsidP="002E7F64">
      <w:r>
        <w:t xml:space="preserve">If the cross-validation produces a model with substantial non-monotonicity, we may remove that model type from consideration and repeat the CV without that model. This process may be repeated if necessary. </w:t>
      </w:r>
    </w:p>
    <w:p w14:paraId="39186ED3" w14:textId="77777777" w:rsidR="002E7F64" w:rsidRDefault="002E7F64" w:rsidP="032B93E0">
      <w:pPr>
        <w:spacing w:before="120" w:after="120" w:line="257" w:lineRule="auto"/>
        <w:rPr>
          <w:rFonts w:eastAsia="Times New Roman"/>
          <w:szCs w:val="24"/>
        </w:rPr>
      </w:pPr>
    </w:p>
    <w:p w14:paraId="6C6681D7" w14:textId="77777777" w:rsidR="002E7F64" w:rsidRDefault="002E7F64" w:rsidP="032B93E0">
      <w:pPr>
        <w:spacing w:before="120" w:after="120" w:line="257" w:lineRule="auto"/>
        <w:rPr>
          <w:rFonts w:eastAsia="Times New Roman"/>
          <w:szCs w:val="24"/>
        </w:rPr>
      </w:pPr>
    </w:p>
    <w:p w14:paraId="1F4EABE9" w14:textId="28BBD8D5" w:rsidR="00F24ABB" w:rsidRDefault="006E34C6" w:rsidP="032B93E0">
      <w:pPr>
        <w:spacing w:before="120" w:after="120" w:line="257" w:lineRule="auto"/>
        <w:rPr>
          <w:rFonts w:eastAsia="Times New Roman"/>
          <w:szCs w:val="24"/>
        </w:rPr>
      </w:pPr>
      <w:r>
        <w:rPr>
          <w:rFonts w:eastAsia="Times New Roman"/>
          <w:szCs w:val="24"/>
        </w:rPr>
        <w:t xml:space="preserve">Once the model is selected by cross validation, the selected model will be fit to </w:t>
      </w:r>
      <w:proofErr w:type="gramStart"/>
      <w:r>
        <w:rPr>
          <w:rFonts w:eastAsia="Times New Roman"/>
          <w:szCs w:val="24"/>
        </w:rPr>
        <w:t>all of</w:t>
      </w:r>
      <w:proofErr w:type="gramEnd"/>
      <w:r>
        <w:rPr>
          <w:rFonts w:eastAsia="Times New Roman"/>
          <w:szCs w:val="24"/>
        </w:rPr>
        <w:t xml:space="preserve"> the data. </w:t>
      </w:r>
      <w:r w:rsidR="007B55C1">
        <w:rPr>
          <w:rFonts w:eastAsia="Times New Roman"/>
          <w:szCs w:val="24"/>
        </w:rPr>
        <w:t>If the selected model is not segmented regression, p</w:t>
      </w:r>
      <w:r w:rsidR="004D08FD">
        <w:rPr>
          <w:rFonts w:eastAsia="Times New Roman"/>
          <w:szCs w:val="24"/>
        </w:rPr>
        <w:t xml:space="preserve">ointwise confidence intervals on the predicted </w:t>
      </w:r>
      <w:r w:rsidR="00F24ABB">
        <w:rPr>
          <w:rFonts w:eastAsia="Times New Roman"/>
          <w:szCs w:val="24"/>
        </w:rPr>
        <w:t xml:space="preserve">values will be calculated </w:t>
      </w:r>
      <w:r w:rsidR="00E53017">
        <w:rPr>
          <w:rFonts w:eastAsia="Times New Roman"/>
          <w:szCs w:val="24"/>
        </w:rPr>
        <w:t xml:space="preserve">using the parametric formula: </w:t>
      </w:r>
      <m:oMath>
        <m:sSub>
          <m:sSubPr>
            <m:ctrlPr>
              <w:rPr>
                <w:rFonts w:ascii="Cambria Math" w:eastAsia="Times New Roman" w:hAnsi="Cambria Math"/>
                <w:i/>
                <w:szCs w:val="24"/>
              </w:rPr>
            </m:ctrlPr>
          </m:sSubPr>
          <m:e>
            <m:acc>
              <m:accPr>
                <m:ctrlPr>
                  <w:rPr>
                    <w:rFonts w:ascii="Cambria Math" w:eastAsia="Times New Roman" w:hAnsi="Cambria Math"/>
                    <w:i/>
                    <w:szCs w:val="24"/>
                  </w:rPr>
                </m:ctrlPr>
              </m:accPr>
              <m:e>
                <m:r>
                  <w:rPr>
                    <w:rFonts w:ascii="Cambria Math" w:eastAsia="Times New Roman" w:hAnsi="Cambria Math"/>
                    <w:szCs w:val="24"/>
                  </w:rPr>
                  <m:t>y</m:t>
                </m:r>
              </m:e>
            </m:acc>
          </m:e>
          <m:sub>
            <m:r>
              <w:rPr>
                <w:rFonts w:ascii="Cambria Math" w:eastAsia="Times New Roman" w:hAnsi="Cambria Math"/>
                <w:szCs w:val="24"/>
              </w:rPr>
              <m:t>jk</m:t>
            </m:r>
          </m:sub>
        </m:sSub>
        <m:r>
          <w:rPr>
            <w:rFonts w:ascii="Cambria Math" w:eastAsia="Times New Roman" w:hAnsi="Cambria Math"/>
            <w:szCs w:val="24"/>
          </w:rPr>
          <m:t xml:space="preserve"> ±</m:t>
        </m:r>
        <m:sSub>
          <m:sSubPr>
            <m:ctrlPr>
              <w:rPr>
                <w:rFonts w:ascii="Cambria Math" w:eastAsia="Times New Roman" w:hAnsi="Cambria Math"/>
                <w:i/>
                <w:szCs w:val="24"/>
              </w:rPr>
            </m:ctrlPr>
          </m:sSubPr>
          <m:e>
            <m:r>
              <w:rPr>
                <w:rFonts w:ascii="Cambria Math" w:eastAsia="Times New Roman" w:hAnsi="Cambria Math"/>
                <w:szCs w:val="24"/>
              </w:rPr>
              <m:t>t</m:t>
            </m:r>
          </m:e>
          <m:sub>
            <m:r>
              <w:rPr>
                <w:rFonts w:ascii="Cambria Math" w:eastAsia="Times New Roman" w:hAnsi="Cambria Math"/>
                <w:szCs w:val="24"/>
              </w:rPr>
              <m:t>α/2,df</m:t>
            </m:r>
          </m:sub>
        </m:sSub>
        <m:r>
          <w:rPr>
            <w:rFonts w:ascii="Cambria Math" w:eastAsia="Times New Roman" w:hAnsi="Cambria Math"/>
            <w:szCs w:val="24"/>
          </w:rPr>
          <m:t xml:space="preserve">SE, </m:t>
        </m:r>
      </m:oMath>
      <w:r w:rsidR="005C3BBA">
        <w:rPr>
          <w:rFonts w:eastAsia="Times New Roman"/>
          <w:szCs w:val="24"/>
        </w:rPr>
        <w:t xml:space="preserve">where </w:t>
      </w:r>
      <m:oMath>
        <m:sSub>
          <m:sSubPr>
            <m:ctrlPr>
              <w:rPr>
                <w:rFonts w:ascii="Cambria Math" w:eastAsia="Times New Roman" w:hAnsi="Cambria Math"/>
                <w:i/>
                <w:szCs w:val="24"/>
              </w:rPr>
            </m:ctrlPr>
          </m:sSubPr>
          <m:e>
            <m:acc>
              <m:accPr>
                <m:ctrlPr>
                  <w:rPr>
                    <w:rFonts w:ascii="Cambria Math" w:eastAsia="Times New Roman" w:hAnsi="Cambria Math"/>
                    <w:i/>
                    <w:szCs w:val="24"/>
                  </w:rPr>
                </m:ctrlPr>
              </m:accPr>
              <m:e>
                <m:r>
                  <w:rPr>
                    <w:rFonts w:ascii="Cambria Math" w:eastAsia="Times New Roman" w:hAnsi="Cambria Math"/>
                    <w:szCs w:val="24"/>
                  </w:rPr>
                  <m:t>y</m:t>
                </m:r>
              </m:e>
            </m:acc>
          </m:e>
          <m:sub>
            <m:r>
              <w:rPr>
                <w:rFonts w:ascii="Cambria Math" w:eastAsia="Times New Roman" w:hAnsi="Cambria Math"/>
                <w:szCs w:val="24"/>
              </w:rPr>
              <m:t>jk</m:t>
            </m:r>
          </m:sub>
        </m:sSub>
      </m:oMath>
      <w:r w:rsidR="005C3BBA">
        <w:rPr>
          <w:rFonts w:eastAsia="Times New Roman"/>
          <w:szCs w:val="24"/>
        </w:rPr>
        <w:t>= the estimated predicted value</w:t>
      </w:r>
      <w:r w:rsidR="005C3BBA" w:rsidRPr="005C3BBA">
        <w:rPr>
          <w:rFonts w:eastAsia="Times New Roman"/>
        </w:rPr>
        <w:t xml:space="preserve"> </w:t>
      </w:r>
      <w:r w:rsidR="005C3BBA">
        <w:rPr>
          <w:rFonts w:eastAsia="Times New Roman"/>
        </w:rPr>
        <w:t>for</w:t>
      </w:r>
      <w:r w:rsidR="005C3BBA" w:rsidRPr="27B4A244">
        <w:rPr>
          <w:rFonts w:eastAsia="Times New Roman"/>
        </w:rPr>
        <w:t xml:space="preserve"> the k</w:t>
      </w:r>
      <w:r w:rsidR="005C3BBA" w:rsidRPr="27B4A244">
        <w:rPr>
          <w:rFonts w:eastAsia="Times New Roman"/>
          <w:vertAlign w:val="superscript"/>
        </w:rPr>
        <w:t>th</w:t>
      </w:r>
      <w:r w:rsidR="005C3BBA" w:rsidRPr="27B4A244">
        <w:rPr>
          <w:rFonts w:eastAsia="Times New Roman"/>
        </w:rPr>
        <w:t xml:space="preserve"> animal in the </w:t>
      </w:r>
      <w:proofErr w:type="spellStart"/>
      <w:r w:rsidR="005C3BBA" w:rsidRPr="27B4A244">
        <w:rPr>
          <w:rFonts w:eastAsia="Times New Roman"/>
        </w:rPr>
        <w:t>j</w:t>
      </w:r>
      <w:r w:rsidR="005C3BBA" w:rsidRPr="27B4A244">
        <w:rPr>
          <w:rFonts w:eastAsia="Times New Roman"/>
          <w:vertAlign w:val="superscript"/>
        </w:rPr>
        <w:t>th</w:t>
      </w:r>
      <w:proofErr w:type="spellEnd"/>
      <w:r w:rsidR="005C3BBA" w:rsidRPr="27B4A244">
        <w:rPr>
          <w:rFonts w:eastAsia="Times New Roman"/>
        </w:rPr>
        <w:t xml:space="preserve"> arm</w:t>
      </w:r>
      <w:r w:rsidR="005C3BBA">
        <w:rPr>
          <w:rFonts w:eastAsia="Times New Roman"/>
        </w:rPr>
        <w:t xml:space="preserve">, SE = the standard error for the estimate of the predicted value, and </w:t>
      </w:r>
      <m:oMath>
        <m:sSub>
          <m:sSubPr>
            <m:ctrlPr>
              <w:rPr>
                <w:rFonts w:ascii="Cambria Math" w:eastAsia="Times New Roman" w:hAnsi="Cambria Math"/>
                <w:i/>
                <w:szCs w:val="24"/>
              </w:rPr>
            </m:ctrlPr>
          </m:sSubPr>
          <m:e>
            <m:r>
              <w:rPr>
                <w:rFonts w:ascii="Cambria Math" w:eastAsia="Times New Roman" w:hAnsi="Cambria Math"/>
                <w:szCs w:val="24"/>
              </w:rPr>
              <m:t>t</m:t>
            </m:r>
          </m:e>
          <m:sub>
            <m:r>
              <w:rPr>
                <w:rFonts w:ascii="Cambria Math" w:eastAsia="Times New Roman" w:hAnsi="Cambria Math"/>
                <w:szCs w:val="24"/>
              </w:rPr>
              <m:t>α/2,df</m:t>
            </m:r>
          </m:sub>
        </m:sSub>
      </m:oMath>
      <w:r w:rsidR="00756269">
        <w:rPr>
          <w:rFonts w:eastAsia="Times New Roman"/>
          <w:szCs w:val="24"/>
        </w:rPr>
        <w:t xml:space="preserve"> = critical value from the t distribution corresponding to α/2 and n-p degrees of freedom</w:t>
      </w:r>
      <w:r w:rsidR="0063611D">
        <w:rPr>
          <w:rFonts w:eastAsia="Times New Roman"/>
          <w:szCs w:val="24"/>
        </w:rPr>
        <w:t xml:space="preserve"> (p includes the intercept, where applicable)</w:t>
      </w:r>
      <w:r w:rsidR="00756269">
        <w:rPr>
          <w:rFonts w:eastAsia="Times New Roman"/>
          <w:szCs w:val="24"/>
        </w:rPr>
        <w:t>. This is analogous to</w:t>
      </w:r>
      <w:r w:rsidR="007E6F45">
        <w:rPr>
          <w:rFonts w:eastAsia="Times New Roman"/>
          <w:szCs w:val="24"/>
        </w:rPr>
        <w:t xml:space="preserve"> the built-in predict functions in R.</w:t>
      </w:r>
      <w:r w:rsidR="007B55C1">
        <w:rPr>
          <w:rFonts w:eastAsia="Times New Roman"/>
          <w:szCs w:val="24"/>
        </w:rPr>
        <w:t xml:space="preserve"> If the segmented regression model is selected by the cross-validation procedure, pointwise confidence intervals on the predicted values will be calculated by nonparametric bootstrap. </w:t>
      </w:r>
      <w:r w:rsidR="004D08FD">
        <w:rPr>
          <w:rFonts w:eastAsia="Times New Roman"/>
          <w:szCs w:val="24"/>
        </w:rPr>
        <w:t xml:space="preserve"> </w:t>
      </w:r>
    </w:p>
    <w:p w14:paraId="617BF075" w14:textId="17D6CB87" w:rsidR="006E34C6" w:rsidRDefault="006E34C6" w:rsidP="032B93E0">
      <w:pPr>
        <w:spacing w:before="120" w:after="120" w:line="257" w:lineRule="auto"/>
        <w:rPr>
          <w:rFonts w:eastAsia="Times New Roman"/>
          <w:szCs w:val="24"/>
        </w:rPr>
      </w:pPr>
    </w:p>
    <w:p w14:paraId="579893D3" w14:textId="6E05E0A4" w:rsidR="00C13F4C" w:rsidRPr="00B55D74" w:rsidRDefault="3A52D333" w:rsidP="032B93E0">
      <w:pPr>
        <w:pStyle w:val="Heading3"/>
        <w:rPr>
          <w:rFonts w:ascii="Times New Roman" w:eastAsia="Times New Roman" w:hAnsi="Times New Roman" w:cs="Times New Roman"/>
          <w:b/>
          <w:bCs/>
          <w:color w:val="auto"/>
        </w:rPr>
      </w:pPr>
      <w:bookmarkStart w:id="54" w:name="_Toc60811598"/>
      <w:r w:rsidRPr="032B93E0">
        <w:rPr>
          <w:rFonts w:ascii="Times New Roman" w:eastAsia="Times New Roman" w:hAnsi="Times New Roman" w:cs="Times New Roman"/>
          <w:b/>
          <w:bCs/>
          <w:color w:val="auto"/>
        </w:rPr>
        <w:t>6</w:t>
      </w:r>
      <w:r w:rsidR="6671638B" w:rsidRPr="032B93E0">
        <w:rPr>
          <w:rFonts w:ascii="Times New Roman" w:eastAsia="Times New Roman" w:hAnsi="Times New Roman" w:cs="Times New Roman"/>
          <w:b/>
          <w:bCs/>
          <w:color w:val="auto"/>
        </w:rPr>
        <w:t xml:space="preserve">.4.2  </w:t>
      </w:r>
      <w:r w:rsidR="6671638B" w:rsidRPr="00B55D74">
        <w:rPr>
          <w:rFonts w:ascii="Times New Roman" w:eastAsia="Times New Roman" w:hAnsi="Times New Roman" w:cs="Times New Roman"/>
          <w:b/>
          <w:bCs/>
          <w:color w:val="auto"/>
        </w:rPr>
        <w:t xml:space="preserve">      Binary Outcomes</w:t>
      </w:r>
      <w:bookmarkEnd w:id="54"/>
    </w:p>
    <w:p w14:paraId="590E178F" w14:textId="46A1AE30" w:rsidR="00C13F4C" w:rsidRDefault="6671638B" w:rsidP="27B4A244">
      <w:pPr>
        <w:spacing w:before="120" w:after="120" w:line="257" w:lineRule="auto"/>
        <w:rPr>
          <w:rFonts w:eastAsia="Times New Roman"/>
        </w:rPr>
      </w:pPr>
      <w:r w:rsidRPr="27B4A244">
        <w:rPr>
          <w:rFonts w:eastAsia="Times New Roman"/>
        </w:rPr>
        <w:t xml:space="preserve">For binary outcomes, a logistic model </w:t>
      </w:r>
      <w:r w:rsidR="286E134A" w:rsidRPr="27B4A244">
        <w:rPr>
          <w:rFonts w:eastAsia="Times New Roman"/>
        </w:rPr>
        <w:t xml:space="preserve">is fit </w:t>
      </w:r>
      <w:r w:rsidRPr="27B4A244">
        <w:rPr>
          <w:rFonts w:eastAsia="Times New Roman"/>
        </w:rPr>
        <w:t xml:space="preserve">with an intercept and one main effect for the immune correlate. The notation is the same as in Section 6.4.1, except now </w:t>
      </w:r>
      <w:proofErr w:type="spellStart"/>
      <w:r w:rsidRPr="27B4A244">
        <w:rPr>
          <w:rFonts w:eastAsia="Times New Roman"/>
        </w:rPr>
        <w:t>y</w:t>
      </w:r>
      <w:r w:rsidRPr="27B4A244">
        <w:rPr>
          <w:rFonts w:eastAsia="Times New Roman"/>
          <w:vertAlign w:val="subscript"/>
        </w:rPr>
        <w:t>jk</w:t>
      </w:r>
      <w:proofErr w:type="spellEnd"/>
      <w:r w:rsidRPr="27B4A244">
        <w:rPr>
          <w:rFonts w:eastAsia="Times New Roman"/>
        </w:rPr>
        <w:t xml:space="preserve"> represents a binary response. </w:t>
      </w:r>
      <w:r w:rsidR="000D5210">
        <w:rPr>
          <w:rFonts w:eastAsia="Times New Roman"/>
        </w:rPr>
        <w:t>As in the</w:t>
      </w:r>
      <w:r w:rsidR="00196333">
        <w:rPr>
          <w:rFonts w:eastAsia="Times New Roman"/>
        </w:rPr>
        <w:t xml:space="preserve"> previous </w:t>
      </w:r>
      <w:r w:rsidR="000D5210">
        <w:rPr>
          <w:rFonts w:eastAsia="Times New Roman"/>
        </w:rPr>
        <w:t>Section</w:t>
      </w:r>
      <w:r w:rsidR="00196333">
        <w:rPr>
          <w:rFonts w:eastAsia="Times New Roman"/>
        </w:rPr>
        <w:t xml:space="preserve">, several models will be tried and the best one selected by cross-validation. Instead of comparing the models using </w:t>
      </w:r>
      <w:r w:rsidR="00435036">
        <w:rPr>
          <w:rFonts w:eastAsia="Times New Roman"/>
        </w:rPr>
        <w:t xml:space="preserve">adjusted </w:t>
      </w:r>
      <w:r w:rsidR="00196333">
        <w:rPr>
          <w:rFonts w:eastAsia="Times New Roman"/>
        </w:rPr>
        <w:t xml:space="preserve">R-squared, we use the binary analog, the </w:t>
      </w:r>
      <w:r w:rsidR="00435036">
        <w:rPr>
          <w:rFonts w:eastAsia="Times New Roman"/>
        </w:rPr>
        <w:t xml:space="preserve">adjusted </w:t>
      </w:r>
      <w:r w:rsidR="00196333">
        <w:rPr>
          <w:rFonts w:eastAsia="Times New Roman"/>
        </w:rPr>
        <w:t>coefficient of discrimination (</w:t>
      </w:r>
      <w:proofErr w:type="spellStart"/>
      <w:r w:rsidR="00196333">
        <w:rPr>
          <w:rFonts w:eastAsia="Times New Roman"/>
        </w:rPr>
        <w:t>Tjur</w:t>
      </w:r>
      <w:proofErr w:type="spellEnd"/>
      <w:r w:rsidR="00196333">
        <w:rPr>
          <w:rFonts w:eastAsia="Times New Roman"/>
        </w:rPr>
        <w:t>, 2009</w:t>
      </w:r>
      <w:r w:rsidR="007E6F45">
        <w:rPr>
          <w:rFonts w:eastAsia="Times New Roman"/>
        </w:rPr>
        <w:t>, Fay et al.</w:t>
      </w:r>
      <w:r w:rsidR="005C3BBA">
        <w:rPr>
          <w:rFonts w:eastAsia="Times New Roman"/>
        </w:rPr>
        <w:t>,</w:t>
      </w:r>
      <w:r w:rsidR="007E6F45">
        <w:rPr>
          <w:rFonts w:eastAsia="Times New Roman"/>
        </w:rPr>
        <w:t xml:space="preserve"> 2012</w:t>
      </w:r>
      <w:r w:rsidR="00196333">
        <w:rPr>
          <w:rFonts w:eastAsia="Times New Roman"/>
        </w:rPr>
        <w:t xml:space="preserve">). The models tried are the following. </w:t>
      </w:r>
      <w:r w:rsidRPr="27B4A244">
        <w:rPr>
          <w:rFonts w:eastAsia="Times New Roman"/>
        </w:rPr>
        <w:t>The logistic model:</w:t>
      </w:r>
    </w:p>
    <w:p w14:paraId="564CE350" w14:textId="10F6DE0C" w:rsidR="00C13F4C" w:rsidRDefault="5DC9ED84" w:rsidP="004E2940">
      <w:pPr>
        <w:spacing w:before="120" w:after="120" w:line="257" w:lineRule="auto"/>
        <w:jc w:val="center"/>
        <w:rPr>
          <w:rFonts w:eastAsia="Times New Roman"/>
          <w:szCs w:val="24"/>
        </w:rPr>
      </w:pPr>
      <w:proofErr w:type="gramStart"/>
      <w:r w:rsidRPr="032B93E0">
        <w:rPr>
          <w:rFonts w:eastAsia="Times New Roman"/>
          <w:szCs w:val="24"/>
        </w:rPr>
        <w:t>Log</w:t>
      </w:r>
      <w:r w:rsidRPr="004E2940">
        <w:rPr>
          <w:rFonts w:eastAsia="Times New Roman"/>
          <w:szCs w:val="24"/>
          <w:vertAlign w:val="subscript"/>
        </w:rPr>
        <w:t>e</w:t>
      </w:r>
      <w:r w:rsidR="00B55D74">
        <w:rPr>
          <w:rFonts w:eastAsia="Times New Roman"/>
          <w:szCs w:val="24"/>
        </w:rPr>
        <w:t>{</w:t>
      </w:r>
      <w:proofErr w:type="spellStart"/>
      <w:proofErr w:type="gramEnd"/>
      <w:r w:rsidR="00B55D74" w:rsidRPr="032B93E0">
        <w:rPr>
          <w:rFonts w:eastAsia="Times New Roman"/>
          <w:szCs w:val="24"/>
        </w:rPr>
        <w:t>μ</w:t>
      </w:r>
      <w:r w:rsidR="00B55D74" w:rsidRPr="00585A35">
        <w:rPr>
          <w:rFonts w:eastAsia="Times New Roman"/>
          <w:szCs w:val="24"/>
          <w:vertAlign w:val="subscript"/>
        </w:rPr>
        <w:t>jk</w:t>
      </w:r>
      <w:proofErr w:type="spellEnd"/>
      <w:r w:rsidR="00B55D74">
        <w:rPr>
          <w:rFonts w:eastAsia="Times New Roman"/>
          <w:szCs w:val="24"/>
        </w:rPr>
        <w:t xml:space="preserve"> /</w:t>
      </w:r>
      <w:r w:rsidRPr="032B93E0">
        <w:rPr>
          <w:rFonts w:eastAsia="Times New Roman"/>
          <w:szCs w:val="24"/>
        </w:rPr>
        <w:t>(1-μ</w:t>
      </w:r>
      <w:r w:rsidRPr="004E2940">
        <w:rPr>
          <w:rFonts w:eastAsia="Times New Roman"/>
          <w:szCs w:val="24"/>
          <w:vertAlign w:val="subscript"/>
        </w:rPr>
        <w:t>jk</w:t>
      </w:r>
      <w:r w:rsidRPr="032B93E0">
        <w:rPr>
          <w:rFonts w:eastAsia="Times New Roman"/>
          <w:szCs w:val="24"/>
        </w:rPr>
        <w:t xml:space="preserve"> )</w:t>
      </w:r>
      <w:r w:rsidR="00B55D74">
        <w:rPr>
          <w:rFonts w:eastAsia="Times New Roman"/>
          <w:szCs w:val="24"/>
        </w:rPr>
        <w:t>}</w:t>
      </w:r>
      <w:r w:rsidR="01A3A991" w:rsidRPr="032B93E0">
        <w:rPr>
          <w:rFonts w:eastAsia="Times New Roman"/>
          <w:szCs w:val="24"/>
        </w:rPr>
        <w:t xml:space="preserve"> </w:t>
      </w:r>
      <w:r w:rsidRPr="032B93E0">
        <w:rPr>
          <w:rFonts w:eastAsia="Times New Roman"/>
          <w:szCs w:val="24"/>
        </w:rPr>
        <w:t xml:space="preserve">= </w:t>
      </w:r>
      <m:oMath>
        <m:sSub>
          <m:sSubPr>
            <m:ctrlPr>
              <w:rPr>
                <w:rFonts w:ascii="Cambria Math" w:eastAsia="Times New Roman" w:hAnsi="Cambria Math"/>
                <w:i/>
                <w:szCs w:val="24"/>
              </w:rPr>
            </m:ctrlPr>
          </m:sSubPr>
          <m:e>
            <m:r>
              <w:rPr>
                <w:rFonts w:ascii="Cambria Math" w:eastAsia="Times New Roman" w:hAnsi="Cambria Math"/>
                <w:szCs w:val="24"/>
              </w:rPr>
              <m:t>β</m:t>
            </m:r>
          </m:e>
          <m:sub>
            <m:r>
              <w:rPr>
                <w:rFonts w:ascii="Cambria Math" w:eastAsia="Times New Roman" w:hAnsi="Cambria Math"/>
                <w:szCs w:val="24"/>
              </w:rPr>
              <m:t>0</m:t>
            </m:r>
          </m:sub>
        </m:sSub>
      </m:oMath>
      <w:r w:rsidR="6819C9C7" w:rsidRPr="032B93E0">
        <w:rPr>
          <w:rFonts w:eastAsia="Times New Roman"/>
          <w:szCs w:val="24"/>
        </w:rPr>
        <w:t xml:space="preserve"> </w:t>
      </w:r>
      <w:r w:rsidRPr="032B93E0">
        <w:rPr>
          <w:rFonts w:eastAsia="Times New Roman"/>
          <w:szCs w:val="24"/>
        </w:rPr>
        <w:t>+ β</w:t>
      </w:r>
      <w:r w:rsidRPr="004E2940">
        <w:rPr>
          <w:rFonts w:eastAsia="Times New Roman"/>
          <w:szCs w:val="24"/>
          <w:vertAlign w:val="subscript"/>
        </w:rPr>
        <w:t>1</w:t>
      </w:r>
      <w:r w:rsidRPr="032B93E0">
        <w:rPr>
          <w:rFonts w:eastAsia="Times New Roman"/>
          <w:szCs w:val="24"/>
        </w:rPr>
        <w:t xml:space="preserve"> </w:t>
      </w:r>
      <w:proofErr w:type="spellStart"/>
      <w:r w:rsidRPr="032B93E0">
        <w:rPr>
          <w:rFonts w:eastAsia="Times New Roman"/>
          <w:szCs w:val="24"/>
        </w:rPr>
        <w:t>x</w:t>
      </w:r>
      <w:r w:rsidRPr="004E2940">
        <w:rPr>
          <w:rFonts w:eastAsia="Times New Roman"/>
          <w:szCs w:val="24"/>
          <w:vertAlign w:val="subscript"/>
        </w:rPr>
        <w:t>jk</w:t>
      </w:r>
      <w:proofErr w:type="spellEnd"/>
    </w:p>
    <w:p w14:paraId="4C68FA8C" w14:textId="7D674914" w:rsidR="00C13F4C" w:rsidRDefault="004D08FD" w:rsidP="27B4A244">
      <w:pPr>
        <w:spacing w:before="120" w:after="120" w:line="257" w:lineRule="auto"/>
        <w:rPr>
          <w:rFonts w:eastAsia="Times New Roman"/>
        </w:rPr>
      </w:pPr>
      <w:r>
        <w:rPr>
          <w:rFonts w:eastAsia="Times New Roman"/>
        </w:rPr>
        <w:t>Analogously to Section 6.4.1</w:t>
      </w:r>
      <w:r w:rsidR="00890DA2">
        <w:rPr>
          <w:rFonts w:eastAsia="Times New Roman"/>
        </w:rPr>
        <w:t>, the</w:t>
      </w:r>
      <w:r>
        <w:rPr>
          <w:rFonts w:eastAsia="Times New Roman"/>
        </w:rPr>
        <w:t xml:space="preserve"> linear predictor portion of the model may be modeled in different ways: it could be fit as a segmented line with 2 breakpoints, </w:t>
      </w:r>
      <w:proofErr w:type="gramStart"/>
      <w:r>
        <w:rPr>
          <w:rFonts w:eastAsia="Times New Roman"/>
        </w:rPr>
        <w:t xml:space="preserve">or </w:t>
      </w:r>
      <w:r w:rsidR="30B040A1" w:rsidRPr="27B4A244">
        <w:rPr>
          <w:rFonts w:eastAsia="Times New Roman"/>
        </w:rPr>
        <w:t xml:space="preserve"> fit</w:t>
      </w:r>
      <w:proofErr w:type="gramEnd"/>
      <w:r w:rsidR="30B040A1" w:rsidRPr="27B4A244">
        <w:rPr>
          <w:rFonts w:eastAsia="Times New Roman"/>
        </w:rPr>
        <w:t xml:space="preserve"> </w:t>
      </w:r>
      <w:r w:rsidR="6671638B" w:rsidRPr="27B4A244">
        <w:rPr>
          <w:rFonts w:eastAsia="Times New Roman"/>
        </w:rPr>
        <w:t>with natural cubic splines with 5 degrees of freedom</w:t>
      </w:r>
      <w:r>
        <w:rPr>
          <w:rFonts w:eastAsia="Times New Roman"/>
        </w:rPr>
        <w:t xml:space="preserve">. </w:t>
      </w:r>
      <w:r w:rsidR="00F24ABB">
        <w:rPr>
          <w:rFonts w:eastAsia="Times New Roman"/>
        </w:rPr>
        <w:t xml:space="preserve">As in section 6.4.1, the best model by cross-validation will be fit to </w:t>
      </w:r>
      <w:proofErr w:type="gramStart"/>
      <w:r w:rsidR="00F24ABB">
        <w:rPr>
          <w:rFonts w:eastAsia="Times New Roman"/>
        </w:rPr>
        <w:t>all of</w:t>
      </w:r>
      <w:proofErr w:type="gramEnd"/>
      <w:r w:rsidR="00F24ABB">
        <w:rPr>
          <w:rFonts w:eastAsia="Times New Roman"/>
        </w:rPr>
        <w:t xml:space="preserve"> the data</w:t>
      </w:r>
      <w:r w:rsidR="002E7F64">
        <w:rPr>
          <w:rFonts w:eastAsia="Times New Roman"/>
        </w:rPr>
        <w:t xml:space="preserve"> (enforcing monotonicity if needed),</w:t>
      </w:r>
      <w:r w:rsidR="00F24ABB">
        <w:rPr>
          <w:rFonts w:eastAsia="Times New Roman"/>
        </w:rPr>
        <w:t xml:space="preserve"> with confidence intervals on the prediction</w:t>
      </w:r>
      <w:r w:rsidR="00435036">
        <w:rPr>
          <w:rFonts w:eastAsia="Times New Roman"/>
        </w:rPr>
        <w:t xml:space="preserve"> calculated</w:t>
      </w:r>
      <w:r w:rsidR="00E53017">
        <w:rPr>
          <w:rFonts w:eastAsia="Times New Roman"/>
        </w:rPr>
        <w:t xml:space="preserve"> using the parametric formula as above</w:t>
      </w:r>
      <w:r w:rsidR="007B55C1">
        <w:rPr>
          <w:rFonts w:eastAsia="Times New Roman"/>
        </w:rPr>
        <w:t xml:space="preserve"> or nonparametric bootstrap (for segmented regression)</w:t>
      </w:r>
      <w:r w:rsidR="00F24ABB">
        <w:rPr>
          <w:rFonts w:eastAsia="Times New Roman"/>
        </w:rPr>
        <w:t xml:space="preserve">. </w:t>
      </w:r>
    </w:p>
    <w:p w14:paraId="0417C1C3" w14:textId="77777777" w:rsidR="00F24ABB" w:rsidRDefault="00F24ABB" w:rsidP="27B4A244">
      <w:pPr>
        <w:spacing w:before="120" w:after="120" w:line="257" w:lineRule="auto"/>
        <w:rPr>
          <w:rFonts w:eastAsia="Times New Roman"/>
        </w:rPr>
      </w:pPr>
    </w:p>
    <w:p w14:paraId="09B25F48" w14:textId="4C72AA75" w:rsidR="00C13F4C" w:rsidRDefault="48F9BC9C" w:rsidP="032B93E0">
      <w:pPr>
        <w:pStyle w:val="Heading2"/>
        <w:rPr>
          <w:rFonts w:ascii="Times New Roman" w:eastAsia="Times New Roman" w:hAnsi="Times New Roman" w:cs="Times New Roman"/>
          <w:b/>
          <w:bCs/>
          <w:color w:val="auto"/>
          <w:sz w:val="24"/>
          <w:szCs w:val="24"/>
        </w:rPr>
      </w:pPr>
      <w:bookmarkStart w:id="55" w:name="_Toc60811599"/>
      <w:r w:rsidRPr="032B93E0">
        <w:rPr>
          <w:rFonts w:ascii="Times New Roman" w:eastAsia="Times New Roman" w:hAnsi="Times New Roman" w:cs="Times New Roman"/>
          <w:b/>
          <w:bCs/>
          <w:color w:val="auto"/>
          <w:sz w:val="24"/>
          <w:szCs w:val="24"/>
        </w:rPr>
        <w:t>6</w:t>
      </w:r>
      <w:r w:rsidR="6671638B" w:rsidRPr="032B93E0">
        <w:rPr>
          <w:rFonts w:ascii="Times New Roman" w:eastAsia="Times New Roman" w:hAnsi="Times New Roman" w:cs="Times New Roman"/>
          <w:b/>
          <w:bCs/>
          <w:color w:val="auto"/>
          <w:sz w:val="24"/>
          <w:szCs w:val="24"/>
        </w:rPr>
        <w:t>.5         Percent of Variance Explained by Immune Correlates</w:t>
      </w:r>
      <w:bookmarkEnd w:id="55"/>
    </w:p>
    <w:p w14:paraId="7D44592B" w14:textId="7E689096" w:rsidR="00C13F4C" w:rsidRDefault="6671638B" w:rsidP="27B4A244">
      <w:pPr>
        <w:spacing w:before="120" w:after="120" w:line="257" w:lineRule="auto"/>
        <w:rPr>
          <w:rFonts w:eastAsia="Times New Roman"/>
        </w:rPr>
      </w:pPr>
      <w:r w:rsidRPr="27B4A244">
        <w:rPr>
          <w:rFonts w:eastAsia="Times New Roman"/>
        </w:rPr>
        <w:t xml:space="preserve">This section aims to answer the question: how much of the variance of the outcome is explained by the immune correlate, compared to models with vaccine type and vaccine dose additionally included?  </w:t>
      </w:r>
      <w:r w:rsidR="65890E49" w:rsidRPr="27B4A244">
        <w:rPr>
          <w:rFonts w:eastAsia="Times New Roman"/>
        </w:rPr>
        <w:t>F</w:t>
      </w:r>
      <w:r w:rsidRPr="27B4A244">
        <w:rPr>
          <w:rFonts w:eastAsia="Times New Roman"/>
        </w:rPr>
        <w:t>irst</w:t>
      </w:r>
      <w:r w:rsidR="6761DD82" w:rsidRPr="27B4A244">
        <w:rPr>
          <w:rFonts w:eastAsia="Times New Roman"/>
        </w:rPr>
        <w:t xml:space="preserve"> a variable is</w:t>
      </w:r>
      <w:r w:rsidRPr="27B4A244">
        <w:rPr>
          <w:rFonts w:eastAsia="Times New Roman"/>
        </w:rPr>
        <w:t xml:space="preserve"> define</w:t>
      </w:r>
      <w:r w:rsidR="2254CFF6" w:rsidRPr="27B4A244">
        <w:rPr>
          <w:rFonts w:eastAsia="Times New Roman"/>
        </w:rPr>
        <w:t>d</w:t>
      </w:r>
      <w:r w:rsidRPr="27B4A244">
        <w:rPr>
          <w:rFonts w:eastAsia="Times New Roman"/>
        </w:rPr>
        <w:t xml:space="preserve">, PVE: the Percentage of the Variance of the outcome Explained by the immune correlate apart from the vaccine type and dose.  This approach will only be used if </w:t>
      </w:r>
      <w:r w:rsidR="25992B52" w:rsidRPr="27B4A244">
        <w:rPr>
          <w:rFonts w:eastAsia="Times New Roman"/>
        </w:rPr>
        <w:t>it is</w:t>
      </w:r>
      <w:r w:rsidRPr="27B4A244">
        <w:rPr>
          <w:rFonts w:eastAsia="Times New Roman"/>
        </w:rPr>
        <w:t xml:space="preserve"> confirmed that the dose is related to outcome (Section 6.3).  If the dose is related to outcome, then the PVE equals 0 if the immune correlate explains none of the variability of the outcome, and the PVE will equal 100 if the immune correlate explains as much of the variability as the more expansive model with effects for vaccine type and dose added (in other words,  PVE=100 means that all of the effect of the vaccine acts through the immune correlate).  If the PVE is substantial, then that immune correlate acts as a correlate of protection (CoP). </w:t>
      </w:r>
      <w:r w:rsidR="35094319" w:rsidRPr="27B4A244">
        <w:rPr>
          <w:rFonts w:eastAsia="Times New Roman"/>
        </w:rPr>
        <w:t>A</w:t>
      </w:r>
      <w:r w:rsidRPr="27B4A244">
        <w:rPr>
          <w:rFonts w:eastAsia="Times New Roman"/>
        </w:rPr>
        <w:t xml:space="preserve"> dose-response causal effect for the vaccines </w:t>
      </w:r>
      <w:r w:rsidR="00674A38">
        <w:rPr>
          <w:rFonts w:eastAsia="Times New Roman"/>
        </w:rPr>
        <w:t xml:space="preserve">will likely </w:t>
      </w:r>
      <w:r w:rsidR="32BF4673" w:rsidRPr="27B4A244">
        <w:rPr>
          <w:rFonts w:eastAsia="Times New Roman"/>
        </w:rPr>
        <w:t>ha</w:t>
      </w:r>
      <w:r w:rsidR="00674A38">
        <w:rPr>
          <w:rFonts w:eastAsia="Times New Roman"/>
        </w:rPr>
        <w:t>ve</w:t>
      </w:r>
      <w:r w:rsidR="32BF4673" w:rsidRPr="27B4A244">
        <w:rPr>
          <w:rFonts w:eastAsia="Times New Roman"/>
        </w:rPr>
        <w:t xml:space="preserve"> already been established </w:t>
      </w:r>
      <w:r w:rsidRPr="27B4A244">
        <w:rPr>
          <w:rFonts w:eastAsia="Times New Roman"/>
        </w:rPr>
        <w:t xml:space="preserve">in </w:t>
      </w:r>
      <w:r w:rsidRPr="27B4A244">
        <w:rPr>
          <w:rFonts w:eastAsia="Times New Roman"/>
        </w:rPr>
        <w:lastRenderedPageBreak/>
        <w:t xml:space="preserve">Section 6.3.  </w:t>
      </w:r>
      <w:r w:rsidR="3C1AC228" w:rsidRPr="27B4A244">
        <w:rPr>
          <w:rFonts w:eastAsia="Times New Roman"/>
        </w:rPr>
        <w:t>However, a</w:t>
      </w:r>
      <w:r w:rsidRPr="27B4A244">
        <w:rPr>
          <w:rFonts w:eastAsia="Times New Roman"/>
        </w:rPr>
        <w:t xml:space="preserve"> mechanistic meaning </w:t>
      </w:r>
      <w:r w:rsidR="25F3224B" w:rsidRPr="27B4A244">
        <w:rPr>
          <w:rFonts w:eastAsia="Times New Roman"/>
        </w:rPr>
        <w:t xml:space="preserve">is not assigned </w:t>
      </w:r>
      <w:r w:rsidRPr="27B4A244">
        <w:rPr>
          <w:rFonts w:eastAsia="Times New Roman"/>
        </w:rPr>
        <w:t xml:space="preserve">to the CoP, </w:t>
      </w:r>
      <w:r w:rsidR="00068132" w:rsidRPr="27B4A244">
        <w:rPr>
          <w:rFonts w:eastAsia="Times New Roman"/>
        </w:rPr>
        <w:t xml:space="preserve">as </w:t>
      </w:r>
      <w:r w:rsidRPr="27B4A244">
        <w:rPr>
          <w:rFonts w:eastAsia="Times New Roman"/>
        </w:rPr>
        <w:t>it may or may not be a mediator in the biological pathway to protection (Plotkin and Gilbert, 2012).</w:t>
      </w:r>
    </w:p>
    <w:p w14:paraId="0EDA82AE" w14:textId="5B700158" w:rsidR="00C13F4C" w:rsidRDefault="6671638B" w:rsidP="27B4A244">
      <w:pPr>
        <w:spacing w:before="120" w:after="120" w:line="257" w:lineRule="auto"/>
        <w:rPr>
          <w:rFonts w:eastAsia="Times New Roman"/>
        </w:rPr>
      </w:pPr>
      <w:r w:rsidRPr="27B4A244">
        <w:rPr>
          <w:rFonts w:eastAsia="Times New Roman"/>
        </w:rPr>
        <w:t xml:space="preserve">We first describe this analysis in its most basic form.  The first step is to describe the association between the immune correlate and the outcome with two models:  the </w:t>
      </w:r>
      <w:r w:rsidRPr="27B4A244">
        <w:rPr>
          <w:rFonts w:eastAsia="Times New Roman"/>
          <w:b/>
          <w:bCs/>
        </w:rPr>
        <w:t>base model</w:t>
      </w:r>
      <w:r w:rsidRPr="27B4A244">
        <w:rPr>
          <w:rFonts w:eastAsia="Times New Roman"/>
        </w:rPr>
        <w:t xml:space="preserve"> and the </w:t>
      </w:r>
      <w:r w:rsidRPr="27B4A244">
        <w:rPr>
          <w:rFonts w:eastAsia="Times New Roman"/>
          <w:b/>
          <w:bCs/>
        </w:rPr>
        <w:t>base</w:t>
      </w:r>
      <w:r w:rsidR="27B69976" w:rsidRPr="27B4A244">
        <w:rPr>
          <w:rFonts w:eastAsia="Times New Roman"/>
          <w:b/>
          <w:bCs/>
        </w:rPr>
        <w:t xml:space="preserve"> </w:t>
      </w:r>
      <w:r w:rsidRPr="27B4A244">
        <w:rPr>
          <w:rFonts w:eastAsia="Times New Roman"/>
          <w:b/>
          <w:bCs/>
        </w:rPr>
        <w:t>+</w:t>
      </w:r>
      <w:r w:rsidR="41F45C4F" w:rsidRPr="27B4A244">
        <w:rPr>
          <w:rFonts w:eastAsia="Times New Roman"/>
          <w:b/>
          <w:bCs/>
        </w:rPr>
        <w:t xml:space="preserve"> </w:t>
      </w:r>
      <w:r w:rsidRPr="27B4A244">
        <w:rPr>
          <w:rFonts w:eastAsia="Times New Roman"/>
          <w:b/>
          <w:bCs/>
        </w:rPr>
        <w:t>dose model</w:t>
      </w:r>
      <w:r w:rsidRPr="27B4A244">
        <w:rPr>
          <w:rFonts w:eastAsia="Times New Roman"/>
        </w:rPr>
        <w:t xml:space="preserve">.  The base model predicts the outcome using the immune correlate. </w:t>
      </w:r>
      <w:r w:rsidR="00AC4702">
        <w:rPr>
          <w:rFonts w:eastAsia="Times New Roman"/>
        </w:rPr>
        <w:t xml:space="preserve">The model is explained for the linear model, although more complicated models (see Section 6.4) may be used if feasible. </w:t>
      </w:r>
      <w:r w:rsidRPr="27B4A244">
        <w:rPr>
          <w:rFonts w:eastAsia="Times New Roman"/>
        </w:rPr>
        <w:t xml:space="preserve">For a continuous outcome like that described in Section 6.4.2, a linear model </w:t>
      </w:r>
      <w:r w:rsidR="142F9AB9" w:rsidRPr="27B4A244">
        <w:rPr>
          <w:rFonts w:eastAsia="Times New Roman"/>
        </w:rPr>
        <w:t xml:space="preserve">is fit </w:t>
      </w:r>
      <w:r w:rsidRPr="27B4A244">
        <w:rPr>
          <w:rFonts w:eastAsia="Times New Roman"/>
        </w:rPr>
        <w:t>with an intercept and a linear term for the immune correlate. To measure how much of the variance of the outcome is explained by the model an adjusted R square value</w:t>
      </w:r>
      <w:r w:rsidR="3DEBBB07" w:rsidRPr="27B4A244">
        <w:rPr>
          <w:rFonts w:eastAsia="Times New Roman"/>
        </w:rPr>
        <w:t xml:space="preserve"> is employed such that</w:t>
      </w:r>
      <w:r w:rsidRPr="27B4A244">
        <w:rPr>
          <w:rFonts w:eastAsia="Times New Roman"/>
        </w:rPr>
        <w:t>,</w:t>
      </w:r>
      <w:r w:rsidR="482EDABB" w:rsidRPr="27B4A244">
        <w:rPr>
          <w:rFonts w:eastAsia="Times New Roman"/>
        </w:rPr>
        <w:t xml:space="preserve"> </w:t>
      </w:r>
    </w:p>
    <w:p w14:paraId="3828E701" w14:textId="4FB97A6E" w:rsidR="00674A38" w:rsidRDefault="00674A38">
      <w:pPr>
        <w:spacing w:before="120" w:after="120" w:line="257" w:lineRule="auto"/>
        <w:jc w:val="center"/>
        <w:rPr>
          <w:rFonts w:eastAsia="Times New Roman"/>
          <w:szCs w:val="24"/>
        </w:rPr>
      </w:pPr>
    </w:p>
    <w:p w14:paraId="641E64A3" w14:textId="43D1D597" w:rsidR="00674A38" w:rsidRDefault="000522B7" w:rsidP="00674A38">
      <w:pPr>
        <w:spacing w:before="120" w:after="120" w:line="257" w:lineRule="auto"/>
        <w:jc w:val="center"/>
        <w:rPr>
          <w:rFonts w:eastAsia="Times New Roman"/>
          <w:szCs w:val="24"/>
        </w:rPr>
      </w:pPr>
      <m:oMathPara>
        <m:oMath>
          <m:sSubSup>
            <m:sSubSupPr>
              <m:ctrlPr>
                <w:rPr>
                  <w:rFonts w:ascii="Cambria Math" w:hAnsi="Cambria Math" w:cstheme="minorBidi"/>
                  <w:i/>
                  <w:sz w:val="22"/>
                  <w:szCs w:val="22"/>
                </w:rPr>
              </m:ctrlPr>
            </m:sSubSupPr>
            <m:e>
              <m:r>
                <w:rPr>
                  <w:rFonts w:ascii="Cambria Math" w:hAnsi="Cambria Math" w:cstheme="minorBidi"/>
                  <w:sz w:val="22"/>
                  <w:szCs w:val="22"/>
                </w:rPr>
                <m:t>R</m:t>
              </m:r>
            </m:e>
            <m:sub>
              <m:r>
                <w:rPr>
                  <w:rFonts w:ascii="Cambria Math" w:hAnsi="Cambria Math" w:cstheme="minorBidi"/>
                  <w:sz w:val="22"/>
                  <w:szCs w:val="22"/>
                </w:rPr>
                <m:t>a</m:t>
              </m:r>
            </m:sub>
            <m:sup>
              <m:r>
                <w:rPr>
                  <w:rFonts w:ascii="Cambria Math" w:hAnsi="Cambria Math" w:cstheme="minorBidi"/>
                  <w:sz w:val="22"/>
                  <w:szCs w:val="22"/>
                </w:rPr>
                <m:t>2</m:t>
              </m:r>
            </m:sup>
          </m:sSubSup>
          <m:r>
            <w:rPr>
              <w:rFonts w:ascii="Cambria Math" w:hAnsi="Cambria Math" w:cstheme="minorBidi"/>
              <w:sz w:val="22"/>
              <w:szCs w:val="22"/>
            </w:rPr>
            <m:t xml:space="preserve">=1- </m:t>
          </m:r>
          <m:f>
            <m:fPr>
              <m:ctrlPr>
                <w:rPr>
                  <w:rFonts w:ascii="Cambria Math" w:hAnsi="Cambria Math" w:cstheme="minorBidi"/>
                  <w:i/>
                  <w:sz w:val="22"/>
                  <w:szCs w:val="22"/>
                </w:rPr>
              </m:ctrlPr>
            </m:fPr>
            <m:num>
              <m:d>
                <m:dPr>
                  <m:ctrlPr>
                    <w:rPr>
                      <w:rFonts w:ascii="Cambria Math" w:hAnsi="Cambria Math" w:cstheme="minorBidi"/>
                      <w:i/>
                      <w:sz w:val="22"/>
                      <w:szCs w:val="22"/>
                    </w:rPr>
                  </m:ctrlPr>
                </m:dPr>
                <m:e>
                  <m:r>
                    <w:rPr>
                      <w:rFonts w:ascii="Cambria Math" w:hAnsi="Cambria Math" w:cstheme="minorBidi"/>
                      <w:sz w:val="22"/>
                      <w:szCs w:val="22"/>
                    </w:rPr>
                    <m:t>n-1</m:t>
                  </m:r>
                </m:e>
              </m:d>
              <m:sSup>
                <m:sSupPr>
                  <m:ctrlPr>
                    <w:rPr>
                      <w:rFonts w:ascii="Cambria Math" w:hAnsi="Cambria Math" w:cstheme="minorBidi"/>
                      <w:i/>
                      <w:sz w:val="22"/>
                      <w:szCs w:val="22"/>
                    </w:rPr>
                  </m:ctrlPr>
                </m:sSupPr>
                <m:e>
                  <m:r>
                    <w:rPr>
                      <w:rFonts w:ascii="Cambria Math" w:hAnsi="Cambria Math" w:cstheme="minorBidi"/>
                      <w:sz w:val="22"/>
                      <w:szCs w:val="22"/>
                    </w:rPr>
                    <m:t>(1-R</m:t>
                  </m:r>
                </m:e>
                <m:sup>
                  <m:r>
                    <w:rPr>
                      <w:rFonts w:ascii="Cambria Math" w:hAnsi="Cambria Math" w:cstheme="minorBidi"/>
                      <w:sz w:val="22"/>
                      <w:szCs w:val="22"/>
                    </w:rPr>
                    <m:t>2</m:t>
                  </m:r>
                </m:sup>
              </m:sSup>
              <m:r>
                <w:rPr>
                  <w:rFonts w:ascii="Cambria Math" w:hAnsi="Cambria Math" w:cstheme="minorBidi"/>
                  <w:sz w:val="22"/>
                  <w:szCs w:val="22"/>
                </w:rPr>
                <m:t>)</m:t>
              </m:r>
            </m:num>
            <m:den>
              <m:r>
                <w:rPr>
                  <w:rFonts w:ascii="Cambria Math" w:hAnsi="Cambria Math" w:cstheme="minorBidi"/>
                  <w:sz w:val="22"/>
                  <w:szCs w:val="22"/>
                </w:rPr>
                <m:t>(n-p)</m:t>
              </m:r>
            </m:den>
          </m:f>
        </m:oMath>
      </m:oMathPara>
    </w:p>
    <w:p w14:paraId="21CC6DCE" w14:textId="199AB9DC" w:rsidR="00C13F4C" w:rsidRDefault="6671638B" w:rsidP="032B93E0">
      <w:pPr>
        <w:spacing w:before="120" w:after="120" w:line="257" w:lineRule="auto"/>
        <w:rPr>
          <w:rFonts w:eastAsia="Times New Roman"/>
          <w:szCs w:val="24"/>
        </w:rPr>
      </w:pPr>
      <w:r w:rsidRPr="032B93E0">
        <w:rPr>
          <w:rFonts w:eastAsia="Times New Roman"/>
          <w:szCs w:val="24"/>
        </w:rPr>
        <w:t>where n is the sample size, and p is the number of parameters (including the intercept).  The base</w:t>
      </w:r>
      <w:r w:rsidR="709F8216" w:rsidRPr="032B93E0">
        <w:rPr>
          <w:rFonts w:eastAsia="Times New Roman"/>
          <w:szCs w:val="24"/>
        </w:rPr>
        <w:t xml:space="preserve"> </w:t>
      </w:r>
      <w:r w:rsidRPr="032B93E0">
        <w:rPr>
          <w:rFonts w:eastAsia="Times New Roman"/>
          <w:szCs w:val="24"/>
        </w:rPr>
        <w:t>+</w:t>
      </w:r>
      <w:r w:rsidR="6E14F0C3" w:rsidRPr="032B93E0">
        <w:rPr>
          <w:rFonts w:eastAsia="Times New Roman"/>
          <w:szCs w:val="24"/>
        </w:rPr>
        <w:t xml:space="preserve"> </w:t>
      </w:r>
      <w:r w:rsidRPr="032B93E0">
        <w:rPr>
          <w:rFonts w:eastAsia="Times New Roman"/>
          <w:szCs w:val="24"/>
        </w:rPr>
        <w:t xml:space="preserve">dose model is a linear model that allows a separate line of prediction of outcome by immune correlate for each dose </w:t>
      </w:r>
      <w:r w:rsidR="00AC4702">
        <w:rPr>
          <w:rFonts w:eastAsia="Times New Roman"/>
          <w:szCs w:val="24"/>
        </w:rPr>
        <w:t>score</w:t>
      </w:r>
      <w:r w:rsidR="00987DE2">
        <w:rPr>
          <w:rFonts w:eastAsia="Times New Roman"/>
          <w:szCs w:val="24"/>
        </w:rPr>
        <w:t xml:space="preserve"> (dose scores may have to be adjusted, if the estimated values of  </w:t>
      </w:r>
      <m:oMath>
        <m:sSub>
          <m:sSubPr>
            <m:ctrlPr>
              <w:rPr>
                <w:rFonts w:ascii="Cambria Math" w:eastAsia="Times New Roman" w:hAnsi="Cambria Math"/>
                <w:i/>
                <w:szCs w:val="24"/>
              </w:rPr>
            </m:ctrlPr>
          </m:sSubPr>
          <m:e>
            <m:r>
              <w:rPr>
                <w:rFonts w:ascii="Cambria Math" w:eastAsia="Times New Roman" w:hAnsi="Cambria Math"/>
                <w:szCs w:val="24"/>
              </w:rPr>
              <m:t>β</m:t>
            </m:r>
          </m:e>
          <m:sub>
            <m:r>
              <w:rPr>
                <w:rFonts w:ascii="Cambria Math" w:eastAsia="Times New Roman" w:hAnsi="Cambria Math"/>
                <w:szCs w:val="24"/>
              </w:rPr>
              <m:t>1</m:t>
            </m:r>
          </m:sub>
        </m:sSub>
        <m:r>
          <w:rPr>
            <w:rFonts w:ascii="Cambria Math" w:eastAsia="Times New Roman" w:hAnsi="Cambria Math"/>
            <w:szCs w:val="24"/>
          </w:rPr>
          <m:t>,</m:t>
        </m:r>
        <m:sSub>
          <m:sSubPr>
            <m:ctrlPr>
              <w:rPr>
                <w:rFonts w:ascii="Cambria Math" w:eastAsia="Times New Roman" w:hAnsi="Cambria Math"/>
                <w:i/>
                <w:szCs w:val="24"/>
              </w:rPr>
            </m:ctrlPr>
          </m:sSubPr>
          <m:e>
            <m:r>
              <w:rPr>
                <w:rFonts w:ascii="Cambria Math" w:eastAsia="Times New Roman" w:hAnsi="Cambria Math"/>
                <w:szCs w:val="24"/>
              </w:rPr>
              <m:t>β</m:t>
            </m:r>
          </m:e>
          <m:sub>
            <m:r>
              <w:rPr>
                <w:rFonts w:ascii="Cambria Math" w:eastAsia="Times New Roman" w:hAnsi="Cambria Math"/>
                <w:szCs w:val="24"/>
              </w:rPr>
              <m:t>2</m:t>
            </m:r>
          </m:sub>
        </m:sSub>
        <m:r>
          <w:rPr>
            <w:rFonts w:ascii="Cambria Math" w:eastAsia="Times New Roman" w:hAnsi="Cambria Math"/>
            <w:szCs w:val="24"/>
          </w:rPr>
          <m:t>,</m:t>
        </m:r>
        <m:sSub>
          <m:sSubPr>
            <m:ctrlPr>
              <w:rPr>
                <w:rFonts w:ascii="Cambria Math" w:eastAsia="Times New Roman" w:hAnsi="Cambria Math"/>
                <w:i/>
                <w:szCs w:val="24"/>
              </w:rPr>
            </m:ctrlPr>
          </m:sSubPr>
          <m:e>
            <m:r>
              <w:rPr>
                <w:rFonts w:ascii="Cambria Math" w:eastAsia="Times New Roman" w:hAnsi="Cambria Math"/>
                <w:szCs w:val="24"/>
              </w:rPr>
              <m:t>β</m:t>
            </m:r>
          </m:e>
          <m:sub>
            <m:r>
              <w:rPr>
                <w:rFonts w:ascii="Cambria Math" w:eastAsia="Times New Roman" w:hAnsi="Cambria Math"/>
                <w:szCs w:val="24"/>
              </w:rPr>
              <m:t>3</m:t>
            </m:r>
          </m:sub>
        </m:sSub>
        <m:r>
          <w:rPr>
            <w:rFonts w:ascii="Cambria Math" w:eastAsia="Times New Roman" w:hAnsi="Cambria Math"/>
            <w:szCs w:val="24"/>
          </w:rPr>
          <m:t>,</m:t>
        </m:r>
        <m:sSub>
          <m:sSubPr>
            <m:ctrlPr>
              <w:rPr>
                <w:rFonts w:ascii="Cambria Math" w:eastAsia="Times New Roman" w:hAnsi="Cambria Math"/>
                <w:i/>
                <w:szCs w:val="24"/>
              </w:rPr>
            </m:ctrlPr>
          </m:sSubPr>
          <m:e>
            <m:r>
              <w:rPr>
                <w:rFonts w:ascii="Cambria Math" w:eastAsia="Times New Roman" w:hAnsi="Cambria Math"/>
                <w:szCs w:val="24"/>
              </w:rPr>
              <m:t>β</m:t>
            </m:r>
          </m:e>
          <m:sub>
            <m:r>
              <w:rPr>
                <w:rFonts w:ascii="Cambria Math" w:eastAsia="Times New Roman" w:hAnsi="Cambria Math"/>
                <w:szCs w:val="24"/>
              </w:rPr>
              <m:t>4</m:t>
            </m:r>
          </m:sub>
        </m:sSub>
        <m:r>
          <w:rPr>
            <w:rFonts w:ascii="Cambria Math" w:eastAsia="Times New Roman" w:hAnsi="Cambria Math"/>
            <w:szCs w:val="24"/>
          </w:rPr>
          <m:t xml:space="preserve"> </m:t>
        </m:r>
      </m:oMath>
      <w:r w:rsidR="00987DE2">
        <w:rPr>
          <w:rFonts w:eastAsia="Times New Roman"/>
          <w:szCs w:val="24"/>
        </w:rPr>
        <w:t xml:space="preserve"> from the model in Section 6.3.1 are not approximately equal)</w:t>
      </w:r>
      <w:r w:rsidRPr="032B93E0">
        <w:rPr>
          <w:rFonts w:eastAsia="Times New Roman"/>
          <w:szCs w:val="24"/>
        </w:rPr>
        <w:t>. We get an adjusted R squared for the base</w:t>
      </w:r>
      <w:r w:rsidR="233A6634" w:rsidRPr="032B93E0">
        <w:rPr>
          <w:rFonts w:eastAsia="Times New Roman"/>
          <w:szCs w:val="24"/>
        </w:rPr>
        <w:t xml:space="preserve"> </w:t>
      </w:r>
      <w:r w:rsidRPr="032B93E0">
        <w:rPr>
          <w:rFonts w:eastAsia="Times New Roman"/>
          <w:szCs w:val="24"/>
        </w:rPr>
        <w:t>+</w:t>
      </w:r>
      <w:r w:rsidR="233A6634" w:rsidRPr="032B93E0">
        <w:rPr>
          <w:rFonts w:eastAsia="Times New Roman"/>
          <w:szCs w:val="24"/>
        </w:rPr>
        <w:t xml:space="preserve"> </w:t>
      </w:r>
      <w:r w:rsidRPr="032B93E0">
        <w:rPr>
          <w:rFonts w:eastAsia="Times New Roman"/>
          <w:szCs w:val="24"/>
        </w:rPr>
        <w:t>dose model. Then the percentage of variance explained by the immune correlate apart from the dose (PVE) is 100 times the adjusted R square value from the base model over the adjusted R squared values from the base</w:t>
      </w:r>
      <w:r w:rsidR="1F9B015B" w:rsidRPr="032B93E0">
        <w:rPr>
          <w:rFonts w:eastAsia="Times New Roman"/>
          <w:szCs w:val="24"/>
        </w:rPr>
        <w:t xml:space="preserve"> </w:t>
      </w:r>
      <w:r w:rsidRPr="032B93E0">
        <w:rPr>
          <w:rFonts w:eastAsia="Times New Roman"/>
          <w:szCs w:val="24"/>
        </w:rPr>
        <w:t>+</w:t>
      </w:r>
      <w:r w:rsidR="2FA26CAE" w:rsidRPr="032B93E0">
        <w:rPr>
          <w:rFonts w:eastAsia="Times New Roman"/>
          <w:szCs w:val="24"/>
        </w:rPr>
        <w:t xml:space="preserve"> </w:t>
      </w:r>
      <w:r w:rsidRPr="032B93E0">
        <w:rPr>
          <w:rFonts w:eastAsia="Times New Roman"/>
          <w:szCs w:val="24"/>
        </w:rPr>
        <w:t xml:space="preserve">dose model. </w:t>
      </w:r>
    </w:p>
    <w:p w14:paraId="7B5E62A5" w14:textId="5E41683C" w:rsidR="00C13F4C" w:rsidRDefault="6671638B" w:rsidP="27B4A244">
      <w:pPr>
        <w:spacing w:before="120" w:after="120" w:line="257" w:lineRule="auto"/>
        <w:rPr>
          <w:rFonts w:eastAsia="Times New Roman"/>
        </w:rPr>
      </w:pPr>
      <w:r w:rsidRPr="27B4A244">
        <w:rPr>
          <w:rFonts w:eastAsia="Times New Roman"/>
        </w:rPr>
        <w:t xml:space="preserve">For binary outcomes there is a slight variation of the method. </w:t>
      </w:r>
      <w:r w:rsidR="6E928D33" w:rsidRPr="27B4A244">
        <w:rPr>
          <w:rFonts w:eastAsia="Times New Roman"/>
        </w:rPr>
        <w:t>L</w:t>
      </w:r>
      <w:r w:rsidRPr="27B4A244">
        <w:rPr>
          <w:rFonts w:eastAsia="Times New Roman"/>
        </w:rPr>
        <w:t>ogistic regression</w:t>
      </w:r>
      <w:r w:rsidR="05E4E591" w:rsidRPr="27B4A244">
        <w:rPr>
          <w:rFonts w:eastAsia="Times New Roman"/>
        </w:rPr>
        <w:t xml:space="preserve"> </w:t>
      </w:r>
      <w:r w:rsidR="2F896F1F" w:rsidRPr="27B4A244">
        <w:rPr>
          <w:rFonts w:eastAsia="Times New Roman"/>
        </w:rPr>
        <w:t>is</w:t>
      </w:r>
      <w:r w:rsidR="05E4E591" w:rsidRPr="27B4A244">
        <w:rPr>
          <w:rFonts w:eastAsia="Times New Roman"/>
        </w:rPr>
        <w:t xml:space="preserve"> used</w:t>
      </w:r>
      <w:r w:rsidRPr="27B4A244">
        <w:rPr>
          <w:rFonts w:eastAsia="Times New Roman"/>
        </w:rPr>
        <w:t xml:space="preserve"> to predict the outcome in the two models, and the adjusted coefficient of discrimination (an analog to the adjusted R squared for use with logistic regression).  The case with the binary outcome was used in Fay et al (2012), where the PVE statistic was called the percent of prediction explained (PPE) and the base model was called ``Model 1’’ and the base</w:t>
      </w:r>
      <w:r w:rsidR="3998A05B" w:rsidRPr="27B4A244">
        <w:rPr>
          <w:rFonts w:eastAsia="Times New Roman"/>
        </w:rPr>
        <w:t xml:space="preserve"> </w:t>
      </w:r>
      <w:r w:rsidRPr="27B4A244">
        <w:rPr>
          <w:rFonts w:eastAsia="Times New Roman"/>
        </w:rPr>
        <w:t>+</w:t>
      </w:r>
      <w:r w:rsidR="2CB92CD8" w:rsidRPr="27B4A244">
        <w:rPr>
          <w:rFonts w:eastAsia="Times New Roman"/>
        </w:rPr>
        <w:t xml:space="preserve"> </w:t>
      </w:r>
      <w:r w:rsidRPr="27B4A244">
        <w:rPr>
          <w:rFonts w:eastAsia="Times New Roman"/>
        </w:rPr>
        <w:t>dose model was called ``Model 3’’.</w:t>
      </w:r>
    </w:p>
    <w:p w14:paraId="4F6E9258" w14:textId="4640E994" w:rsidR="00C13F4C" w:rsidRDefault="6E23C489" w:rsidP="27B4A244">
      <w:pPr>
        <w:spacing w:before="120" w:after="120" w:line="257" w:lineRule="auto"/>
        <w:rPr>
          <w:rFonts w:eastAsia="Times New Roman"/>
        </w:rPr>
      </w:pPr>
      <w:r w:rsidRPr="27B4A244">
        <w:rPr>
          <w:rFonts w:eastAsia="Times New Roman"/>
        </w:rPr>
        <w:t>C</w:t>
      </w:r>
      <w:r w:rsidR="6671638B" w:rsidRPr="27B4A244">
        <w:rPr>
          <w:rFonts w:eastAsia="Times New Roman"/>
        </w:rPr>
        <w:t xml:space="preserve">onfidence intervals on the PVE </w:t>
      </w:r>
      <w:r w:rsidR="3959FE1B" w:rsidRPr="27B4A244">
        <w:rPr>
          <w:rFonts w:eastAsia="Times New Roman"/>
        </w:rPr>
        <w:t xml:space="preserve">are calculated </w:t>
      </w:r>
      <w:r w:rsidR="6671638B" w:rsidRPr="27B4A244">
        <w:rPr>
          <w:rFonts w:eastAsia="Times New Roman"/>
        </w:rPr>
        <w:t xml:space="preserve">by using nonparametric bootstrap methods as in Fay </w:t>
      </w:r>
      <w:r w:rsidR="00487F63">
        <w:rPr>
          <w:rFonts w:eastAsia="Times New Roman"/>
        </w:rPr>
        <w:t>et al.,</w:t>
      </w:r>
      <w:r w:rsidR="6671638B" w:rsidRPr="27B4A244">
        <w:rPr>
          <w:rFonts w:eastAsia="Times New Roman"/>
        </w:rPr>
        <w:t xml:space="preserve"> (2012).   </w:t>
      </w:r>
      <w:r w:rsidR="00823B3A">
        <w:rPr>
          <w:rFonts w:eastAsia="Times New Roman"/>
        </w:rPr>
        <w:br/>
      </w:r>
    </w:p>
    <w:p w14:paraId="5D1BDEC5" w14:textId="37690313" w:rsidR="00C13F4C" w:rsidRDefault="44395AE0" w:rsidP="001235D1">
      <w:pPr>
        <w:pStyle w:val="Heading2"/>
        <w:spacing w:before="0"/>
        <w:rPr>
          <w:rFonts w:ascii="Times New Roman" w:eastAsia="Times New Roman" w:hAnsi="Times New Roman" w:cs="Times New Roman"/>
          <w:b/>
          <w:bCs/>
          <w:color w:val="auto"/>
          <w:sz w:val="24"/>
          <w:szCs w:val="24"/>
        </w:rPr>
      </w:pPr>
      <w:bookmarkStart w:id="56" w:name="_Toc60811600"/>
      <w:r w:rsidRPr="032B93E0">
        <w:rPr>
          <w:rFonts w:ascii="Times New Roman" w:eastAsia="Times New Roman" w:hAnsi="Times New Roman" w:cs="Times New Roman"/>
          <w:b/>
          <w:bCs/>
          <w:color w:val="auto"/>
          <w:sz w:val="24"/>
          <w:szCs w:val="24"/>
        </w:rPr>
        <w:t>6</w:t>
      </w:r>
      <w:r w:rsidR="6671638B" w:rsidRPr="032B93E0">
        <w:rPr>
          <w:rFonts w:ascii="Times New Roman" w:eastAsia="Times New Roman" w:hAnsi="Times New Roman" w:cs="Times New Roman"/>
          <w:b/>
          <w:bCs/>
          <w:color w:val="auto"/>
          <w:sz w:val="24"/>
          <w:szCs w:val="24"/>
        </w:rPr>
        <w:t>.6         Examining Differential Vaccine Effect</w:t>
      </w:r>
      <w:bookmarkEnd w:id="56"/>
    </w:p>
    <w:p w14:paraId="046F5E18" w14:textId="718CEBD9" w:rsidR="00C13F4C" w:rsidRDefault="6CEA2F80" w:rsidP="27B4A244">
      <w:pPr>
        <w:spacing w:before="120" w:after="120" w:line="257" w:lineRule="auto"/>
        <w:rPr>
          <w:rFonts w:eastAsia="Times New Roman"/>
        </w:rPr>
      </w:pPr>
      <w:r w:rsidRPr="134F9F9C">
        <w:rPr>
          <w:rFonts w:eastAsia="Times New Roman"/>
        </w:rPr>
        <w:t>One way of examining differential vaccine effects is to create two models to predict outcome using the combined data. The base</w:t>
      </w:r>
      <w:r w:rsidR="702E0D79" w:rsidRPr="134F9F9C">
        <w:rPr>
          <w:rFonts w:eastAsia="Times New Roman"/>
        </w:rPr>
        <w:t xml:space="preserve"> </w:t>
      </w:r>
      <w:r w:rsidRPr="134F9F9C">
        <w:rPr>
          <w:rFonts w:eastAsia="Times New Roman"/>
        </w:rPr>
        <w:t>+</w:t>
      </w:r>
      <w:r w:rsidR="1C6D4F55" w:rsidRPr="134F9F9C">
        <w:rPr>
          <w:rFonts w:eastAsia="Times New Roman"/>
        </w:rPr>
        <w:t xml:space="preserve"> </w:t>
      </w:r>
      <w:r w:rsidRPr="134F9F9C">
        <w:rPr>
          <w:rFonts w:eastAsia="Times New Roman"/>
        </w:rPr>
        <w:t xml:space="preserve">dose model uses the immune correlate plus the dose of the vaccine </w:t>
      </w:r>
      <w:r w:rsidR="18F98729" w:rsidRPr="134F9F9C">
        <w:rPr>
          <w:rFonts w:eastAsia="Times New Roman"/>
        </w:rPr>
        <w:t>with a degree of freedom</w:t>
      </w:r>
      <w:r w:rsidRPr="134F9F9C">
        <w:rPr>
          <w:rFonts w:eastAsia="Times New Roman"/>
        </w:rPr>
        <w:t xml:space="preserve"> for each dose score (see </w:t>
      </w:r>
      <w:r w:rsidRPr="0071149A">
        <w:rPr>
          <w:rFonts w:eastAsia="Times New Roman"/>
        </w:rPr>
        <w:t>Section 6.3</w:t>
      </w:r>
      <w:r w:rsidRPr="134F9F9C">
        <w:rPr>
          <w:rFonts w:eastAsia="Times New Roman"/>
        </w:rPr>
        <w:t xml:space="preserve"> for definition of the dose score). In the base</w:t>
      </w:r>
      <w:r w:rsidR="039C6481" w:rsidRPr="134F9F9C">
        <w:rPr>
          <w:rFonts w:eastAsia="Times New Roman"/>
        </w:rPr>
        <w:t xml:space="preserve"> </w:t>
      </w:r>
      <w:r w:rsidRPr="134F9F9C">
        <w:rPr>
          <w:rFonts w:eastAsia="Times New Roman"/>
        </w:rPr>
        <w:t>+</w:t>
      </w:r>
      <w:r w:rsidR="039C6481" w:rsidRPr="134F9F9C">
        <w:rPr>
          <w:rFonts w:eastAsia="Times New Roman"/>
        </w:rPr>
        <w:t xml:space="preserve"> </w:t>
      </w:r>
      <w:r w:rsidRPr="134F9F9C">
        <w:rPr>
          <w:rFonts w:eastAsia="Times New Roman"/>
        </w:rPr>
        <w:t xml:space="preserve">dose model, information </w:t>
      </w:r>
      <w:r w:rsidR="31CF01D7" w:rsidRPr="134F9F9C">
        <w:rPr>
          <w:rFonts w:eastAsia="Times New Roman"/>
        </w:rPr>
        <w:t>regarding the identity of the</w:t>
      </w:r>
      <w:r w:rsidRPr="134F9F9C">
        <w:rPr>
          <w:rFonts w:eastAsia="Times New Roman"/>
        </w:rPr>
        <w:t xml:space="preserve"> vaccine </w:t>
      </w:r>
      <w:r w:rsidR="4A30BCAE" w:rsidRPr="134F9F9C">
        <w:rPr>
          <w:rFonts w:eastAsia="Times New Roman"/>
        </w:rPr>
        <w:t>administered is not included</w:t>
      </w:r>
      <w:r w:rsidR="7FB1D333" w:rsidRPr="134F9F9C">
        <w:rPr>
          <w:rFonts w:eastAsia="Times New Roman"/>
        </w:rPr>
        <w:t xml:space="preserve"> in the analysis</w:t>
      </w:r>
      <w:r w:rsidR="4BA251C3" w:rsidRPr="134F9F9C">
        <w:rPr>
          <w:rFonts w:eastAsia="Times New Roman"/>
        </w:rPr>
        <w:t>,</w:t>
      </w:r>
      <w:r w:rsidR="4A30BCAE" w:rsidRPr="134F9F9C">
        <w:rPr>
          <w:rFonts w:eastAsia="Times New Roman"/>
        </w:rPr>
        <w:t xml:space="preserve"> </w:t>
      </w:r>
      <w:r w:rsidR="54FEC05B" w:rsidRPr="134F9F9C">
        <w:rPr>
          <w:rFonts w:eastAsia="Times New Roman"/>
        </w:rPr>
        <w:t>except in information captured in</w:t>
      </w:r>
      <w:r w:rsidRPr="134F9F9C">
        <w:rPr>
          <w:rFonts w:eastAsia="Times New Roman"/>
        </w:rPr>
        <w:t xml:space="preserve"> the dose score. For the second model, </w:t>
      </w:r>
      <w:r w:rsidR="48D8285B" w:rsidRPr="134F9F9C">
        <w:rPr>
          <w:rFonts w:eastAsia="Times New Roman"/>
        </w:rPr>
        <w:t>termed the</w:t>
      </w:r>
      <w:r w:rsidRPr="134F9F9C">
        <w:rPr>
          <w:rFonts w:eastAsia="Times New Roman"/>
        </w:rPr>
        <w:t xml:space="preserve"> base</w:t>
      </w:r>
      <w:r w:rsidR="5CABC0C5" w:rsidRPr="134F9F9C">
        <w:rPr>
          <w:rFonts w:eastAsia="Times New Roman"/>
        </w:rPr>
        <w:t xml:space="preserve"> </w:t>
      </w:r>
      <w:r w:rsidRPr="134F9F9C">
        <w:rPr>
          <w:rFonts w:eastAsia="Times New Roman"/>
        </w:rPr>
        <w:t>+</w:t>
      </w:r>
      <w:r w:rsidR="5CABC0C5" w:rsidRPr="134F9F9C">
        <w:rPr>
          <w:rFonts w:eastAsia="Times New Roman"/>
        </w:rPr>
        <w:t xml:space="preserve"> </w:t>
      </w:r>
      <w:r w:rsidRPr="134F9F9C">
        <w:rPr>
          <w:rFonts w:eastAsia="Times New Roman"/>
        </w:rPr>
        <w:t>dose</w:t>
      </w:r>
      <w:r w:rsidR="66D827B6" w:rsidRPr="134F9F9C">
        <w:rPr>
          <w:rFonts w:eastAsia="Times New Roman"/>
        </w:rPr>
        <w:t xml:space="preserve"> </w:t>
      </w:r>
      <w:r w:rsidRPr="134F9F9C">
        <w:rPr>
          <w:rFonts w:eastAsia="Times New Roman"/>
        </w:rPr>
        <w:t>+</w:t>
      </w:r>
      <w:r w:rsidR="66D827B6" w:rsidRPr="134F9F9C">
        <w:rPr>
          <w:rFonts w:eastAsia="Times New Roman"/>
        </w:rPr>
        <w:t xml:space="preserve"> </w:t>
      </w:r>
      <w:proofErr w:type="spellStart"/>
      <w:r w:rsidRPr="134F9F9C">
        <w:rPr>
          <w:rFonts w:eastAsia="Times New Roman"/>
        </w:rPr>
        <w:t>vacc</w:t>
      </w:r>
      <w:proofErr w:type="spellEnd"/>
      <w:r w:rsidRPr="134F9F9C">
        <w:rPr>
          <w:rFonts w:eastAsia="Times New Roman"/>
        </w:rPr>
        <w:t xml:space="preserve"> model, separate effects for each specific vaccine/dose score combination (i.e., a different linear model for each specific vaccine/dose)</w:t>
      </w:r>
      <w:r w:rsidR="20E613E9" w:rsidRPr="134F9F9C">
        <w:rPr>
          <w:rFonts w:eastAsia="Times New Roman"/>
        </w:rPr>
        <w:t xml:space="preserve"> will be included</w:t>
      </w:r>
      <w:r w:rsidRPr="134F9F9C">
        <w:rPr>
          <w:rFonts w:eastAsia="Times New Roman"/>
        </w:rPr>
        <w:t xml:space="preserve">.  </w:t>
      </w:r>
      <w:r w:rsidR="4C52F0B3" w:rsidRPr="134F9F9C">
        <w:rPr>
          <w:rFonts w:eastAsia="Times New Roman"/>
        </w:rPr>
        <w:t>L</w:t>
      </w:r>
      <w:r w:rsidRPr="134F9F9C">
        <w:rPr>
          <w:rFonts w:eastAsia="Times New Roman"/>
        </w:rPr>
        <w:t xml:space="preserve">inear models for numeric outcomes (e.g., Section </w:t>
      </w:r>
      <w:r w:rsidRPr="0071149A">
        <w:rPr>
          <w:rFonts w:eastAsia="Times New Roman"/>
        </w:rPr>
        <w:t>6.4.1</w:t>
      </w:r>
      <w:r w:rsidRPr="134F9F9C">
        <w:rPr>
          <w:rFonts w:eastAsia="Times New Roman"/>
        </w:rPr>
        <w:t xml:space="preserve">) or logistic models for binary outcomes (e.g., </w:t>
      </w:r>
      <w:r w:rsidRPr="0071149A">
        <w:rPr>
          <w:rFonts w:eastAsia="Times New Roman"/>
        </w:rPr>
        <w:t>Section 6.4.2</w:t>
      </w:r>
      <w:r w:rsidRPr="134F9F9C">
        <w:rPr>
          <w:rFonts w:eastAsia="Times New Roman"/>
        </w:rPr>
        <w:t>)</w:t>
      </w:r>
      <w:r w:rsidR="2AB86831" w:rsidRPr="134F9F9C">
        <w:rPr>
          <w:rFonts w:eastAsia="Times New Roman"/>
        </w:rPr>
        <w:t xml:space="preserve"> will be employed</w:t>
      </w:r>
      <w:r w:rsidRPr="134F9F9C">
        <w:rPr>
          <w:rFonts w:eastAsia="Times New Roman"/>
        </w:rPr>
        <w:t>.  In either case, the base</w:t>
      </w:r>
      <w:r w:rsidR="43859BF7" w:rsidRPr="134F9F9C">
        <w:rPr>
          <w:rFonts w:eastAsia="Times New Roman"/>
        </w:rPr>
        <w:t xml:space="preserve"> </w:t>
      </w:r>
      <w:r w:rsidRPr="134F9F9C">
        <w:rPr>
          <w:rFonts w:eastAsia="Times New Roman"/>
        </w:rPr>
        <w:t>+</w:t>
      </w:r>
      <w:r w:rsidR="5F3D8DD8" w:rsidRPr="134F9F9C">
        <w:rPr>
          <w:rFonts w:eastAsia="Times New Roman"/>
        </w:rPr>
        <w:t xml:space="preserve"> </w:t>
      </w:r>
      <w:r w:rsidRPr="134F9F9C">
        <w:rPr>
          <w:rFonts w:eastAsia="Times New Roman"/>
        </w:rPr>
        <w:t>dose model is a special case of the base</w:t>
      </w:r>
      <w:r w:rsidR="0E18B069" w:rsidRPr="134F9F9C">
        <w:rPr>
          <w:rFonts w:eastAsia="Times New Roman"/>
        </w:rPr>
        <w:t xml:space="preserve"> </w:t>
      </w:r>
      <w:r w:rsidRPr="134F9F9C">
        <w:rPr>
          <w:rFonts w:eastAsia="Times New Roman"/>
        </w:rPr>
        <w:t>+</w:t>
      </w:r>
      <w:r w:rsidR="0E18B069" w:rsidRPr="134F9F9C">
        <w:rPr>
          <w:rFonts w:eastAsia="Times New Roman"/>
        </w:rPr>
        <w:t xml:space="preserve"> </w:t>
      </w:r>
      <w:r w:rsidRPr="134F9F9C">
        <w:rPr>
          <w:rFonts w:eastAsia="Times New Roman"/>
        </w:rPr>
        <w:t>dose</w:t>
      </w:r>
      <w:r w:rsidR="54114D31" w:rsidRPr="134F9F9C">
        <w:rPr>
          <w:rFonts w:eastAsia="Times New Roman"/>
        </w:rPr>
        <w:t xml:space="preserve"> </w:t>
      </w:r>
      <w:r w:rsidRPr="134F9F9C">
        <w:rPr>
          <w:rFonts w:eastAsia="Times New Roman"/>
        </w:rPr>
        <w:t>+</w:t>
      </w:r>
      <w:r w:rsidR="54114D31" w:rsidRPr="134F9F9C">
        <w:rPr>
          <w:rFonts w:eastAsia="Times New Roman"/>
        </w:rPr>
        <w:t xml:space="preserve"> </w:t>
      </w:r>
      <w:proofErr w:type="spellStart"/>
      <w:r w:rsidRPr="134F9F9C">
        <w:rPr>
          <w:rFonts w:eastAsia="Times New Roman"/>
        </w:rPr>
        <w:t>vacc</w:t>
      </w:r>
      <w:proofErr w:type="spellEnd"/>
      <w:r w:rsidRPr="134F9F9C">
        <w:rPr>
          <w:rFonts w:eastAsia="Times New Roman"/>
        </w:rPr>
        <w:t xml:space="preserve"> model when the vaccine effects are the same.  Thus, we can test if the </w:t>
      </w:r>
      <w:r w:rsidRPr="134F9F9C">
        <w:rPr>
          <w:rFonts w:eastAsia="Times New Roman"/>
        </w:rPr>
        <w:lastRenderedPageBreak/>
        <w:t xml:space="preserve">specific vaccine information significantly improves the fit by using a likelihood ratio test. However, as with Section 4, whether there is a significant difference or not is not as important as how large the difference in effects is.  To measure the how large that difference is we use the Percent of Variance Explained (PVE) as was done in </w:t>
      </w:r>
      <w:r w:rsidRPr="0071149A">
        <w:rPr>
          <w:rFonts w:eastAsia="Times New Roman"/>
        </w:rPr>
        <w:t xml:space="preserve">Section </w:t>
      </w:r>
      <w:r w:rsidR="2BDA0610" w:rsidRPr="0071149A">
        <w:rPr>
          <w:rFonts w:eastAsia="Times New Roman"/>
        </w:rPr>
        <w:t>6.5</w:t>
      </w:r>
      <w:r w:rsidRPr="134F9F9C">
        <w:rPr>
          <w:rFonts w:eastAsia="Times New Roman"/>
        </w:rPr>
        <w:t>, except now the base</w:t>
      </w:r>
      <w:r w:rsidR="04B223DB" w:rsidRPr="134F9F9C">
        <w:rPr>
          <w:rFonts w:eastAsia="Times New Roman"/>
        </w:rPr>
        <w:t xml:space="preserve"> </w:t>
      </w:r>
      <w:r w:rsidRPr="134F9F9C">
        <w:rPr>
          <w:rFonts w:eastAsia="Times New Roman"/>
        </w:rPr>
        <w:t>+</w:t>
      </w:r>
      <w:r w:rsidR="2086A9D8" w:rsidRPr="134F9F9C">
        <w:rPr>
          <w:rFonts w:eastAsia="Times New Roman"/>
        </w:rPr>
        <w:t xml:space="preserve"> </w:t>
      </w:r>
      <w:r w:rsidRPr="134F9F9C">
        <w:rPr>
          <w:rFonts w:eastAsia="Times New Roman"/>
        </w:rPr>
        <w:t>dose model replaces the base model and the base</w:t>
      </w:r>
      <w:r w:rsidR="7D5E494F" w:rsidRPr="134F9F9C">
        <w:rPr>
          <w:rFonts w:eastAsia="Times New Roman"/>
        </w:rPr>
        <w:t xml:space="preserve"> </w:t>
      </w:r>
      <w:r w:rsidRPr="134F9F9C">
        <w:rPr>
          <w:rFonts w:eastAsia="Times New Roman"/>
        </w:rPr>
        <w:t>+</w:t>
      </w:r>
      <w:r w:rsidR="7B8DE5E3" w:rsidRPr="134F9F9C">
        <w:rPr>
          <w:rFonts w:eastAsia="Times New Roman"/>
        </w:rPr>
        <w:t xml:space="preserve"> </w:t>
      </w:r>
      <w:r w:rsidRPr="134F9F9C">
        <w:rPr>
          <w:rFonts w:eastAsia="Times New Roman"/>
        </w:rPr>
        <w:t>dose</w:t>
      </w:r>
      <w:r w:rsidR="056C6C48" w:rsidRPr="134F9F9C">
        <w:rPr>
          <w:rFonts w:eastAsia="Times New Roman"/>
        </w:rPr>
        <w:t xml:space="preserve"> </w:t>
      </w:r>
      <w:r w:rsidRPr="134F9F9C">
        <w:rPr>
          <w:rFonts w:eastAsia="Times New Roman"/>
        </w:rPr>
        <w:t>+</w:t>
      </w:r>
      <w:r w:rsidR="4E19B079" w:rsidRPr="134F9F9C">
        <w:rPr>
          <w:rFonts w:eastAsia="Times New Roman"/>
        </w:rPr>
        <w:t xml:space="preserve"> </w:t>
      </w:r>
      <w:proofErr w:type="spellStart"/>
      <w:r w:rsidRPr="134F9F9C">
        <w:rPr>
          <w:rFonts w:eastAsia="Times New Roman"/>
        </w:rPr>
        <w:t>vacc</w:t>
      </w:r>
      <w:proofErr w:type="spellEnd"/>
      <w:r w:rsidRPr="134F9F9C">
        <w:rPr>
          <w:rFonts w:eastAsia="Times New Roman"/>
        </w:rPr>
        <w:t xml:space="preserve"> model replaces the base</w:t>
      </w:r>
      <w:r w:rsidR="21D4AD90" w:rsidRPr="134F9F9C">
        <w:rPr>
          <w:rFonts w:eastAsia="Times New Roman"/>
        </w:rPr>
        <w:t xml:space="preserve"> </w:t>
      </w:r>
      <w:r w:rsidRPr="134F9F9C">
        <w:rPr>
          <w:rFonts w:eastAsia="Times New Roman"/>
        </w:rPr>
        <w:t>+</w:t>
      </w:r>
      <w:r w:rsidR="5D1264BF" w:rsidRPr="134F9F9C">
        <w:rPr>
          <w:rFonts w:eastAsia="Times New Roman"/>
        </w:rPr>
        <w:t xml:space="preserve"> </w:t>
      </w:r>
      <w:r w:rsidRPr="134F9F9C">
        <w:rPr>
          <w:rFonts w:eastAsia="Times New Roman"/>
        </w:rPr>
        <w:t xml:space="preserve">dose model.  Inferences on the PVE will use nonparametric bootstrap as in </w:t>
      </w:r>
      <w:r w:rsidRPr="0071149A">
        <w:rPr>
          <w:rFonts w:eastAsia="Times New Roman"/>
        </w:rPr>
        <w:t>Section 6.5</w:t>
      </w:r>
      <w:r w:rsidRPr="134F9F9C">
        <w:rPr>
          <w:rFonts w:eastAsia="Times New Roman"/>
        </w:rPr>
        <w:t xml:space="preserve">. </w:t>
      </w:r>
      <w:r w:rsidR="00823B3A">
        <w:rPr>
          <w:rFonts w:eastAsia="Times New Roman"/>
        </w:rPr>
        <w:br/>
      </w:r>
    </w:p>
    <w:p w14:paraId="7381B946" w14:textId="10C764C6" w:rsidR="00C13F4C" w:rsidRDefault="44D11143" w:rsidP="032B93E0">
      <w:pPr>
        <w:pStyle w:val="Heading2"/>
        <w:rPr>
          <w:rFonts w:ascii="Times New Roman" w:eastAsia="Times New Roman" w:hAnsi="Times New Roman" w:cs="Times New Roman"/>
          <w:b/>
          <w:bCs/>
          <w:color w:val="auto"/>
          <w:sz w:val="24"/>
          <w:szCs w:val="24"/>
        </w:rPr>
      </w:pPr>
      <w:bookmarkStart w:id="57" w:name="_Toc60811601"/>
      <w:r w:rsidRPr="134F9F9C">
        <w:rPr>
          <w:rFonts w:ascii="Times New Roman" w:eastAsia="Times New Roman" w:hAnsi="Times New Roman" w:cs="Times New Roman"/>
          <w:b/>
          <w:bCs/>
          <w:color w:val="auto"/>
          <w:sz w:val="24"/>
          <w:szCs w:val="24"/>
        </w:rPr>
        <w:t>6</w:t>
      </w:r>
      <w:r w:rsidR="6CEA2F80" w:rsidRPr="134F9F9C">
        <w:rPr>
          <w:rFonts w:ascii="Times New Roman" w:eastAsia="Times New Roman" w:hAnsi="Times New Roman" w:cs="Times New Roman"/>
          <w:b/>
          <w:bCs/>
          <w:color w:val="auto"/>
          <w:sz w:val="24"/>
          <w:szCs w:val="24"/>
        </w:rPr>
        <w:t>.7         Studying Two Immune Correlates at Once</w:t>
      </w:r>
      <w:bookmarkEnd w:id="57"/>
    </w:p>
    <w:p w14:paraId="5E82BB3B" w14:textId="2322DFB1" w:rsidR="00C13F4C" w:rsidRDefault="6671638B" w:rsidP="27B4A244">
      <w:pPr>
        <w:spacing w:before="120" w:after="120" w:line="257" w:lineRule="auto"/>
        <w:rPr>
          <w:rFonts w:eastAsia="Times New Roman"/>
        </w:rPr>
      </w:pPr>
      <w:r w:rsidRPr="27B4A244">
        <w:rPr>
          <w:rFonts w:eastAsia="Times New Roman"/>
        </w:rPr>
        <w:t>As exploratory analyses, Sections 6.4</w:t>
      </w:r>
      <w:r w:rsidR="407188A4" w:rsidRPr="27B4A244">
        <w:rPr>
          <w:rFonts w:eastAsia="Times New Roman"/>
        </w:rPr>
        <w:t xml:space="preserve"> </w:t>
      </w:r>
      <w:r w:rsidRPr="27B4A244">
        <w:rPr>
          <w:rFonts w:eastAsia="Times New Roman"/>
        </w:rPr>
        <w:t>-</w:t>
      </w:r>
      <w:r w:rsidR="63DC7C06" w:rsidRPr="27B4A244">
        <w:rPr>
          <w:rFonts w:eastAsia="Times New Roman"/>
        </w:rPr>
        <w:t xml:space="preserve"> </w:t>
      </w:r>
      <w:r w:rsidRPr="27B4A244">
        <w:rPr>
          <w:rFonts w:eastAsia="Times New Roman"/>
        </w:rPr>
        <w:t>6.6 may be repeated by trying two immune correlates in a model at a time.  We will not select from only the best fitting single correlates, because the best pair may come from two</w:t>
      </w:r>
      <w:r w:rsidR="681A21C4" w:rsidRPr="27B4A244">
        <w:rPr>
          <w:rFonts w:eastAsia="Times New Roman"/>
        </w:rPr>
        <w:t>.</w:t>
      </w:r>
      <w:r w:rsidRPr="27B4A244">
        <w:rPr>
          <w:rFonts w:eastAsia="Times New Roman"/>
        </w:rPr>
        <w:t xml:space="preserve">  For example, one immune correlate related to antibody response and one immune correlated related to T cell response. </w:t>
      </w:r>
      <w:r w:rsidR="008D7E68">
        <w:rPr>
          <w:rFonts w:eastAsia="Times New Roman"/>
        </w:rPr>
        <w:t>For some of the simple linear models, t</w:t>
      </w:r>
      <w:r w:rsidRPr="27B4A244">
        <w:rPr>
          <w:rFonts w:eastAsia="Times New Roman"/>
        </w:rPr>
        <w:t>he statistical methods are essentially the same, except</w:t>
      </w:r>
      <w:r w:rsidR="00987DE2">
        <w:rPr>
          <w:rFonts w:eastAsia="Times New Roman"/>
        </w:rPr>
        <w:t xml:space="preserve"> for example,</w:t>
      </w:r>
      <w:r w:rsidRPr="27B4A244">
        <w:rPr>
          <w:rFonts w:eastAsia="Times New Roman"/>
        </w:rPr>
        <w:t xml:space="preserve"> the linear predictor part of the model now has a term for each of the two immune correlates instead of only one.  </w:t>
      </w:r>
      <w:r w:rsidR="008D7E68">
        <w:rPr>
          <w:rFonts w:eastAsia="Times New Roman"/>
        </w:rPr>
        <w:t xml:space="preserve">More complicated models may not be feasible with two markers (e.g., segmented line regression). </w:t>
      </w:r>
      <w:r w:rsidRPr="27B4A244">
        <w:rPr>
          <w:rFonts w:eastAsia="Times New Roman"/>
        </w:rPr>
        <w:t xml:space="preserve">Additionally, an interaction term may be added. </w:t>
      </w:r>
    </w:p>
    <w:p w14:paraId="5409B840" w14:textId="2FC2ECBE" w:rsidR="00C13F4C" w:rsidRDefault="72683D7E" w:rsidP="032B93E0">
      <w:pPr>
        <w:pStyle w:val="Heading2"/>
        <w:rPr>
          <w:rFonts w:ascii="Times New Roman" w:eastAsia="Times New Roman" w:hAnsi="Times New Roman" w:cs="Times New Roman"/>
          <w:b/>
          <w:bCs/>
          <w:color w:val="auto"/>
          <w:sz w:val="24"/>
          <w:szCs w:val="24"/>
        </w:rPr>
      </w:pPr>
      <w:bookmarkStart w:id="58" w:name="_Toc60811602"/>
      <w:r w:rsidRPr="032B93E0">
        <w:rPr>
          <w:rFonts w:ascii="Times New Roman" w:eastAsia="Times New Roman" w:hAnsi="Times New Roman" w:cs="Times New Roman"/>
          <w:b/>
          <w:bCs/>
          <w:color w:val="auto"/>
          <w:sz w:val="24"/>
          <w:szCs w:val="24"/>
        </w:rPr>
        <w:t>6</w:t>
      </w:r>
      <w:r w:rsidR="6671638B" w:rsidRPr="032B93E0">
        <w:rPr>
          <w:rFonts w:ascii="Times New Roman" w:eastAsia="Times New Roman" w:hAnsi="Times New Roman" w:cs="Times New Roman"/>
          <w:b/>
          <w:bCs/>
          <w:color w:val="auto"/>
          <w:sz w:val="24"/>
          <w:szCs w:val="24"/>
        </w:rPr>
        <w:t>.8         Cross Validation Prediction using Vaccine Product</w:t>
      </w:r>
      <w:bookmarkEnd w:id="58"/>
    </w:p>
    <w:p w14:paraId="66B61FE6" w14:textId="45983864" w:rsidR="00F24ABB" w:rsidRDefault="00D6435A" w:rsidP="032B93E0">
      <w:pPr>
        <w:spacing w:before="120" w:after="120" w:line="257" w:lineRule="auto"/>
        <w:rPr>
          <w:rFonts w:eastAsia="Times New Roman"/>
        </w:rPr>
      </w:pPr>
      <w:r>
        <w:rPr>
          <w:rFonts w:eastAsia="Times New Roman"/>
        </w:rPr>
        <w:t>T</w:t>
      </w:r>
      <w:r w:rsidR="6CEA2F80" w:rsidRPr="134F9F9C">
        <w:rPr>
          <w:rFonts w:eastAsia="Times New Roman"/>
        </w:rPr>
        <w:t>o explore the robustness of the prediction, a cross validation analysis using the 4 vaccine products</w:t>
      </w:r>
      <w:r w:rsidR="252C8CED" w:rsidRPr="134F9F9C">
        <w:rPr>
          <w:rFonts w:eastAsia="Times New Roman"/>
        </w:rPr>
        <w:t xml:space="preserve"> will be explored</w:t>
      </w:r>
      <w:r w:rsidR="6CEA2F80" w:rsidRPr="134F9F9C">
        <w:rPr>
          <w:rFonts w:eastAsia="Times New Roman"/>
        </w:rPr>
        <w:t>. Specifically, a prediction model</w:t>
      </w:r>
      <w:r w:rsidR="2AC6876C" w:rsidRPr="134F9F9C">
        <w:rPr>
          <w:rFonts w:eastAsia="Times New Roman"/>
        </w:rPr>
        <w:t xml:space="preserve"> for the outcome will be created</w:t>
      </w:r>
      <w:r w:rsidR="6CEA2F80" w:rsidRPr="134F9F9C">
        <w:rPr>
          <w:rFonts w:eastAsia="Times New Roman"/>
        </w:rPr>
        <w:t xml:space="preserve"> using a correlate </w:t>
      </w:r>
      <w:r w:rsidR="74D63C62" w:rsidRPr="134F9F9C">
        <w:rPr>
          <w:rFonts w:eastAsia="Times New Roman"/>
        </w:rPr>
        <w:t>based on</w:t>
      </w:r>
      <w:r w:rsidR="6CEA2F80" w:rsidRPr="134F9F9C">
        <w:rPr>
          <w:rFonts w:eastAsia="Times New Roman"/>
        </w:rPr>
        <w:t xml:space="preserve"> data from all but one of the vaccine products</w:t>
      </w:r>
      <w:r w:rsidR="26A9AC35" w:rsidRPr="134F9F9C">
        <w:rPr>
          <w:rFonts w:eastAsia="Times New Roman"/>
        </w:rPr>
        <w:t xml:space="preserve"> (e.g., the final selected model in Section 6.41 or 6.4.2). </w:t>
      </w:r>
      <w:r w:rsidR="6CEA2F80" w:rsidRPr="134F9F9C">
        <w:rPr>
          <w:rFonts w:eastAsia="Times New Roman"/>
        </w:rPr>
        <w:t xml:space="preserve"> Then that model </w:t>
      </w:r>
      <w:r w:rsidR="1A687727" w:rsidRPr="134F9F9C">
        <w:rPr>
          <w:rFonts w:eastAsia="Times New Roman"/>
        </w:rPr>
        <w:t xml:space="preserve">will be used </w:t>
      </w:r>
      <w:r w:rsidR="6CEA2F80" w:rsidRPr="134F9F9C">
        <w:rPr>
          <w:rFonts w:eastAsia="Times New Roman"/>
        </w:rPr>
        <w:t xml:space="preserve">to predict the outcome in animals that got the vaccine product that was not used to build the model.  We will use agreement measures to predict how well the modelled outcomes predict the observed outcomes (in the animals that got the vaccine product left out of the prediction model).  We will use the RMAC (random marginal agreement coefficient) versions of the concordance correlation coefficient for numeric responses or the RMAC Cohen’s Kappa coefficient for binary responses.  RMAC are the same as the usual agreement coefficients when the distribution of the predicted outcomes equal the distribution of the observed outcomes, but when those distributions differ the RMAC are slightly better because they do not imply greater agreement when those distributions disagree more (Fay, 2005).  </w:t>
      </w:r>
      <w:r w:rsidR="79D19865" w:rsidRPr="134F9F9C">
        <w:rPr>
          <w:rFonts w:eastAsia="Times New Roman"/>
        </w:rPr>
        <w:t>T</w:t>
      </w:r>
      <w:r w:rsidR="6CEA2F80" w:rsidRPr="134F9F9C">
        <w:rPr>
          <w:rFonts w:eastAsia="Times New Roman"/>
        </w:rPr>
        <w:t xml:space="preserve">his </w:t>
      </w:r>
      <w:proofErr w:type="gramStart"/>
      <w:r w:rsidR="6CEA2F80" w:rsidRPr="134F9F9C">
        <w:rPr>
          <w:rFonts w:eastAsia="Times New Roman"/>
        </w:rPr>
        <w:t>cross</w:t>
      </w:r>
      <w:r w:rsidR="4C21C8AC" w:rsidRPr="134F9F9C">
        <w:rPr>
          <w:rFonts w:eastAsia="Times New Roman"/>
        </w:rPr>
        <w:t xml:space="preserve"> </w:t>
      </w:r>
      <w:r w:rsidR="6CEA2F80" w:rsidRPr="134F9F9C">
        <w:rPr>
          <w:rFonts w:eastAsia="Times New Roman"/>
        </w:rPr>
        <w:t>validation</w:t>
      </w:r>
      <w:proofErr w:type="gramEnd"/>
      <w:r w:rsidR="6CEA2F80" w:rsidRPr="134F9F9C">
        <w:rPr>
          <w:rFonts w:eastAsia="Times New Roman"/>
        </w:rPr>
        <w:t xml:space="preserve"> prediction </w:t>
      </w:r>
      <w:r w:rsidR="5FC6D49F" w:rsidRPr="134F9F9C">
        <w:rPr>
          <w:rFonts w:eastAsia="Times New Roman"/>
        </w:rPr>
        <w:t xml:space="preserve">will be repeated </w:t>
      </w:r>
      <w:r w:rsidR="6CEA2F80" w:rsidRPr="134F9F9C">
        <w:rPr>
          <w:rFonts w:eastAsia="Times New Roman"/>
        </w:rPr>
        <w:t>for each vaccine product.  See Fay, et al</w:t>
      </w:r>
      <w:r w:rsidR="6A4EAD06" w:rsidRPr="134F9F9C">
        <w:rPr>
          <w:rFonts w:eastAsia="Times New Roman"/>
        </w:rPr>
        <w:t>.,</w:t>
      </w:r>
      <w:r w:rsidR="6CEA2F80" w:rsidRPr="134F9F9C">
        <w:rPr>
          <w:rFonts w:eastAsia="Times New Roman"/>
        </w:rPr>
        <w:t xml:space="preserve"> (2012), for a similar idea predicting outcome in different species.  We use a nonparametric bootstrap to perform the inferences.</w:t>
      </w:r>
    </w:p>
    <w:p w14:paraId="11BAC63F" w14:textId="77777777" w:rsidR="00F24ABB" w:rsidRDefault="00F24ABB" w:rsidP="032B93E0">
      <w:pPr>
        <w:spacing w:before="120" w:after="120" w:line="257" w:lineRule="auto"/>
        <w:rPr>
          <w:rFonts w:eastAsia="Times New Roman"/>
        </w:rPr>
      </w:pPr>
    </w:p>
    <w:p w14:paraId="5A372BC7" w14:textId="0A10EBF3" w:rsidR="00F24ABB" w:rsidRDefault="00F24ABB" w:rsidP="032B93E0">
      <w:pPr>
        <w:spacing w:before="120" w:after="120" w:line="257" w:lineRule="auto"/>
        <w:rPr>
          <w:rFonts w:eastAsia="Times New Roman"/>
        </w:rPr>
      </w:pPr>
      <w:r>
        <w:rPr>
          <w:rFonts w:eastAsia="Times New Roman"/>
        </w:rPr>
        <w:t xml:space="preserve">These types of cross validation prediction </w:t>
      </w:r>
      <w:r w:rsidR="008D7E68">
        <w:rPr>
          <w:rFonts w:eastAsia="Times New Roman"/>
        </w:rPr>
        <w:t xml:space="preserve">may also be done </w:t>
      </w:r>
      <w:r>
        <w:rPr>
          <w:rFonts w:eastAsia="Times New Roman"/>
        </w:rPr>
        <w:t xml:space="preserve">for pairs of vaccine products. For example, build a prediction model using data from Vaccine A and use it to predict Vaccine B, predict using Vaccine A to predict Vaccine C, etc. </w:t>
      </w:r>
    </w:p>
    <w:p w14:paraId="63766177" w14:textId="77777777" w:rsidR="00F24ABB" w:rsidRDefault="00F24ABB" w:rsidP="032B93E0">
      <w:pPr>
        <w:spacing w:before="120" w:after="120" w:line="257" w:lineRule="auto"/>
        <w:rPr>
          <w:rFonts w:eastAsia="Times New Roman"/>
          <w:szCs w:val="24"/>
        </w:rPr>
      </w:pPr>
    </w:p>
    <w:p w14:paraId="3BED96E1" w14:textId="047917D4" w:rsidR="00C13F4C" w:rsidRDefault="222FA691" w:rsidP="032B93E0">
      <w:pPr>
        <w:pStyle w:val="Heading2"/>
        <w:rPr>
          <w:rFonts w:ascii="Times New Roman" w:eastAsia="Times New Roman" w:hAnsi="Times New Roman" w:cs="Times New Roman"/>
          <w:color w:val="auto"/>
          <w:sz w:val="24"/>
          <w:szCs w:val="24"/>
        </w:rPr>
      </w:pPr>
      <w:bookmarkStart w:id="59" w:name="_Toc60811603"/>
      <w:r w:rsidRPr="032B93E0">
        <w:rPr>
          <w:rFonts w:ascii="Times New Roman" w:eastAsia="Times New Roman" w:hAnsi="Times New Roman" w:cs="Times New Roman"/>
          <w:b/>
          <w:bCs/>
          <w:color w:val="auto"/>
          <w:sz w:val="24"/>
          <w:szCs w:val="24"/>
        </w:rPr>
        <w:t>6</w:t>
      </w:r>
      <w:r w:rsidR="6671638B" w:rsidRPr="032B93E0">
        <w:rPr>
          <w:rFonts w:ascii="Times New Roman" w:eastAsia="Times New Roman" w:hAnsi="Times New Roman" w:cs="Times New Roman"/>
          <w:b/>
          <w:bCs/>
          <w:color w:val="auto"/>
          <w:sz w:val="24"/>
          <w:szCs w:val="24"/>
        </w:rPr>
        <w:t xml:space="preserve">.9         </w:t>
      </w:r>
      <w:r w:rsidR="00552D51">
        <w:rPr>
          <w:rFonts w:ascii="Times New Roman" w:eastAsia="Times New Roman" w:hAnsi="Times New Roman" w:cs="Times New Roman"/>
          <w:b/>
          <w:bCs/>
          <w:color w:val="auto"/>
          <w:sz w:val="24"/>
          <w:szCs w:val="24"/>
        </w:rPr>
        <w:t>Comparison</w:t>
      </w:r>
      <w:r w:rsidR="6671638B" w:rsidRPr="032B93E0">
        <w:rPr>
          <w:rFonts w:ascii="Times New Roman" w:eastAsia="Times New Roman" w:hAnsi="Times New Roman" w:cs="Times New Roman"/>
          <w:b/>
          <w:bCs/>
          <w:color w:val="auto"/>
          <w:sz w:val="24"/>
          <w:szCs w:val="24"/>
        </w:rPr>
        <w:t xml:space="preserve"> with the Human Correlates Stud</w:t>
      </w:r>
      <w:r w:rsidR="00B56C78">
        <w:rPr>
          <w:rFonts w:ascii="Times New Roman" w:eastAsia="Times New Roman" w:hAnsi="Times New Roman" w:cs="Times New Roman"/>
          <w:b/>
          <w:bCs/>
          <w:color w:val="auto"/>
          <w:sz w:val="24"/>
          <w:szCs w:val="24"/>
        </w:rPr>
        <w:t>ies</w:t>
      </w:r>
      <w:bookmarkEnd w:id="59"/>
    </w:p>
    <w:p w14:paraId="791335CE" w14:textId="19BD6D78" w:rsidR="00C13F4C" w:rsidRDefault="004B59F3" w:rsidP="032B93E0">
      <w:pPr>
        <w:spacing w:before="120" w:after="120" w:line="257" w:lineRule="auto"/>
        <w:rPr>
          <w:rFonts w:eastAsia="Times New Roman"/>
          <w:szCs w:val="24"/>
        </w:rPr>
      </w:pPr>
      <w:r>
        <w:rPr>
          <w:rFonts w:eastAsia="Times New Roman"/>
          <w:szCs w:val="24"/>
        </w:rPr>
        <w:t xml:space="preserve">Additional analyses may be added to facilitate comparison with human studies, either the large human correlates study </w:t>
      </w:r>
      <w:r w:rsidR="00B56C78">
        <w:rPr>
          <w:rFonts w:eastAsia="Times New Roman"/>
          <w:szCs w:val="24"/>
        </w:rPr>
        <w:t xml:space="preserve">that is part of the US Federal response (formerly OWS), or other human </w:t>
      </w:r>
      <w:r w:rsidR="00B56C78">
        <w:rPr>
          <w:rFonts w:eastAsia="Times New Roman"/>
          <w:szCs w:val="24"/>
        </w:rPr>
        <w:lastRenderedPageBreak/>
        <w:t>studies such as challenge studies.</w:t>
      </w:r>
      <w:r>
        <w:rPr>
          <w:rFonts w:eastAsia="Times New Roman"/>
          <w:szCs w:val="24"/>
        </w:rPr>
        <w:t xml:space="preserve"> </w:t>
      </w:r>
      <w:r w:rsidR="6671638B" w:rsidRPr="032B93E0">
        <w:rPr>
          <w:rFonts w:eastAsia="Times New Roman"/>
          <w:szCs w:val="24"/>
        </w:rPr>
        <w:t xml:space="preserve">One possibility </w:t>
      </w:r>
      <w:r w:rsidR="00B56C78">
        <w:rPr>
          <w:rFonts w:eastAsia="Times New Roman"/>
          <w:szCs w:val="24"/>
        </w:rPr>
        <w:t xml:space="preserve">for an analysis between the NHP and human studies </w:t>
      </w:r>
      <w:r w:rsidR="6671638B" w:rsidRPr="032B93E0">
        <w:rPr>
          <w:rFonts w:eastAsia="Times New Roman"/>
          <w:szCs w:val="24"/>
        </w:rPr>
        <w:t>is the following. If the outcome is binary, let Y=1 or Y=0 represent the presence or absence of the outcome event (e.g., detectable viral load at day 2 from nasal swab</w:t>
      </w:r>
      <w:r w:rsidR="00B56C78">
        <w:rPr>
          <w:rFonts w:eastAsia="Times New Roman"/>
          <w:szCs w:val="24"/>
        </w:rPr>
        <w:t xml:space="preserve"> in the NHP study, or detection of natural COVID disease during a specified time period in </w:t>
      </w:r>
      <w:r w:rsidR="009E3A84">
        <w:rPr>
          <w:rFonts w:eastAsia="Times New Roman"/>
          <w:szCs w:val="24"/>
        </w:rPr>
        <w:t xml:space="preserve">the human </w:t>
      </w:r>
      <w:r w:rsidR="00B56C78">
        <w:rPr>
          <w:rFonts w:eastAsia="Times New Roman"/>
          <w:szCs w:val="24"/>
        </w:rPr>
        <w:t>randomized trial</w:t>
      </w:r>
      <w:r w:rsidR="009E3A84">
        <w:rPr>
          <w:rFonts w:eastAsia="Times New Roman"/>
          <w:szCs w:val="24"/>
        </w:rPr>
        <w:t>s</w:t>
      </w:r>
      <w:r w:rsidR="6671638B" w:rsidRPr="032B93E0">
        <w:rPr>
          <w:rFonts w:eastAsia="Times New Roman"/>
          <w:szCs w:val="24"/>
        </w:rPr>
        <w:t xml:space="preserve">) for a random individual. Let S and W represent the correlate and a set of baseline covariates, respectively. </w:t>
      </w:r>
      <w:r w:rsidR="00483959">
        <w:rPr>
          <w:rFonts w:eastAsia="Times New Roman"/>
          <w:szCs w:val="24"/>
        </w:rPr>
        <w:t xml:space="preserve"> It is possible that there will be no useful set of baseline covariates, so that W is not used. </w:t>
      </w:r>
      <w:r w:rsidR="6671638B" w:rsidRPr="032B93E0">
        <w:rPr>
          <w:rFonts w:eastAsia="Times New Roman"/>
          <w:szCs w:val="24"/>
        </w:rPr>
        <w:t xml:space="preserve">The </w:t>
      </w:r>
      <w:r w:rsidR="6671638B" w:rsidRPr="00674A38">
        <w:rPr>
          <w:rFonts w:eastAsia="Times New Roman"/>
          <w:szCs w:val="24"/>
        </w:rPr>
        <w:t xml:space="preserve">parameters of interest estimated by logistic regression could be the expected probability of the event given the S=s averaged over the baseline covariate. In statistical notation, that is </w:t>
      </w:r>
    </w:p>
    <w:p w14:paraId="6810DACC" w14:textId="0346BE7E" w:rsidR="00C13F4C" w:rsidRPr="00674A38" w:rsidRDefault="2860CF20" w:rsidP="00674A38">
      <w:pPr>
        <w:spacing w:before="120" w:after="120" w:line="257" w:lineRule="auto"/>
        <w:jc w:val="center"/>
        <w:rPr>
          <w:rFonts w:eastAsia="Times New Roman"/>
          <w:szCs w:val="24"/>
        </w:rPr>
      </w:pPr>
      <w:r w:rsidRPr="032B93E0">
        <w:rPr>
          <w:rFonts w:eastAsia="Times New Roman"/>
          <w:szCs w:val="24"/>
        </w:rPr>
        <w:t>E</w:t>
      </w:r>
      <w:r w:rsidRPr="00674A38">
        <w:rPr>
          <w:rFonts w:eastAsia="Times New Roman"/>
          <w:szCs w:val="24"/>
          <w:vertAlign w:val="subscript"/>
        </w:rPr>
        <w:t>W</w:t>
      </w:r>
      <w:r w:rsidRPr="032B93E0">
        <w:rPr>
          <w:rFonts w:eastAsia="Times New Roman"/>
          <w:szCs w:val="24"/>
        </w:rPr>
        <w:t>[P(Y=1|S=</w:t>
      </w:r>
      <w:proofErr w:type="spellStart"/>
      <w:proofErr w:type="gramStart"/>
      <w:r w:rsidRPr="032B93E0">
        <w:rPr>
          <w:rFonts w:eastAsia="Times New Roman"/>
          <w:szCs w:val="24"/>
        </w:rPr>
        <w:t>s,W</w:t>
      </w:r>
      <w:proofErr w:type="spellEnd"/>
      <w:proofErr w:type="gramEnd"/>
      <w:r w:rsidRPr="032B93E0">
        <w:rPr>
          <w:rFonts w:eastAsia="Times New Roman"/>
          <w:szCs w:val="24"/>
        </w:rPr>
        <w:t>)]</w:t>
      </w:r>
    </w:p>
    <w:p w14:paraId="55A7E4F9" w14:textId="67C8FAA7" w:rsidR="00C13F4C" w:rsidRDefault="6671638B" w:rsidP="032B93E0">
      <w:pPr>
        <w:spacing w:before="120" w:after="120" w:line="257" w:lineRule="auto"/>
        <w:rPr>
          <w:rFonts w:eastAsia="Times New Roman"/>
          <w:szCs w:val="24"/>
        </w:rPr>
      </w:pPr>
      <w:r w:rsidRPr="00674A38">
        <w:rPr>
          <w:rFonts w:eastAsia="Times New Roman"/>
          <w:szCs w:val="24"/>
        </w:rPr>
        <w:t xml:space="preserve">Alternatively, we could estimate an analogous probability </w:t>
      </w:r>
      <w:proofErr w:type="gramStart"/>
      <w:r w:rsidRPr="00674A38">
        <w:rPr>
          <w:rFonts w:eastAsia="Times New Roman"/>
          <w:szCs w:val="24"/>
        </w:rPr>
        <w:t>given ,</w:t>
      </w:r>
      <w:proofErr w:type="gramEnd"/>
      <w:r w:rsidRPr="00674A38">
        <w:rPr>
          <w:rFonts w:eastAsia="Times New Roman"/>
          <w:szCs w:val="24"/>
        </w:rPr>
        <w:t xml:space="preserve"> i.e., </w:t>
      </w:r>
    </w:p>
    <w:p w14:paraId="4B7ADBE4" w14:textId="117F2977" w:rsidR="00C13F4C" w:rsidRPr="00674A38" w:rsidRDefault="057A0DE0" w:rsidP="00674A38">
      <w:pPr>
        <w:spacing w:before="120" w:after="120" w:line="257" w:lineRule="auto"/>
        <w:jc w:val="center"/>
        <w:rPr>
          <w:rFonts w:eastAsia="Times New Roman"/>
          <w:szCs w:val="24"/>
        </w:rPr>
      </w:pPr>
      <w:r w:rsidRPr="032B93E0">
        <w:rPr>
          <w:rFonts w:eastAsia="Times New Roman"/>
          <w:szCs w:val="24"/>
        </w:rPr>
        <w:t>E</w:t>
      </w:r>
      <w:r w:rsidRPr="00674A38">
        <w:rPr>
          <w:rFonts w:eastAsia="Times New Roman"/>
          <w:szCs w:val="24"/>
          <w:vertAlign w:val="subscript"/>
        </w:rPr>
        <w:t>W</w:t>
      </w:r>
      <w:r w:rsidRPr="032B93E0">
        <w:rPr>
          <w:rFonts w:eastAsia="Times New Roman"/>
          <w:szCs w:val="24"/>
        </w:rPr>
        <w:t>[P(Y=1|S≥</w:t>
      </w:r>
      <w:proofErr w:type="gramStart"/>
      <w:r w:rsidRPr="032B93E0">
        <w:rPr>
          <w:rFonts w:eastAsia="Times New Roman"/>
          <w:szCs w:val="24"/>
        </w:rPr>
        <w:t>s,W</w:t>
      </w:r>
      <w:proofErr w:type="gramEnd"/>
      <w:r w:rsidRPr="032B93E0">
        <w:rPr>
          <w:rFonts w:eastAsia="Times New Roman"/>
          <w:szCs w:val="24"/>
        </w:rPr>
        <w:t>)]</w:t>
      </w:r>
    </w:p>
    <w:p w14:paraId="1DA778F9" w14:textId="67F7CE77" w:rsidR="00C13F4C" w:rsidRDefault="6671638B" w:rsidP="032B93E0">
      <w:pPr>
        <w:spacing w:before="120" w:after="120" w:line="257" w:lineRule="auto"/>
        <w:rPr>
          <w:rFonts w:eastAsia="Times New Roman"/>
          <w:szCs w:val="24"/>
        </w:rPr>
      </w:pPr>
      <w:r w:rsidRPr="00674A38">
        <w:rPr>
          <w:rFonts w:eastAsia="Times New Roman"/>
          <w:szCs w:val="24"/>
        </w:rPr>
        <w:t>The latter estimate is closer to what regulators use, since there is interest in the probability of the event given the correlate S is at least some threshold value, s. This analysis allows us to model different threshold values.  Each of these parameters is estimated based on a standard logistic regression fit, averaging, and use of some estimator for the conditional density f(</w:t>
      </w:r>
      <w:proofErr w:type="spellStart"/>
      <w:r w:rsidRPr="00674A38">
        <w:rPr>
          <w:rFonts w:eastAsia="Times New Roman"/>
          <w:szCs w:val="24"/>
        </w:rPr>
        <w:t>s|W</w:t>
      </w:r>
      <w:proofErr w:type="spellEnd"/>
      <w:r w:rsidRPr="00674A38">
        <w:rPr>
          <w:rFonts w:eastAsia="Times New Roman"/>
          <w:szCs w:val="24"/>
        </w:rPr>
        <w:t xml:space="preserve">). </w:t>
      </w:r>
    </w:p>
    <w:p w14:paraId="26584302" w14:textId="39207754" w:rsidR="00C13F4C" w:rsidRDefault="6671638B" w:rsidP="032B93E0">
      <w:pPr>
        <w:spacing w:before="120" w:after="120" w:line="257" w:lineRule="auto"/>
        <w:rPr>
          <w:rFonts w:eastAsia="Times New Roman"/>
          <w:szCs w:val="24"/>
        </w:rPr>
      </w:pPr>
      <w:r w:rsidRPr="00674A38">
        <w:rPr>
          <w:rFonts w:eastAsia="Times New Roman"/>
          <w:szCs w:val="24"/>
        </w:rPr>
        <w:t>Another option is to try a nonparametric targeted maximum likelihood estimation (TMLE) ap</w:t>
      </w:r>
      <w:r w:rsidRPr="032B93E0">
        <w:rPr>
          <w:rFonts w:eastAsia="Times New Roman"/>
          <w:szCs w:val="24"/>
        </w:rPr>
        <w:t>proach to estimation of the parameter based on S&gt;=s.</w:t>
      </w:r>
    </w:p>
    <w:p w14:paraId="31E53290" w14:textId="4B73C296" w:rsidR="00B56C78" w:rsidRDefault="00B56C78" w:rsidP="032B93E0">
      <w:pPr>
        <w:spacing w:before="120" w:after="120" w:line="257" w:lineRule="auto"/>
        <w:rPr>
          <w:rFonts w:eastAsia="Times New Roman"/>
          <w:szCs w:val="24"/>
        </w:rPr>
      </w:pPr>
      <w:r>
        <w:rPr>
          <w:rFonts w:eastAsia="Times New Roman"/>
          <w:szCs w:val="24"/>
        </w:rPr>
        <w:t xml:space="preserve">Any comparison must </w:t>
      </w:r>
      <w:proofErr w:type="gramStart"/>
      <w:r w:rsidR="00EA4CD2">
        <w:rPr>
          <w:rFonts w:eastAsia="Times New Roman"/>
          <w:szCs w:val="24"/>
        </w:rPr>
        <w:t>take into account</w:t>
      </w:r>
      <w:proofErr w:type="gramEnd"/>
      <w:r w:rsidR="00EA4CD2">
        <w:rPr>
          <w:rFonts w:eastAsia="Times New Roman"/>
          <w:szCs w:val="24"/>
        </w:rPr>
        <w:t xml:space="preserve"> </w:t>
      </w:r>
      <w:r>
        <w:rPr>
          <w:rFonts w:eastAsia="Times New Roman"/>
          <w:szCs w:val="24"/>
        </w:rPr>
        <w:t xml:space="preserve">differences in study design between the human study and the NHP study, and proper caveats should be given. For example, if the human study is the correlates study that combines data from several large randomized trials, then the report should be clear about the differences between the outcomes from that study and this NHP study (e.g., the human correlates study is a natural infection study, and the NHP study is a challenge study, etc.). </w:t>
      </w:r>
    </w:p>
    <w:p w14:paraId="0B727E33" w14:textId="01FF156A" w:rsidR="00B56C78" w:rsidRDefault="00B56C78" w:rsidP="032B93E0">
      <w:pPr>
        <w:spacing w:before="120" w:after="120" w:line="257" w:lineRule="auto"/>
        <w:rPr>
          <w:rFonts w:eastAsia="Times New Roman"/>
          <w:szCs w:val="24"/>
        </w:rPr>
      </w:pPr>
      <w:r>
        <w:rPr>
          <w:rFonts w:eastAsia="Times New Roman"/>
          <w:szCs w:val="24"/>
        </w:rPr>
        <w:t xml:space="preserve"> </w:t>
      </w:r>
    </w:p>
    <w:p w14:paraId="4B0EACF3" w14:textId="2E0AE622" w:rsidR="00C13F4C" w:rsidRDefault="6A5974A4" w:rsidP="032B93E0">
      <w:pPr>
        <w:pStyle w:val="Heading2"/>
        <w:spacing w:after="240"/>
        <w:rPr>
          <w:rFonts w:ascii="Times New Roman" w:eastAsia="Times New Roman" w:hAnsi="Times New Roman" w:cs="Times New Roman"/>
          <w:b/>
          <w:bCs/>
          <w:color w:val="auto"/>
          <w:sz w:val="24"/>
          <w:szCs w:val="24"/>
        </w:rPr>
      </w:pPr>
      <w:bookmarkStart w:id="60" w:name="_Toc60811604"/>
      <w:r w:rsidRPr="032B93E0">
        <w:rPr>
          <w:rFonts w:ascii="Times New Roman" w:eastAsia="Times New Roman" w:hAnsi="Times New Roman" w:cs="Times New Roman"/>
          <w:b/>
          <w:bCs/>
          <w:color w:val="auto"/>
          <w:sz w:val="24"/>
          <w:szCs w:val="24"/>
        </w:rPr>
        <w:t>6</w:t>
      </w:r>
      <w:r w:rsidR="6671638B" w:rsidRPr="032B93E0">
        <w:rPr>
          <w:rFonts w:ascii="Times New Roman" w:eastAsia="Times New Roman" w:hAnsi="Times New Roman" w:cs="Times New Roman"/>
          <w:b/>
          <w:bCs/>
          <w:color w:val="auto"/>
          <w:sz w:val="24"/>
          <w:szCs w:val="24"/>
        </w:rPr>
        <w:t xml:space="preserve">.10  </w:t>
      </w:r>
      <w:r w:rsidR="6671638B" w:rsidRPr="032B93E0">
        <w:rPr>
          <w:rFonts w:ascii="Times New Roman" w:eastAsia="Times New Roman" w:hAnsi="Times New Roman" w:cs="Times New Roman"/>
          <w:color w:val="auto"/>
          <w:sz w:val="24"/>
          <w:szCs w:val="24"/>
        </w:rPr>
        <w:t xml:space="preserve">  </w:t>
      </w:r>
      <w:r w:rsidR="6671638B" w:rsidRPr="032B93E0">
        <w:rPr>
          <w:rFonts w:ascii="Times New Roman" w:eastAsia="Times New Roman" w:hAnsi="Times New Roman" w:cs="Times New Roman"/>
          <w:b/>
          <w:bCs/>
          <w:color w:val="auto"/>
          <w:sz w:val="24"/>
          <w:szCs w:val="24"/>
        </w:rPr>
        <w:t>Machine Learning Approach</w:t>
      </w:r>
      <w:bookmarkEnd w:id="60"/>
    </w:p>
    <w:p w14:paraId="75044516" w14:textId="2911ED76" w:rsidR="000B5B17" w:rsidRDefault="6CEA2F80" w:rsidP="134F9F9C">
      <w:pPr>
        <w:spacing w:before="120" w:line="240" w:lineRule="auto"/>
        <w:rPr>
          <w:rFonts w:eastAsia="Times New Roman"/>
        </w:rPr>
      </w:pPr>
      <w:r w:rsidRPr="134F9F9C">
        <w:rPr>
          <w:rFonts w:eastAsia="Times New Roman"/>
        </w:rPr>
        <w:t xml:space="preserve">If there is a reasonably highly multivariate set of markers, a statistical/machine learning approach may be considered to </w:t>
      </w:r>
      <w:r w:rsidR="64AFEEF6" w:rsidRPr="134F9F9C">
        <w:rPr>
          <w:rFonts w:eastAsia="Times New Roman"/>
        </w:rPr>
        <w:t>combine</w:t>
      </w:r>
      <w:r w:rsidRPr="134F9F9C">
        <w:rPr>
          <w:rFonts w:eastAsia="Times New Roman"/>
        </w:rPr>
        <w:t xml:space="preserve"> predictiveness of different sets of i</w:t>
      </w:r>
      <w:r w:rsidR="64AFEEF6" w:rsidRPr="134F9F9C">
        <w:rPr>
          <w:rFonts w:eastAsia="Times New Roman"/>
        </w:rPr>
        <w:t>mmune</w:t>
      </w:r>
      <w:r w:rsidRPr="134F9F9C">
        <w:rPr>
          <w:rFonts w:eastAsia="Times New Roman"/>
        </w:rPr>
        <w:t xml:space="preserve"> markers, with the different sets defined by each assay and biological hypotheses (for example, similar to the analysis used by Neidich et al</w:t>
      </w:r>
      <w:r w:rsidR="357648DA" w:rsidRPr="134F9F9C">
        <w:rPr>
          <w:rFonts w:eastAsia="Times New Roman"/>
        </w:rPr>
        <w:t>,</w:t>
      </w:r>
      <w:r w:rsidRPr="134F9F9C">
        <w:rPr>
          <w:rFonts w:eastAsia="Times New Roman"/>
        </w:rPr>
        <w:t xml:space="preserve">. 2019). </w:t>
      </w:r>
      <w:r w:rsidR="65493FA0" w:rsidRPr="134F9F9C">
        <w:rPr>
          <w:rFonts w:eastAsia="Times New Roman"/>
        </w:rPr>
        <w:t>The incorporation of baseline variables into the model such as sex and age may additionally be explored</w:t>
      </w:r>
      <w:r w:rsidR="00CE5970">
        <w:rPr>
          <w:rFonts w:eastAsia="Times New Roman"/>
        </w:rPr>
        <w:t>. Dose information will be excluded from the analysis</w:t>
      </w:r>
      <w:r w:rsidR="65493FA0" w:rsidRPr="134F9F9C">
        <w:rPr>
          <w:rFonts w:eastAsia="Times New Roman"/>
        </w:rPr>
        <w:t>.</w:t>
      </w:r>
    </w:p>
    <w:p w14:paraId="0092D0D3" w14:textId="25743EA4" w:rsidR="00C13F4C" w:rsidRDefault="6671638B" w:rsidP="032B93E0">
      <w:pPr>
        <w:spacing w:before="120" w:after="120" w:line="257" w:lineRule="auto"/>
        <w:rPr>
          <w:rFonts w:eastAsia="Times New Roman"/>
          <w:szCs w:val="24"/>
        </w:rPr>
      </w:pPr>
      <w:r w:rsidRPr="032B93E0">
        <w:rPr>
          <w:rFonts w:eastAsia="Times New Roman"/>
          <w:szCs w:val="24"/>
        </w:rPr>
        <w:t>Elastic Net or LASSO regression may be used to evaluate multiple correlates at on</w:t>
      </w:r>
      <w:r w:rsidR="00570136">
        <w:rPr>
          <w:rFonts w:eastAsia="Times New Roman"/>
          <w:szCs w:val="24"/>
        </w:rPr>
        <w:t>c</w:t>
      </w:r>
      <w:r w:rsidRPr="032B93E0">
        <w:rPr>
          <w:rFonts w:eastAsia="Times New Roman"/>
          <w:szCs w:val="24"/>
        </w:rPr>
        <w:t xml:space="preserve">e. LASSO is a parsimonious selection system that will pick only 1 member of a set of predictors that are correlated with each other, generating a minimal set of variables. Elastic Net is a slightly less parsimonious method that will group similar variables together and select one from each group. All predictors will be normalized to a mean of 0 and a standard deviation of 1 prior to selection. Each immune correlate at each measured pre-challenge timepoint will be treated as a separate predictor variable, </w:t>
      </w:r>
      <w:proofErr w:type="gramStart"/>
      <w:r w:rsidRPr="032B93E0">
        <w:rPr>
          <w:rFonts w:eastAsia="Times New Roman"/>
          <w:szCs w:val="24"/>
        </w:rPr>
        <w:t>similar to</w:t>
      </w:r>
      <w:proofErr w:type="gramEnd"/>
      <w:r w:rsidRPr="032B93E0">
        <w:rPr>
          <w:rFonts w:eastAsia="Times New Roman"/>
          <w:szCs w:val="24"/>
        </w:rPr>
        <w:t xml:space="preserve"> the method described in Chen et al., 2014. </w:t>
      </w:r>
      <w:r w:rsidR="008D7E68">
        <w:rPr>
          <w:rFonts w:eastAsia="Times New Roman"/>
          <w:szCs w:val="24"/>
        </w:rPr>
        <w:t xml:space="preserve">For numeric responses, </w:t>
      </w:r>
      <w:r w:rsidR="008D7E68">
        <w:rPr>
          <w:rFonts w:eastAsia="Times New Roman"/>
          <w:szCs w:val="24"/>
        </w:rPr>
        <w:lastRenderedPageBreak/>
        <w:t xml:space="preserve">the multiple marker variables will be used in a linear model and selected by some measure to </w:t>
      </w:r>
      <w:r w:rsidR="002749E1">
        <w:rPr>
          <w:rFonts w:eastAsia="Times New Roman"/>
          <w:szCs w:val="24"/>
        </w:rPr>
        <w:t>prevent</w:t>
      </w:r>
      <w:r w:rsidR="008D7E68">
        <w:rPr>
          <w:rFonts w:eastAsia="Times New Roman"/>
          <w:szCs w:val="24"/>
        </w:rPr>
        <w:t xml:space="preserve"> overfitting (e.g., cross validation with predictive accuracy evaluated by using R-squared). For binary responses, s</w:t>
      </w:r>
      <w:r w:rsidRPr="032B93E0">
        <w:rPr>
          <w:rFonts w:eastAsia="Times New Roman"/>
          <w:szCs w:val="24"/>
        </w:rPr>
        <w:t xml:space="preserve">elected variables will then be used in a standard logistic regression model </w:t>
      </w:r>
      <w:proofErr w:type="gramStart"/>
      <w:r w:rsidR="002749E1">
        <w:rPr>
          <w:rFonts w:eastAsia="Times New Roman"/>
          <w:szCs w:val="24"/>
        </w:rPr>
        <w:t>and also</w:t>
      </w:r>
      <w:proofErr w:type="gramEnd"/>
      <w:r w:rsidR="002749E1">
        <w:rPr>
          <w:rFonts w:eastAsia="Times New Roman"/>
          <w:szCs w:val="24"/>
        </w:rPr>
        <w:t xml:space="preserve"> be selected to ensure no overfitting (e.g.,</w:t>
      </w:r>
      <w:r w:rsidR="008D7E68">
        <w:rPr>
          <w:rFonts w:eastAsia="Times New Roman"/>
          <w:szCs w:val="24"/>
        </w:rPr>
        <w:t xml:space="preserve"> </w:t>
      </w:r>
      <w:r w:rsidR="002749E1">
        <w:rPr>
          <w:rFonts w:eastAsia="Times New Roman"/>
          <w:szCs w:val="24"/>
        </w:rPr>
        <w:t xml:space="preserve">using </w:t>
      </w:r>
      <w:r w:rsidR="008D7E68">
        <w:rPr>
          <w:rFonts w:eastAsia="Times New Roman"/>
          <w:szCs w:val="24"/>
        </w:rPr>
        <w:t xml:space="preserve">cross validation </w:t>
      </w:r>
      <w:r w:rsidR="002749E1">
        <w:rPr>
          <w:rFonts w:eastAsia="Times New Roman"/>
          <w:szCs w:val="24"/>
        </w:rPr>
        <w:t>with</w:t>
      </w:r>
      <w:r w:rsidRPr="032B93E0">
        <w:rPr>
          <w:rFonts w:eastAsia="Times New Roman"/>
          <w:szCs w:val="24"/>
        </w:rPr>
        <w:t xml:space="preserve"> </w:t>
      </w:r>
      <w:r w:rsidR="008D7E68">
        <w:rPr>
          <w:rFonts w:eastAsia="Times New Roman"/>
          <w:szCs w:val="24"/>
        </w:rPr>
        <w:t>coefficient for discrimination</w:t>
      </w:r>
      <w:r w:rsidR="002749E1">
        <w:rPr>
          <w:rFonts w:eastAsia="Times New Roman"/>
          <w:szCs w:val="24"/>
        </w:rPr>
        <w:t>)</w:t>
      </w:r>
      <w:r w:rsidRPr="032B93E0">
        <w:rPr>
          <w:rFonts w:eastAsia="Times New Roman"/>
          <w:szCs w:val="24"/>
        </w:rPr>
        <w:t xml:space="preserve">. </w:t>
      </w:r>
    </w:p>
    <w:p w14:paraId="4BD92F3D" w14:textId="77777777" w:rsidR="000B5B17" w:rsidRPr="004E2940" w:rsidRDefault="000B5B17" w:rsidP="00B6630D">
      <w:pPr>
        <w:spacing w:before="120" w:after="120"/>
      </w:pPr>
    </w:p>
    <w:p w14:paraId="720EED72" w14:textId="2B14E473" w:rsidR="00C13F4C" w:rsidRDefault="7B454648" w:rsidP="032B93E0">
      <w:pPr>
        <w:pStyle w:val="Heading1"/>
        <w:numPr>
          <w:ilvl w:val="0"/>
          <w:numId w:val="0"/>
        </w:numPr>
        <w:spacing w:before="120" w:after="200" w:line="240" w:lineRule="auto"/>
        <w:rPr>
          <w:rFonts w:eastAsia="Times New Roman" w:cs="Times New Roman"/>
          <w:szCs w:val="24"/>
        </w:rPr>
      </w:pPr>
      <w:bookmarkStart w:id="61" w:name="_Toc60811606"/>
      <w:r w:rsidRPr="63D7B13A">
        <w:rPr>
          <w:rFonts w:eastAsia="Times New Roman" w:cs="Times New Roman"/>
        </w:rPr>
        <w:t>6.1</w:t>
      </w:r>
      <w:r w:rsidR="00E055AF">
        <w:rPr>
          <w:rFonts w:eastAsia="Times New Roman" w:cs="Times New Roman"/>
        </w:rPr>
        <w:t>1</w:t>
      </w:r>
      <w:r w:rsidR="001235D1">
        <w:rPr>
          <w:rFonts w:eastAsia="Times New Roman" w:cs="Times New Roman"/>
        </w:rPr>
        <w:tab/>
      </w:r>
      <w:bookmarkStart w:id="62" w:name="_Hlk64620296"/>
      <w:r w:rsidR="1C58016D" w:rsidRPr="63D7B13A">
        <w:rPr>
          <w:rFonts w:eastAsia="Times New Roman" w:cs="Times New Roman"/>
        </w:rPr>
        <w:t>Sample Size</w:t>
      </w:r>
      <w:bookmarkEnd w:id="61"/>
    </w:p>
    <w:p w14:paraId="0AA51660" w14:textId="5EC96252" w:rsidR="00004A18" w:rsidRDefault="000B5B17" w:rsidP="032B93E0">
      <w:pPr>
        <w:spacing w:after="120"/>
        <w:rPr>
          <w:rFonts w:eastAsia="Times New Roman"/>
          <w:szCs w:val="24"/>
        </w:rPr>
      </w:pPr>
      <w:bookmarkStart w:id="63" w:name="_Toc21525878"/>
      <w:bookmarkStart w:id="64" w:name="_Toc21525879"/>
      <w:bookmarkStart w:id="65" w:name="_Toc21525881"/>
      <w:bookmarkStart w:id="66" w:name="_Toc21525883"/>
      <w:bookmarkEnd w:id="45"/>
      <w:bookmarkEnd w:id="62"/>
      <w:bookmarkEnd w:id="63"/>
      <w:bookmarkEnd w:id="64"/>
      <w:bookmarkEnd w:id="65"/>
      <w:bookmarkEnd w:id="66"/>
      <w:r>
        <w:rPr>
          <w:rFonts w:eastAsia="Times New Roman"/>
          <w:szCs w:val="24"/>
        </w:rPr>
        <w:t xml:space="preserve">Previous NPH studies of vaccines </w:t>
      </w:r>
      <w:r w:rsidR="001C208A">
        <w:rPr>
          <w:rFonts w:eastAsia="Times New Roman"/>
          <w:szCs w:val="24"/>
        </w:rPr>
        <w:t>with</w:t>
      </w:r>
      <w:r>
        <w:rPr>
          <w:rFonts w:eastAsia="Times New Roman"/>
          <w:szCs w:val="24"/>
        </w:rPr>
        <w:t xml:space="preserve"> sample sizes of 24 (Corbett, </w:t>
      </w:r>
      <w:r w:rsidR="00487F63">
        <w:rPr>
          <w:rFonts w:eastAsia="Times New Roman"/>
          <w:szCs w:val="24"/>
        </w:rPr>
        <w:t>et al.,</w:t>
      </w:r>
      <w:r>
        <w:rPr>
          <w:rFonts w:eastAsia="Times New Roman"/>
          <w:szCs w:val="24"/>
        </w:rPr>
        <w:t xml:space="preserve"> 2020)</w:t>
      </w:r>
      <w:r w:rsidR="001C208A">
        <w:rPr>
          <w:rFonts w:eastAsia="Times New Roman"/>
          <w:szCs w:val="24"/>
        </w:rPr>
        <w:t xml:space="preserve"> and </w:t>
      </w:r>
      <w:r>
        <w:rPr>
          <w:rFonts w:eastAsia="Times New Roman"/>
          <w:szCs w:val="24"/>
        </w:rPr>
        <w:t>16 (</w:t>
      </w:r>
      <w:r w:rsidR="001C208A" w:rsidRPr="001C208A">
        <w:rPr>
          <w:color w:val="222222"/>
          <w:szCs w:val="24"/>
          <w:shd w:val="clear" w:color="auto" w:fill="FFFFFF"/>
        </w:rPr>
        <w:t>Guebre-Xabier</w:t>
      </w:r>
      <w:r>
        <w:rPr>
          <w:rFonts w:eastAsia="Times New Roman"/>
          <w:szCs w:val="24"/>
        </w:rPr>
        <w:t xml:space="preserve">, </w:t>
      </w:r>
      <w:r w:rsidR="00487F63">
        <w:rPr>
          <w:rFonts w:eastAsia="Times New Roman"/>
          <w:szCs w:val="24"/>
        </w:rPr>
        <w:t>et al.,</w:t>
      </w:r>
      <w:r>
        <w:rPr>
          <w:rFonts w:eastAsia="Times New Roman"/>
          <w:szCs w:val="24"/>
        </w:rPr>
        <w:t xml:space="preserve"> 2020)</w:t>
      </w:r>
      <w:r w:rsidR="001C208A">
        <w:rPr>
          <w:rFonts w:eastAsia="Times New Roman"/>
          <w:szCs w:val="24"/>
        </w:rPr>
        <w:t xml:space="preserve"> had sufficient sample sizes to obtain a clear signal. </w:t>
      </w:r>
      <w:r w:rsidR="67334CE5" w:rsidRPr="032B93E0">
        <w:rPr>
          <w:rFonts w:eastAsia="Times New Roman"/>
          <w:szCs w:val="24"/>
        </w:rPr>
        <w:t>The sample size</w:t>
      </w:r>
      <w:r w:rsidR="001C208A">
        <w:rPr>
          <w:rFonts w:eastAsia="Times New Roman"/>
          <w:szCs w:val="24"/>
        </w:rPr>
        <w:t xml:space="preserve"> of the current study will have between 26 and 32 NHPs per vaccine </w:t>
      </w:r>
      <w:r w:rsidR="002749E1">
        <w:rPr>
          <w:rFonts w:eastAsia="Times New Roman"/>
          <w:szCs w:val="24"/>
        </w:rPr>
        <w:t>product</w:t>
      </w:r>
      <w:r w:rsidR="001C208A">
        <w:rPr>
          <w:rFonts w:eastAsia="Times New Roman"/>
          <w:szCs w:val="24"/>
        </w:rPr>
        <w:t xml:space="preserve">, plus 16 NHPs randomized to placebo, for a total of 126 animals. </w:t>
      </w:r>
      <w:r w:rsidR="67334CE5" w:rsidRPr="032B93E0">
        <w:rPr>
          <w:rFonts w:eastAsia="Times New Roman"/>
          <w:szCs w:val="24"/>
        </w:rPr>
        <w:t xml:space="preserve">Therefore, </w:t>
      </w:r>
      <w:r w:rsidR="001C208A">
        <w:rPr>
          <w:rFonts w:eastAsia="Times New Roman"/>
          <w:szCs w:val="24"/>
        </w:rPr>
        <w:t xml:space="preserve">there should be sufficient sample sizes to explore these correlates of risk and protection models. </w:t>
      </w:r>
    </w:p>
    <w:p w14:paraId="6ECDD5C1" w14:textId="77777777" w:rsidR="00823B3A" w:rsidRDefault="00823B3A" w:rsidP="00B6630D">
      <w:pPr>
        <w:spacing w:before="120" w:after="120"/>
        <w:rPr>
          <w:rFonts w:eastAsia="Times New Roman"/>
          <w:szCs w:val="24"/>
        </w:rPr>
      </w:pPr>
    </w:p>
    <w:p w14:paraId="74A4BE3B" w14:textId="77777777" w:rsidR="008F2DC4" w:rsidRPr="008F2DC4" w:rsidRDefault="008F2DC4" w:rsidP="008F2DC4">
      <w:pPr>
        <w:pStyle w:val="ListParagraph"/>
        <w:keepNext/>
        <w:keepLines/>
        <w:numPr>
          <w:ilvl w:val="0"/>
          <w:numId w:val="3"/>
        </w:numPr>
        <w:spacing w:before="120" w:after="120"/>
        <w:contextualSpacing w:val="0"/>
        <w:outlineLvl w:val="0"/>
        <w:rPr>
          <w:rFonts w:eastAsiaTheme="majorEastAsia" w:cstheme="majorBidi"/>
          <w:b/>
          <w:vanish/>
          <w:szCs w:val="32"/>
        </w:rPr>
      </w:pPr>
    </w:p>
    <w:p w14:paraId="26055A54" w14:textId="77777777" w:rsidR="008F2DC4" w:rsidRPr="008F2DC4" w:rsidRDefault="008F2DC4" w:rsidP="008F2DC4">
      <w:pPr>
        <w:pStyle w:val="ListParagraph"/>
        <w:keepNext/>
        <w:keepLines/>
        <w:numPr>
          <w:ilvl w:val="0"/>
          <w:numId w:val="3"/>
        </w:numPr>
        <w:spacing w:before="120" w:after="120"/>
        <w:contextualSpacing w:val="0"/>
        <w:outlineLvl w:val="0"/>
        <w:rPr>
          <w:rFonts w:eastAsiaTheme="majorEastAsia" w:cstheme="majorBidi"/>
          <w:b/>
          <w:vanish/>
          <w:szCs w:val="32"/>
        </w:rPr>
      </w:pPr>
    </w:p>
    <w:p w14:paraId="2A50B4C1" w14:textId="77777777" w:rsidR="008F2DC4" w:rsidRPr="008F2DC4" w:rsidRDefault="008F2DC4" w:rsidP="008F2DC4">
      <w:pPr>
        <w:pStyle w:val="ListParagraph"/>
        <w:keepNext/>
        <w:keepLines/>
        <w:numPr>
          <w:ilvl w:val="0"/>
          <w:numId w:val="3"/>
        </w:numPr>
        <w:spacing w:before="120" w:after="120"/>
        <w:contextualSpacing w:val="0"/>
        <w:outlineLvl w:val="0"/>
        <w:rPr>
          <w:rFonts w:eastAsiaTheme="majorEastAsia" w:cstheme="majorBidi"/>
          <w:b/>
          <w:vanish/>
          <w:szCs w:val="32"/>
        </w:rPr>
      </w:pPr>
    </w:p>
    <w:p w14:paraId="4464E3C4" w14:textId="77777777" w:rsidR="008F2DC4" w:rsidRPr="008F2DC4" w:rsidRDefault="008F2DC4" w:rsidP="008F2DC4">
      <w:pPr>
        <w:pStyle w:val="ListParagraph"/>
        <w:keepNext/>
        <w:keepLines/>
        <w:numPr>
          <w:ilvl w:val="0"/>
          <w:numId w:val="3"/>
        </w:numPr>
        <w:spacing w:before="120" w:after="120"/>
        <w:contextualSpacing w:val="0"/>
        <w:outlineLvl w:val="0"/>
        <w:rPr>
          <w:rFonts w:eastAsiaTheme="majorEastAsia" w:cstheme="majorBidi"/>
          <w:b/>
          <w:vanish/>
          <w:szCs w:val="32"/>
        </w:rPr>
      </w:pPr>
    </w:p>
    <w:p w14:paraId="47808080" w14:textId="77777777" w:rsidR="008F2DC4" w:rsidRPr="008F2DC4" w:rsidRDefault="008F2DC4" w:rsidP="008F2DC4">
      <w:pPr>
        <w:pStyle w:val="ListParagraph"/>
        <w:keepNext/>
        <w:keepLines/>
        <w:numPr>
          <w:ilvl w:val="0"/>
          <w:numId w:val="3"/>
        </w:numPr>
        <w:spacing w:before="120" w:after="120"/>
        <w:contextualSpacing w:val="0"/>
        <w:outlineLvl w:val="0"/>
        <w:rPr>
          <w:rFonts w:eastAsiaTheme="majorEastAsia" w:cstheme="majorBidi"/>
          <w:b/>
          <w:vanish/>
          <w:szCs w:val="32"/>
        </w:rPr>
      </w:pPr>
    </w:p>
    <w:p w14:paraId="371DDCA0" w14:textId="77777777" w:rsidR="008F2DC4" w:rsidRPr="008F2DC4" w:rsidRDefault="008F2DC4" w:rsidP="008F2DC4">
      <w:pPr>
        <w:pStyle w:val="ListParagraph"/>
        <w:keepNext/>
        <w:keepLines/>
        <w:numPr>
          <w:ilvl w:val="0"/>
          <w:numId w:val="3"/>
        </w:numPr>
        <w:spacing w:before="120" w:after="120"/>
        <w:contextualSpacing w:val="0"/>
        <w:outlineLvl w:val="0"/>
        <w:rPr>
          <w:rFonts w:eastAsiaTheme="majorEastAsia" w:cstheme="majorBidi"/>
          <w:b/>
          <w:vanish/>
          <w:szCs w:val="32"/>
        </w:rPr>
      </w:pPr>
    </w:p>
    <w:p w14:paraId="582F4A71" w14:textId="27CE79A8" w:rsidR="00C13D11" w:rsidRDefault="00C13D11" w:rsidP="008F2DC4">
      <w:pPr>
        <w:pStyle w:val="Heading1"/>
        <w:numPr>
          <w:ilvl w:val="1"/>
          <w:numId w:val="3"/>
        </w:numPr>
        <w:spacing w:before="120" w:after="120"/>
        <w:ind w:left="420"/>
      </w:pPr>
      <w:r>
        <w:t xml:space="preserve">   </w:t>
      </w:r>
      <w:r w:rsidR="00363D88">
        <w:t xml:space="preserve"> </w:t>
      </w:r>
      <w:r>
        <w:t>Additional Exploratory Analyses</w:t>
      </w:r>
      <w:r w:rsidR="00823B3A">
        <w:br/>
      </w:r>
    </w:p>
    <w:p w14:paraId="47760226" w14:textId="48BC0EB4" w:rsidR="00C13D11" w:rsidRDefault="00C13D11" w:rsidP="00B6630D">
      <w:pPr>
        <w:spacing w:before="120" w:after="120"/>
      </w:pPr>
      <w:r>
        <w:t xml:space="preserve">Additional exploratory analyses may be performed. For example, the duration of outcome may be modeled using immune markers. </w:t>
      </w:r>
      <w:r w:rsidR="00CE5970">
        <w:t xml:space="preserve"> Additionally, f</w:t>
      </w:r>
      <w:r>
        <w:t xml:space="preserve">uture scientific questions may motivate </w:t>
      </w:r>
      <w:r w:rsidR="00CE5970">
        <w:t>other</w:t>
      </w:r>
      <w:r>
        <w:t xml:space="preserve"> exploratory analyses.</w:t>
      </w:r>
      <w:r w:rsidR="00823B3A">
        <w:br/>
      </w:r>
    </w:p>
    <w:p w14:paraId="1C263647" w14:textId="1C4228F8" w:rsidR="004502F5" w:rsidRPr="000522B7" w:rsidRDefault="5C43F420" w:rsidP="000522B7">
      <w:pPr>
        <w:pStyle w:val="ListParagraph"/>
        <w:numPr>
          <w:ilvl w:val="1"/>
          <w:numId w:val="3"/>
        </w:numPr>
        <w:rPr>
          <w:rFonts w:eastAsia="Times New Roman"/>
          <w:b/>
          <w:bCs/>
          <w:szCs w:val="24"/>
        </w:rPr>
      </w:pPr>
      <w:r w:rsidRPr="000522B7">
        <w:rPr>
          <w:rFonts w:eastAsia="Times New Roman"/>
          <w:b/>
          <w:bCs/>
          <w:szCs w:val="24"/>
        </w:rPr>
        <w:t>Methods for Handling Missing Data and Deviated Data</w:t>
      </w:r>
    </w:p>
    <w:p w14:paraId="5B36D2EB" w14:textId="676155D2" w:rsidR="00D75740" w:rsidRDefault="00081999" w:rsidP="004502F5">
      <w:r>
        <w:t xml:space="preserve">No imputation of missing data will be performed; animals with missing data for a parameter required for a particular analysis will be excluded from that analysis.  Individual animals may be excluded because of missing data or other reasons that will be well documented before the analysis is conducted.  </w:t>
      </w:r>
    </w:p>
    <w:p w14:paraId="2CF1BD4F" w14:textId="34125E66" w:rsidR="00081999" w:rsidRDefault="00081999" w:rsidP="00081999">
      <w:r>
        <w:t>If a data point is an outlier</w:t>
      </w:r>
      <w:r w:rsidR="00D75740">
        <w:t xml:space="preserve"> it will continue to be included in the analysis unless the reason that it is an outlier is due to a known error</w:t>
      </w:r>
      <w:r>
        <w:t xml:space="preserve"> </w:t>
      </w:r>
      <w:r w:rsidR="00D75740">
        <w:t xml:space="preserve">in the assay or the measuring device.  Some analyses may be redone without outliers as sensitivity analyses. </w:t>
      </w:r>
    </w:p>
    <w:p w14:paraId="0760AF09" w14:textId="77777777" w:rsidR="00081999" w:rsidRDefault="00081999" w:rsidP="00004A18">
      <w:pPr>
        <w:spacing w:after="120"/>
      </w:pPr>
    </w:p>
    <w:p w14:paraId="6D3B7988" w14:textId="77777777" w:rsidR="00851FC1" w:rsidRPr="00823B3A" w:rsidRDefault="71ACBD3C" w:rsidP="0092226D">
      <w:pPr>
        <w:pStyle w:val="Heading1"/>
        <w:spacing w:before="120" w:after="120"/>
        <w:rPr>
          <w:rFonts w:cs="Times New Roman"/>
          <w:szCs w:val="24"/>
        </w:rPr>
      </w:pPr>
      <w:bookmarkStart w:id="67" w:name="_Toc21525885"/>
      <w:bookmarkStart w:id="68" w:name="_Toc26242311"/>
      <w:bookmarkStart w:id="69" w:name="_Toc60811607"/>
      <w:r w:rsidRPr="00823B3A">
        <w:rPr>
          <w:rFonts w:cs="Times New Roman"/>
          <w:szCs w:val="24"/>
        </w:rPr>
        <w:t>REFERENCES</w:t>
      </w:r>
      <w:bookmarkEnd w:id="67"/>
      <w:bookmarkEnd w:id="68"/>
      <w:bookmarkEnd w:id="69"/>
    </w:p>
    <w:p w14:paraId="6C0000FD" w14:textId="15ACADFC" w:rsidR="00F36A9A" w:rsidRPr="00823B3A" w:rsidRDefault="094F6748" w:rsidP="032B93E0">
      <w:pPr>
        <w:spacing w:after="0" w:line="257" w:lineRule="auto"/>
        <w:rPr>
          <w:rFonts w:eastAsia="Times New Roman"/>
          <w:szCs w:val="24"/>
        </w:rPr>
      </w:pPr>
      <w:r w:rsidRPr="00823B3A">
        <w:rPr>
          <w:rFonts w:eastAsia="Times New Roman"/>
          <w:szCs w:val="24"/>
        </w:rPr>
        <w:t>Caruso, J. C. and Cliff, N. (1997), Empirical size, coverage, and power of confidence intervals for Spearman's Rho," Educational and Psychological Measurement, 57, 637-654.</w:t>
      </w:r>
    </w:p>
    <w:p w14:paraId="1C9B5DD0" w14:textId="77777777" w:rsidR="001235D1" w:rsidRPr="00823B3A" w:rsidRDefault="001235D1" w:rsidP="032B93E0">
      <w:pPr>
        <w:spacing w:after="0" w:line="257" w:lineRule="auto"/>
        <w:rPr>
          <w:rFonts w:eastAsia="Times New Roman"/>
          <w:szCs w:val="24"/>
        </w:rPr>
      </w:pPr>
    </w:p>
    <w:p w14:paraId="1C450DD9" w14:textId="0F6AB00F" w:rsidR="00F36A9A" w:rsidRPr="00823B3A" w:rsidRDefault="094F6748" w:rsidP="032B93E0">
      <w:pPr>
        <w:spacing w:after="0" w:line="257" w:lineRule="auto"/>
        <w:rPr>
          <w:rFonts w:eastAsia="Times New Roman"/>
          <w:szCs w:val="24"/>
        </w:rPr>
      </w:pPr>
      <w:r w:rsidRPr="00823B3A">
        <w:rPr>
          <w:rFonts w:eastAsia="Times New Roman"/>
          <w:szCs w:val="24"/>
        </w:rPr>
        <w:t>Chan, J. F. W., Zhang, A. J., Yuan, S., Poon, V. K. M., Chan, C. C. S., Lee, A. C. Y., ... &amp; Liang, R. (2020). Simulation of the clinical and pathological manifestations of Coronavirus Disease 2019 (COVID-19) in golden Syrian hamster model: implications for disease pathogenesis and transmissibility. Clinical Infectious Diseases.</w:t>
      </w:r>
    </w:p>
    <w:p w14:paraId="0AF0EB78" w14:textId="77777777" w:rsidR="001235D1" w:rsidRPr="00823B3A" w:rsidRDefault="001235D1" w:rsidP="032B93E0">
      <w:pPr>
        <w:spacing w:after="0" w:line="257" w:lineRule="auto"/>
        <w:rPr>
          <w:rFonts w:eastAsia="Times New Roman"/>
          <w:szCs w:val="24"/>
        </w:rPr>
      </w:pPr>
    </w:p>
    <w:p w14:paraId="159FA3C1" w14:textId="57862106" w:rsidR="00F36A9A" w:rsidRPr="00823B3A" w:rsidRDefault="094F6748" w:rsidP="032B93E0">
      <w:pPr>
        <w:spacing w:after="0" w:line="257" w:lineRule="auto"/>
        <w:rPr>
          <w:rFonts w:eastAsia="Times New Roman"/>
          <w:szCs w:val="24"/>
        </w:rPr>
      </w:pPr>
      <w:r w:rsidRPr="00823B3A">
        <w:rPr>
          <w:rFonts w:eastAsia="Times New Roman"/>
          <w:szCs w:val="24"/>
        </w:rPr>
        <w:t xml:space="preserve">Chandrashekar, A., Liu, J., </w:t>
      </w:r>
      <w:proofErr w:type="spellStart"/>
      <w:r w:rsidRPr="00823B3A">
        <w:rPr>
          <w:rFonts w:eastAsia="Times New Roman"/>
          <w:szCs w:val="24"/>
        </w:rPr>
        <w:t>Martinot</w:t>
      </w:r>
      <w:proofErr w:type="spellEnd"/>
      <w:r w:rsidRPr="00823B3A">
        <w:rPr>
          <w:rFonts w:eastAsia="Times New Roman"/>
          <w:szCs w:val="24"/>
        </w:rPr>
        <w:t>, A. J., McMahan, K., Mercado, N. B., Peter, L., ... &amp; Busman-Sahay, K. (2020). SARS-CoV-2 infection protects against rechallenge in rhesus macaques. Science. 369, 812–817.</w:t>
      </w:r>
    </w:p>
    <w:p w14:paraId="4FADD97E" w14:textId="77777777" w:rsidR="001235D1" w:rsidRPr="00823B3A" w:rsidRDefault="001235D1" w:rsidP="032B93E0">
      <w:pPr>
        <w:spacing w:after="0" w:line="257" w:lineRule="auto"/>
        <w:rPr>
          <w:rFonts w:eastAsia="Times New Roman"/>
          <w:szCs w:val="24"/>
        </w:rPr>
      </w:pPr>
    </w:p>
    <w:p w14:paraId="49772F99" w14:textId="5B7D8958" w:rsidR="00F36A9A" w:rsidRPr="00823B3A" w:rsidRDefault="094F6748" w:rsidP="032B93E0">
      <w:pPr>
        <w:spacing w:after="0" w:line="257" w:lineRule="auto"/>
        <w:rPr>
          <w:rFonts w:eastAsia="Times New Roman"/>
          <w:szCs w:val="24"/>
        </w:rPr>
      </w:pPr>
      <w:r w:rsidRPr="00823B3A">
        <w:rPr>
          <w:rFonts w:eastAsia="Times New Roman"/>
          <w:szCs w:val="24"/>
        </w:rPr>
        <w:t xml:space="preserve">Corbett, K. S., Flynn, B., </w:t>
      </w:r>
      <w:proofErr w:type="spellStart"/>
      <w:r w:rsidRPr="00823B3A">
        <w:rPr>
          <w:rFonts w:eastAsia="Times New Roman"/>
          <w:szCs w:val="24"/>
        </w:rPr>
        <w:t>Foulds</w:t>
      </w:r>
      <w:proofErr w:type="spellEnd"/>
      <w:r w:rsidRPr="00823B3A">
        <w:rPr>
          <w:rFonts w:eastAsia="Times New Roman"/>
          <w:szCs w:val="24"/>
        </w:rPr>
        <w:t xml:space="preserve">, K. E., </w:t>
      </w:r>
      <w:proofErr w:type="spellStart"/>
      <w:r w:rsidRPr="00823B3A">
        <w:rPr>
          <w:rFonts w:eastAsia="Times New Roman"/>
          <w:szCs w:val="24"/>
        </w:rPr>
        <w:t>Francica</w:t>
      </w:r>
      <w:proofErr w:type="spellEnd"/>
      <w:r w:rsidRPr="00823B3A">
        <w:rPr>
          <w:rFonts w:eastAsia="Times New Roman"/>
          <w:szCs w:val="24"/>
        </w:rPr>
        <w:t xml:space="preserve">, J. R., </w:t>
      </w:r>
      <w:proofErr w:type="spellStart"/>
      <w:r w:rsidRPr="00823B3A">
        <w:rPr>
          <w:rFonts w:eastAsia="Times New Roman"/>
          <w:szCs w:val="24"/>
        </w:rPr>
        <w:t>Boyoglu</w:t>
      </w:r>
      <w:proofErr w:type="spellEnd"/>
      <w:r w:rsidRPr="00823B3A">
        <w:rPr>
          <w:rFonts w:eastAsia="Times New Roman"/>
          <w:szCs w:val="24"/>
        </w:rPr>
        <w:t>-Barnum, S., Werner, A. P., ... &amp; Nagata, B. M. (2020). Evaluation of the mRNA-1273 vaccine against SARS-CoV-2 in nonhuman primates. New England Journal of Medicine.</w:t>
      </w:r>
    </w:p>
    <w:p w14:paraId="7A0AD540" w14:textId="77777777" w:rsidR="001235D1" w:rsidRPr="00823B3A" w:rsidRDefault="001235D1" w:rsidP="032B93E0">
      <w:pPr>
        <w:spacing w:after="0" w:line="257" w:lineRule="auto"/>
        <w:rPr>
          <w:rFonts w:eastAsia="Times New Roman"/>
          <w:szCs w:val="24"/>
        </w:rPr>
      </w:pPr>
    </w:p>
    <w:p w14:paraId="55D471B1" w14:textId="0CA3E1C1" w:rsidR="00F36A9A" w:rsidRPr="00823B3A" w:rsidRDefault="094F6748" w:rsidP="032B93E0">
      <w:pPr>
        <w:spacing w:after="0" w:line="257" w:lineRule="auto"/>
        <w:rPr>
          <w:rFonts w:eastAsia="Times New Roman"/>
          <w:szCs w:val="24"/>
        </w:rPr>
      </w:pPr>
      <w:r w:rsidRPr="00823B3A">
        <w:rPr>
          <w:rFonts w:eastAsia="Times New Roman"/>
          <w:szCs w:val="24"/>
        </w:rPr>
        <w:t xml:space="preserve">Fay, M. P., Follmann, D. A., Lynn, F., Schiffer, J. M., Stark, G. V., </w:t>
      </w:r>
      <w:proofErr w:type="spellStart"/>
      <w:r w:rsidRPr="00823B3A">
        <w:rPr>
          <w:rFonts w:eastAsia="Times New Roman"/>
          <w:szCs w:val="24"/>
        </w:rPr>
        <w:t>Kohberger</w:t>
      </w:r>
      <w:proofErr w:type="spellEnd"/>
      <w:r w:rsidRPr="00823B3A">
        <w:rPr>
          <w:rFonts w:eastAsia="Times New Roman"/>
          <w:szCs w:val="24"/>
        </w:rPr>
        <w:t>, R., Quinn, CP, &amp; Nuzum, E. O. (2012). Anthrax vaccine–induced antibodies provide cross-species prediction of survival to aerosol challenge. Science translational medicine, 4(151), 151ra126-151ra126.</w:t>
      </w:r>
    </w:p>
    <w:p w14:paraId="06185301" w14:textId="77777777" w:rsidR="001235D1" w:rsidRPr="00823B3A" w:rsidRDefault="001235D1" w:rsidP="032B93E0">
      <w:pPr>
        <w:spacing w:after="0" w:line="257" w:lineRule="auto"/>
        <w:rPr>
          <w:rFonts w:eastAsia="Times New Roman"/>
          <w:szCs w:val="24"/>
        </w:rPr>
      </w:pPr>
    </w:p>
    <w:p w14:paraId="7E8F6238" w14:textId="0038BA0D" w:rsidR="00F36A9A" w:rsidRPr="00823B3A" w:rsidRDefault="094F6748" w:rsidP="032B93E0">
      <w:pPr>
        <w:spacing w:after="0" w:line="257" w:lineRule="auto"/>
        <w:rPr>
          <w:rFonts w:eastAsia="Times New Roman"/>
          <w:szCs w:val="24"/>
        </w:rPr>
      </w:pPr>
      <w:proofErr w:type="gramStart"/>
      <w:r w:rsidRPr="00823B3A">
        <w:rPr>
          <w:rFonts w:eastAsia="Times New Roman"/>
          <w:szCs w:val="24"/>
        </w:rPr>
        <w:t xml:space="preserve">Fay </w:t>
      </w:r>
      <w:r w:rsidR="00363D88" w:rsidRPr="00823B3A">
        <w:rPr>
          <w:rFonts w:eastAsia="Times New Roman"/>
          <w:szCs w:val="24"/>
        </w:rPr>
        <w:t>,</w:t>
      </w:r>
      <w:proofErr w:type="gramEnd"/>
      <w:r w:rsidR="00363D88" w:rsidRPr="00823B3A">
        <w:rPr>
          <w:rFonts w:eastAsia="Times New Roman"/>
          <w:szCs w:val="24"/>
        </w:rPr>
        <w:t xml:space="preserve"> M. P. </w:t>
      </w:r>
      <w:r w:rsidRPr="00823B3A">
        <w:rPr>
          <w:rFonts w:eastAsia="Times New Roman"/>
          <w:szCs w:val="24"/>
        </w:rPr>
        <w:t>and Graubard (2001). Small-Sample Adjustments for Wald-Type Tests Using Sandwich Estimators. Biometrics 57: 1198-1206.</w:t>
      </w:r>
    </w:p>
    <w:p w14:paraId="7FC4C86D" w14:textId="77777777" w:rsidR="001235D1" w:rsidRPr="00823B3A" w:rsidRDefault="001235D1" w:rsidP="032B93E0">
      <w:pPr>
        <w:spacing w:after="0" w:line="257" w:lineRule="auto"/>
        <w:rPr>
          <w:rFonts w:eastAsia="Times New Roman"/>
          <w:szCs w:val="24"/>
        </w:rPr>
      </w:pPr>
    </w:p>
    <w:p w14:paraId="4A98B8B3" w14:textId="6E3D6157" w:rsidR="00F36A9A" w:rsidRPr="00823B3A" w:rsidRDefault="094F6748" w:rsidP="032B93E0">
      <w:pPr>
        <w:spacing w:after="0" w:line="257" w:lineRule="auto"/>
        <w:rPr>
          <w:rFonts w:eastAsia="Times New Roman"/>
          <w:szCs w:val="24"/>
        </w:rPr>
      </w:pPr>
      <w:r w:rsidRPr="00823B3A">
        <w:rPr>
          <w:rFonts w:eastAsia="Times New Roman"/>
          <w:szCs w:val="24"/>
        </w:rPr>
        <w:t>Fay M</w:t>
      </w:r>
      <w:r w:rsidR="00363D88" w:rsidRPr="00823B3A">
        <w:rPr>
          <w:rFonts w:eastAsia="Times New Roman"/>
          <w:szCs w:val="24"/>
        </w:rPr>
        <w:t>.</w:t>
      </w:r>
      <w:r w:rsidRPr="00823B3A">
        <w:rPr>
          <w:rFonts w:eastAsia="Times New Roman"/>
          <w:szCs w:val="24"/>
        </w:rPr>
        <w:t>P</w:t>
      </w:r>
      <w:r w:rsidR="00363D88" w:rsidRPr="00823B3A">
        <w:rPr>
          <w:rFonts w:eastAsia="Times New Roman"/>
          <w:szCs w:val="24"/>
        </w:rPr>
        <w:t>.</w:t>
      </w:r>
      <w:r w:rsidRPr="00823B3A">
        <w:rPr>
          <w:rFonts w:eastAsia="Times New Roman"/>
          <w:szCs w:val="24"/>
        </w:rPr>
        <w:t xml:space="preserve"> (2005). Random marginal agreement coefﬁcients: rethinking the adjustment for chance when measuring agreement. Biostatistics 6(1):171-180.</w:t>
      </w:r>
    </w:p>
    <w:p w14:paraId="1D6FD7B1" w14:textId="77777777" w:rsidR="001235D1" w:rsidRPr="00823B3A" w:rsidRDefault="001235D1" w:rsidP="032B93E0">
      <w:pPr>
        <w:spacing w:after="0" w:line="257" w:lineRule="auto"/>
        <w:rPr>
          <w:rFonts w:eastAsia="Times New Roman"/>
          <w:szCs w:val="24"/>
        </w:rPr>
      </w:pPr>
    </w:p>
    <w:p w14:paraId="0CC147AB" w14:textId="7983F51F" w:rsidR="00F36A9A" w:rsidRPr="00823B3A" w:rsidRDefault="094F6748" w:rsidP="032B93E0">
      <w:pPr>
        <w:spacing w:after="0" w:line="257" w:lineRule="auto"/>
        <w:rPr>
          <w:rFonts w:eastAsia="Times New Roman"/>
          <w:szCs w:val="24"/>
        </w:rPr>
      </w:pPr>
      <w:r w:rsidRPr="00823B3A">
        <w:rPr>
          <w:rFonts w:eastAsia="Times New Roman"/>
          <w:szCs w:val="24"/>
        </w:rPr>
        <w:t xml:space="preserve">FDA Guidance: Product Development Under the Animal Rule, October 2015. </w:t>
      </w:r>
      <w:hyperlink r:id="rId12" w:history="1">
        <w:r w:rsidRPr="00823B3A">
          <w:rPr>
            <w:rStyle w:val="Hyperlink"/>
            <w:rFonts w:eastAsia="Calibri"/>
            <w:szCs w:val="24"/>
          </w:rPr>
          <w:t>http://www.fda.gov/Drugs/GuidanceComplianceRegulatoryInformation/Guidances/default.htm</w:t>
        </w:r>
      </w:hyperlink>
      <w:r w:rsidRPr="00823B3A">
        <w:rPr>
          <w:rFonts w:eastAsia="Times New Roman"/>
          <w:szCs w:val="24"/>
        </w:rPr>
        <w:t xml:space="preserve"> .</w:t>
      </w:r>
    </w:p>
    <w:p w14:paraId="65146950" w14:textId="1B07B01B" w:rsidR="001235D1" w:rsidRPr="00823B3A" w:rsidRDefault="001235D1" w:rsidP="032B93E0">
      <w:pPr>
        <w:spacing w:after="0" w:line="257" w:lineRule="auto"/>
        <w:rPr>
          <w:rFonts w:eastAsia="Times New Roman"/>
          <w:szCs w:val="24"/>
        </w:rPr>
      </w:pPr>
    </w:p>
    <w:p w14:paraId="10FBB4C2" w14:textId="2B3CDC3A" w:rsidR="001872BB" w:rsidRPr="00823B3A" w:rsidRDefault="001872BB" w:rsidP="032B93E0">
      <w:pPr>
        <w:spacing w:after="0" w:line="257" w:lineRule="auto"/>
        <w:rPr>
          <w:color w:val="222222"/>
          <w:szCs w:val="24"/>
          <w:shd w:val="clear" w:color="auto" w:fill="FFFFFF"/>
        </w:rPr>
      </w:pPr>
      <w:r w:rsidRPr="00823B3A">
        <w:rPr>
          <w:color w:val="222222"/>
          <w:szCs w:val="24"/>
          <w:shd w:val="clear" w:color="auto" w:fill="FFFFFF"/>
        </w:rPr>
        <w:t xml:space="preserve">Fong, Y., Huang, Y., Gilbert, P. B., &amp; </w:t>
      </w:r>
      <w:proofErr w:type="spellStart"/>
      <w:r w:rsidRPr="00823B3A">
        <w:rPr>
          <w:color w:val="222222"/>
          <w:szCs w:val="24"/>
          <w:shd w:val="clear" w:color="auto" w:fill="FFFFFF"/>
        </w:rPr>
        <w:t>Permar</w:t>
      </w:r>
      <w:proofErr w:type="spellEnd"/>
      <w:r w:rsidRPr="00823B3A">
        <w:rPr>
          <w:color w:val="222222"/>
          <w:szCs w:val="24"/>
          <w:shd w:val="clear" w:color="auto" w:fill="FFFFFF"/>
        </w:rPr>
        <w:t xml:space="preserve">, S. R. (2017). </w:t>
      </w:r>
      <w:proofErr w:type="spellStart"/>
      <w:r w:rsidRPr="00823B3A">
        <w:rPr>
          <w:color w:val="222222"/>
          <w:szCs w:val="24"/>
          <w:shd w:val="clear" w:color="auto" w:fill="FFFFFF"/>
        </w:rPr>
        <w:t>chngpt</w:t>
      </w:r>
      <w:proofErr w:type="spellEnd"/>
      <w:r w:rsidRPr="00823B3A">
        <w:rPr>
          <w:color w:val="222222"/>
          <w:szCs w:val="24"/>
          <w:shd w:val="clear" w:color="auto" w:fill="FFFFFF"/>
        </w:rPr>
        <w:t>: threshold regression model estimation and inference. </w:t>
      </w:r>
      <w:r w:rsidRPr="00823B3A">
        <w:rPr>
          <w:i/>
          <w:iCs/>
          <w:color w:val="222222"/>
          <w:szCs w:val="24"/>
          <w:shd w:val="clear" w:color="auto" w:fill="FFFFFF"/>
        </w:rPr>
        <w:t>BMC bioinformatics</w:t>
      </w:r>
      <w:r w:rsidRPr="00823B3A">
        <w:rPr>
          <w:color w:val="222222"/>
          <w:szCs w:val="24"/>
          <w:shd w:val="clear" w:color="auto" w:fill="FFFFFF"/>
        </w:rPr>
        <w:t>, </w:t>
      </w:r>
      <w:r w:rsidRPr="00823B3A">
        <w:rPr>
          <w:i/>
          <w:iCs/>
          <w:color w:val="222222"/>
          <w:szCs w:val="24"/>
          <w:shd w:val="clear" w:color="auto" w:fill="FFFFFF"/>
        </w:rPr>
        <w:t>18</w:t>
      </w:r>
      <w:r w:rsidRPr="00823B3A">
        <w:rPr>
          <w:color w:val="222222"/>
          <w:szCs w:val="24"/>
          <w:shd w:val="clear" w:color="auto" w:fill="FFFFFF"/>
        </w:rPr>
        <w:t>(1), 454.</w:t>
      </w:r>
    </w:p>
    <w:p w14:paraId="58D97410" w14:textId="77777777" w:rsidR="001872BB" w:rsidRPr="00823B3A" w:rsidRDefault="001872BB" w:rsidP="032B93E0">
      <w:pPr>
        <w:spacing w:after="0" w:line="257" w:lineRule="auto"/>
        <w:rPr>
          <w:rFonts w:eastAsia="Times New Roman"/>
          <w:szCs w:val="24"/>
        </w:rPr>
      </w:pPr>
    </w:p>
    <w:p w14:paraId="749B74C7" w14:textId="5E8A467B" w:rsidR="001C208A" w:rsidRPr="00823B3A" w:rsidRDefault="001C208A" w:rsidP="032B93E0">
      <w:pPr>
        <w:spacing w:after="0" w:line="257" w:lineRule="auto"/>
        <w:rPr>
          <w:rFonts w:eastAsia="Times New Roman"/>
          <w:szCs w:val="24"/>
        </w:rPr>
      </w:pPr>
      <w:r w:rsidRPr="00823B3A">
        <w:rPr>
          <w:color w:val="222222"/>
          <w:szCs w:val="24"/>
          <w:shd w:val="clear" w:color="auto" w:fill="FFFFFF"/>
        </w:rPr>
        <w:t xml:space="preserve">Guebre-Xabier, M., Patel, N., Tian, J. H., Zhou, B., </w:t>
      </w:r>
      <w:proofErr w:type="spellStart"/>
      <w:r w:rsidRPr="00823B3A">
        <w:rPr>
          <w:color w:val="222222"/>
          <w:szCs w:val="24"/>
          <w:shd w:val="clear" w:color="auto" w:fill="FFFFFF"/>
        </w:rPr>
        <w:t>Maciejewski</w:t>
      </w:r>
      <w:proofErr w:type="spellEnd"/>
      <w:r w:rsidRPr="00823B3A">
        <w:rPr>
          <w:color w:val="222222"/>
          <w:szCs w:val="24"/>
          <w:shd w:val="clear" w:color="auto" w:fill="FFFFFF"/>
        </w:rPr>
        <w:t>, S., Lam, K., ... &amp; Smith, G. (2020). NVX-CoV2373 vaccine protects cynomolgus macaque upper and lower airways against SARS-CoV-2 challenge. </w:t>
      </w:r>
      <w:r w:rsidRPr="00823B3A">
        <w:rPr>
          <w:i/>
          <w:iCs/>
          <w:color w:val="222222"/>
          <w:szCs w:val="24"/>
          <w:shd w:val="clear" w:color="auto" w:fill="FFFFFF"/>
        </w:rPr>
        <w:t>Vaccine</w:t>
      </w:r>
      <w:r w:rsidRPr="00823B3A">
        <w:rPr>
          <w:color w:val="222222"/>
          <w:szCs w:val="24"/>
          <w:shd w:val="clear" w:color="auto" w:fill="FFFFFF"/>
        </w:rPr>
        <w:t>, </w:t>
      </w:r>
      <w:r w:rsidRPr="00823B3A">
        <w:rPr>
          <w:i/>
          <w:iCs/>
          <w:color w:val="222222"/>
          <w:szCs w:val="24"/>
          <w:shd w:val="clear" w:color="auto" w:fill="FFFFFF"/>
        </w:rPr>
        <w:t>38</w:t>
      </w:r>
      <w:r w:rsidRPr="00823B3A">
        <w:rPr>
          <w:color w:val="222222"/>
          <w:szCs w:val="24"/>
          <w:shd w:val="clear" w:color="auto" w:fill="FFFFFF"/>
        </w:rPr>
        <w:t>(50), 7892-7896.</w:t>
      </w:r>
    </w:p>
    <w:p w14:paraId="333FC609" w14:textId="77777777" w:rsidR="001235D1" w:rsidRPr="00823B3A" w:rsidRDefault="001235D1" w:rsidP="032B93E0">
      <w:pPr>
        <w:spacing w:after="0" w:line="257" w:lineRule="auto"/>
        <w:rPr>
          <w:rFonts w:eastAsia="Times New Roman"/>
          <w:szCs w:val="24"/>
        </w:rPr>
      </w:pPr>
    </w:p>
    <w:p w14:paraId="18823CFC" w14:textId="55FBAD9A" w:rsidR="00F36A9A" w:rsidRPr="00823B3A" w:rsidRDefault="094F6748" w:rsidP="032B93E0">
      <w:pPr>
        <w:spacing w:after="0" w:line="257" w:lineRule="auto"/>
        <w:rPr>
          <w:rFonts w:eastAsia="Times New Roman"/>
          <w:szCs w:val="24"/>
        </w:rPr>
      </w:pPr>
      <w:r w:rsidRPr="00823B3A">
        <w:rPr>
          <w:rFonts w:eastAsia="Times New Roman"/>
          <w:szCs w:val="24"/>
        </w:rPr>
        <w:t xml:space="preserve">Johansen, M. D., Irving, A., </w:t>
      </w:r>
      <w:proofErr w:type="spellStart"/>
      <w:r w:rsidRPr="00823B3A">
        <w:rPr>
          <w:rFonts w:eastAsia="Times New Roman"/>
          <w:szCs w:val="24"/>
        </w:rPr>
        <w:t>Montagutelli</w:t>
      </w:r>
      <w:proofErr w:type="spellEnd"/>
      <w:r w:rsidRPr="00823B3A">
        <w:rPr>
          <w:rFonts w:eastAsia="Times New Roman"/>
          <w:szCs w:val="24"/>
        </w:rPr>
        <w:t xml:space="preserve">, X., Tate, M. D., </w:t>
      </w:r>
      <w:proofErr w:type="spellStart"/>
      <w:r w:rsidRPr="00823B3A">
        <w:rPr>
          <w:rFonts w:eastAsia="Times New Roman"/>
          <w:szCs w:val="24"/>
        </w:rPr>
        <w:t>Rudloff</w:t>
      </w:r>
      <w:proofErr w:type="spellEnd"/>
      <w:r w:rsidRPr="00823B3A">
        <w:rPr>
          <w:rFonts w:eastAsia="Times New Roman"/>
          <w:szCs w:val="24"/>
        </w:rPr>
        <w:t xml:space="preserve">, I., </w:t>
      </w:r>
      <w:proofErr w:type="spellStart"/>
      <w:r w:rsidRPr="00823B3A">
        <w:rPr>
          <w:rFonts w:eastAsia="Times New Roman"/>
          <w:szCs w:val="24"/>
        </w:rPr>
        <w:t>Nold</w:t>
      </w:r>
      <w:proofErr w:type="spellEnd"/>
      <w:r w:rsidRPr="00823B3A">
        <w:rPr>
          <w:rFonts w:eastAsia="Times New Roman"/>
          <w:szCs w:val="24"/>
        </w:rPr>
        <w:t xml:space="preserve">, M. F., ... &amp; </w:t>
      </w:r>
      <w:proofErr w:type="spellStart"/>
      <w:r w:rsidRPr="00823B3A">
        <w:rPr>
          <w:rFonts w:eastAsia="Times New Roman"/>
          <w:szCs w:val="24"/>
        </w:rPr>
        <w:t>Faiz</w:t>
      </w:r>
      <w:proofErr w:type="spellEnd"/>
      <w:r w:rsidRPr="00823B3A">
        <w:rPr>
          <w:rFonts w:eastAsia="Times New Roman"/>
          <w:szCs w:val="24"/>
        </w:rPr>
        <w:t>, A. (2020). Animal and translational models of SARS-CoV-2 infection and COVID-19. Mucosal immunology, 1-15.</w:t>
      </w:r>
    </w:p>
    <w:p w14:paraId="03FB2D0B" w14:textId="77777777" w:rsidR="001235D1" w:rsidRPr="00823B3A" w:rsidRDefault="001235D1" w:rsidP="032B93E0">
      <w:pPr>
        <w:spacing w:after="0" w:line="257" w:lineRule="auto"/>
        <w:rPr>
          <w:rFonts w:eastAsia="Times New Roman"/>
          <w:szCs w:val="24"/>
        </w:rPr>
      </w:pPr>
    </w:p>
    <w:p w14:paraId="38F676AD" w14:textId="0A86B5D6" w:rsidR="00F36A9A" w:rsidRPr="00823B3A" w:rsidRDefault="094F6748" w:rsidP="032B93E0">
      <w:pPr>
        <w:spacing w:after="0" w:line="257" w:lineRule="auto"/>
        <w:rPr>
          <w:rFonts w:eastAsia="Times New Roman"/>
          <w:szCs w:val="24"/>
        </w:rPr>
      </w:pPr>
      <w:r w:rsidRPr="00823B3A">
        <w:rPr>
          <w:rFonts w:eastAsia="Times New Roman"/>
          <w:szCs w:val="24"/>
        </w:rPr>
        <w:t>MacKinnon J</w:t>
      </w:r>
      <w:r w:rsidR="00363D88" w:rsidRPr="00823B3A">
        <w:rPr>
          <w:rFonts w:eastAsia="Times New Roman"/>
          <w:szCs w:val="24"/>
        </w:rPr>
        <w:t>.</w:t>
      </w:r>
      <w:r w:rsidRPr="00823B3A">
        <w:rPr>
          <w:rFonts w:eastAsia="Times New Roman"/>
          <w:szCs w:val="24"/>
        </w:rPr>
        <w:t>G</w:t>
      </w:r>
      <w:r w:rsidR="00363D88" w:rsidRPr="00823B3A">
        <w:rPr>
          <w:rFonts w:eastAsia="Times New Roman"/>
          <w:szCs w:val="24"/>
        </w:rPr>
        <w:t>.</w:t>
      </w:r>
      <w:r w:rsidRPr="00823B3A">
        <w:rPr>
          <w:rFonts w:eastAsia="Times New Roman"/>
          <w:szCs w:val="24"/>
        </w:rPr>
        <w:t>, White H (1985). “Some Heteroskedasticity-Consistent Covariance Matrix Estimators with Improved Finite Sample Properties.” Journal of Econometrics, 29, 305– 325.</w:t>
      </w:r>
    </w:p>
    <w:p w14:paraId="692C276A" w14:textId="1A631E2C" w:rsidR="001235D1" w:rsidRPr="00823B3A" w:rsidRDefault="001235D1" w:rsidP="032B93E0">
      <w:pPr>
        <w:spacing w:after="0" w:line="257" w:lineRule="auto"/>
        <w:rPr>
          <w:rFonts w:eastAsia="Times New Roman"/>
          <w:szCs w:val="24"/>
        </w:rPr>
      </w:pPr>
    </w:p>
    <w:p w14:paraId="67892E29" w14:textId="142CF878" w:rsidR="003D556F" w:rsidRPr="00823B3A" w:rsidRDefault="003D556F" w:rsidP="032B93E0">
      <w:pPr>
        <w:spacing w:after="0" w:line="257" w:lineRule="auto"/>
        <w:rPr>
          <w:color w:val="222222"/>
          <w:szCs w:val="24"/>
          <w:shd w:val="clear" w:color="auto" w:fill="FFFFFF"/>
        </w:rPr>
      </w:pPr>
      <w:r w:rsidRPr="00823B3A">
        <w:rPr>
          <w:color w:val="222222"/>
          <w:szCs w:val="24"/>
          <w:shd w:val="clear" w:color="auto" w:fill="FFFFFF"/>
        </w:rPr>
        <w:t xml:space="preserve">McMahan, Katherine, </w:t>
      </w:r>
      <w:proofErr w:type="spellStart"/>
      <w:r w:rsidRPr="00823B3A">
        <w:rPr>
          <w:color w:val="222222"/>
          <w:szCs w:val="24"/>
          <w:shd w:val="clear" w:color="auto" w:fill="FFFFFF"/>
        </w:rPr>
        <w:t>Jingyou</w:t>
      </w:r>
      <w:proofErr w:type="spellEnd"/>
      <w:r w:rsidRPr="00823B3A">
        <w:rPr>
          <w:color w:val="222222"/>
          <w:szCs w:val="24"/>
          <w:shd w:val="clear" w:color="auto" w:fill="FFFFFF"/>
        </w:rPr>
        <w:t xml:space="preserve"> Y</w:t>
      </w:r>
      <w:r w:rsidR="00363D88" w:rsidRPr="00823B3A">
        <w:rPr>
          <w:color w:val="222222"/>
          <w:szCs w:val="24"/>
          <w:shd w:val="clear" w:color="auto" w:fill="FFFFFF"/>
        </w:rPr>
        <w:t>.</w:t>
      </w:r>
      <w:r w:rsidRPr="00823B3A">
        <w:rPr>
          <w:color w:val="222222"/>
          <w:szCs w:val="24"/>
          <w:shd w:val="clear" w:color="auto" w:fill="FFFFFF"/>
        </w:rPr>
        <w:t>, Mercado</w:t>
      </w:r>
      <w:r w:rsidR="00363D88" w:rsidRPr="00823B3A">
        <w:rPr>
          <w:color w:val="222222"/>
          <w:szCs w:val="24"/>
          <w:shd w:val="clear" w:color="auto" w:fill="FFFFFF"/>
        </w:rPr>
        <w:t>, N.B.</w:t>
      </w:r>
      <w:r w:rsidRPr="00823B3A">
        <w:rPr>
          <w:color w:val="222222"/>
          <w:szCs w:val="24"/>
          <w:shd w:val="clear" w:color="auto" w:fill="FFFFFF"/>
        </w:rPr>
        <w:t>, Loos</w:t>
      </w:r>
      <w:r w:rsidR="00363D88" w:rsidRPr="00823B3A">
        <w:rPr>
          <w:color w:val="222222"/>
          <w:szCs w:val="24"/>
          <w:shd w:val="clear" w:color="auto" w:fill="FFFFFF"/>
        </w:rPr>
        <w:t>, C.</w:t>
      </w:r>
      <w:r w:rsidRPr="00823B3A">
        <w:rPr>
          <w:color w:val="222222"/>
          <w:szCs w:val="24"/>
          <w:shd w:val="clear" w:color="auto" w:fill="FFFFFF"/>
        </w:rPr>
        <w:t xml:space="preserve">, </w:t>
      </w:r>
      <w:proofErr w:type="spellStart"/>
      <w:r w:rsidRPr="00823B3A">
        <w:rPr>
          <w:color w:val="222222"/>
          <w:szCs w:val="24"/>
          <w:shd w:val="clear" w:color="auto" w:fill="FFFFFF"/>
        </w:rPr>
        <w:t>Tostanoski</w:t>
      </w:r>
      <w:proofErr w:type="spellEnd"/>
      <w:r w:rsidRPr="00823B3A">
        <w:rPr>
          <w:color w:val="222222"/>
          <w:szCs w:val="24"/>
          <w:shd w:val="clear" w:color="auto" w:fill="FFFFFF"/>
        </w:rPr>
        <w:t xml:space="preserve">, </w:t>
      </w:r>
      <w:r w:rsidR="00363D88" w:rsidRPr="00823B3A">
        <w:rPr>
          <w:color w:val="222222"/>
          <w:szCs w:val="24"/>
          <w:shd w:val="clear" w:color="auto" w:fill="FFFFFF"/>
        </w:rPr>
        <w:t xml:space="preserve">L.H., </w:t>
      </w:r>
      <w:r w:rsidRPr="00823B3A">
        <w:rPr>
          <w:color w:val="222222"/>
          <w:szCs w:val="24"/>
          <w:shd w:val="clear" w:color="auto" w:fill="FFFFFF"/>
        </w:rPr>
        <w:t>Chandrashekar</w:t>
      </w:r>
      <w:r w:rsidR="00363D88" w:rsidRPr="00823B3A">
        <w:rPr>
          <w:color w:val="222222"/>
          <w:szCs w:val="24"/>
          <w:shd w:val="clear" w:color="auto" w:fill="FFFFFF"/>
        </w:rPr>
        <w:t>, A.</w:t>
      </w:r>
      <w:r w:rsidRPr="00823B3A">
        <w:rPr>
          <w:color w:val="222222"/>
          <w:szCs w:val="24"/>
          <w:shd w:val="clear" w:color="auto" w:fill="FFFFFF"/>
        </w:rPr>
        <w:t>, Liu</w:t>
      </w:r>
      <w:r w:rsidR="00363D88" w:rsidRPr="00823B3A">
        <w:rPr>
          <w:color w:val="222222"/>
          <w:szCs w:val="24"/>
          <w:shd w:val="clear" w:color="auto" w:fill="FFFFFF"/>
        </w:rPr>
        <w:t>, J.</w:t>
      </w:r>
      <w:r w:rsidRPr="00823B3A">
        <w:rPr>
          <w:color w:val="222222"/>
          <w:szCs w:val="24"/>
          <w:shd w:val="clear" w:color="auto" w:fill="FFFFFF"/>
        </w:rPr>
        <w:t xml:space="preserve"> et al. "Correlates of protection against SARS-CoV-2 in rhesus macaques." </w:t>
      </w:r>
      <w:r w:rsidRPr="00823B3A">
        <w:rPr>
          <w:i/>
          <w:color w:val="222222"/>
          <w:szCs w:val="24"/>
          <w:shd w:val="clear" w:color="auto" w:fill="FFFFFF"/>
        </w:rPr>
        <w:t>Nature</w:t>
      </w:r>
      <w:r w:rsidRPr="00823B3A">
        <w:rPr>
          <w:color w:val="222222"/>
          <w:szCs w:val="24"/>
          <w:shd w:val="clear" w:color="auto" w:fill="FFFFFF"/>
        </w:rPr>
        <w:t> (2020): 1-5.</w:t>
      </w:r>
    </w:p>
    <w:p w14:paraId="091849F8" w14:textId="77777777" w:rsidR="003D556F" w:rsidRPr="00823B3A" w:rsidRDefault="003D556F" w:rsidP="032B93E0">
      <w:pPr>
        <w:spacing w:after="0" w:line="257" w:lineRule="auto"/>
        <w:rPr>
          <w:szCs w:val="24"/>
        </w:rPr>
      </w:pPr>
    </w:p>
    <w:p w14:paraId="50D358A2" w14:textId="77777777" w:rsidR="000E46C7" w:rsidRPr="00823B3A" w:rsidRDefault="094F6748" w:rsidP="032B93E0">
      <w:pPr>
        <w:spacing w:after="0" w:line="257" w:lineRule="auto"/>
        <w:rPr>
          <w:szCs w:val="24"/>
          <w:lang w:val="nl-NL"/>
        </w:rPr>
      </w:pPr>
      <w:r w:rsidRPr="00823B3A">
        <w:rPr>
          <w:szCs w:val="24"/>
          <w:lang w:val="nl-NL"/>
        </w:rPr>
        <w:t xml:space="preserve">Mercado, N. B., Zahn, R., Wegmann, F., Loos, C., Chandrashekar, A., Yu, J., ... </w:t>
      </w:r>
      <w:r w:rsidRPr="00823B3A">
        <w:rPr>
          <w:rFonts w:eastAsia="Times New Roman"/>
          <w:szCs w:val="24"/>
        </w:rPr>
        <w:t xml:space="preserve">&amp; He, X. (2020). Single-shot Ad26 vaccine protects against SARS-CoV-2 in rhesus macaques. </w:t>
      </w:r>
      <w:r w:rsidRPr="00823B3A">
        <w:rPr>
          <w:szCs w:val="24"/>
          <w:lang w:val="nl-NL"/>
        </w:rPr>
        <w:t>Nature,</w:t>
      </w:r>
    </w:p>
    <w:p w14:paraId="13794FF9" w14:textId="096DC660" w:rsidR="00F36A9A" w:rsidRPr="00823B3A" w:rsidRDefault="000522B7" w:rsidP="032B93E0">
      <w:pPr>
        <w:spacing w:after="0" w:line="257" w:lineRule="auto"/>
        <w:rPr>
          <w:rStyle w:val="Hyperlink"/>
          <w:szCs w:val="24"/>
          <w:lang w:val="nl-NL"/>
        </w:rPr>
      </w:pPr>
      <w:hyperlink r:id="rId13" w:history="1">
        <w:r w:rsidR="000E46C7" w:rsidRPr="00823B3A">
          <w:rPr>
            <w:rStyle w:val="Hyperlink"/>
            <w:szCs w:val="24"/>
            <w:lang w:val="nl-NL"/>
          </w:rPr>
          <w:t>https://doi.org/10.1038/s41586-020-2607-z</w:t>
        </w:r>
      </w:hyperlink>
      <w:r w:rsidR="000E46C7" w:rsidRPr="00823B3A">
        <w:rPr>
          <w:szCs w:val="24"/>
          <w:lang w:val="nl-NL"/>
        </w:rPr>
        <w:t xml:space="preserve"> .</w:t>
      </w:r>
      <w:r w:rsidR="094F6748" w:rsidRPr="00823B3A">
        <w:rPr>
          <w:szCs w:val="24"/>
          <w:lang w:val="nl-NL"/>
        </w:rPr>
        <w:t xml:space="preserve"> </w:t>
      </w:r>
    </w:p>
    <w:p w14:paraId="67D68434" w14:textId="77777777" w:rsidR="00797CDA" w:rsidRPr="00823B3A" w:rsidRDefault="00797CDA" w:rsidP="032B93E0">
      <w:pPr>
        <w:spacing w:after="0" w:line="257" w:lineRule="auto"/>
        <w:rPr>
          <w:rStyle w:val="Hyperlink"/>
          <w:szCs w:val="24"/>
          <w:lang w:val="nl-NL"/>
        </w:rPr>
      </w:pPr>
    </w:p>
    <w:p w14:paraId="2E4D2867" w14:textId="357BCA73" w:rsidR="00F36A9A" w:rsidRPr="00823B3A" w:rsidRDefault="094F6748" w:rsidP="032B93E0">
      <w:pPr>
        <w:spacing w:after="0" w:line="257" w:lineRule="auto"/>
        <w:rPr>
          <w:rFonts w:eastAsia="Times New Roman"/>
          <w:szCs w:val="24"/>
        </w:rPr>
      </w:pPr>
      <w:r w:rsidRPr="00823B3A">
        <w:rPr>
          <w:szCs w:val="24"/>
          <w:lang w:val="nl-NL"/>
        </w:rPr>
        <w:t xml:space="preserve">Munster, V. J., Feldmann, F., Williamson, B. N., van Doremalen, N., Pérez-Pérez, L., Schulz, J., ... </w:t>
      </w:r>
      <w:r w:rsidRPr="00823B3A">
        <w:rPr>
          <w:rFonts w:eastAsia="Times New Roman"/>
          <w:szCs w:val="24"/>
        </w:rPr>
        <w:t xml:space="preserve">&amp; </w:t>
      </w:r>
      <w:proofErr w:type="spellStart"/>
      <w:r w:rsidRPr="00823B3A">
        <w:rPr>
          <w:rFonts w:eastAsia="Times New Roman"/>
          <w:szCs w:val="24"/>
        </w:rPr>
        <w:t>Avanzato</w:t>
      </w:r>
      <w:proofErr w:type="spellEnd"/>
      <w:r w:rsidRPr="00823B3A">
        <w:rPr>
          <w:rFonts w:eastAsia="Times New Roman"/>
          <w:szCs w:val="24"/>
        </w:rPr>
        <w:t xml:space="preserve">, V. A. (2020). Respiratory disease in rhesus macaques inoculated with SARS-CoV-2. Nature, </w:t>
      </w:r>
      <w:hyperlink r:id="rId14" w:history="1">
        <w:r w:rsidRPr="00823B3A">
          <w:rPr>
            <w:rStyle w:val="Hyperlink"/>
            <w:rFonts w:eastAsia="Calibri"/>
            <w:color w:val="0563C1"/>
            <w:szCs w:val="24"/>
          </w:rPr>
          <w:t>https://doi.org/10.1038/s41586-020-2324-7</w:t>
        </w:r>
      </w:hyperlink>
      <w:r w:rsidRPr="00823B3A">
        <w:rPr>
          <w:rFonts w:eastAsia="Times New Roman"/>
          <w:szCs w:val="24"/>
        </w:rPr>
        <w:t>.</w:t>
      </w:r>
    </w:p>
    <w:p w14:paraId="2D8BDCAF" w14:textId="2B9AA685" w:rsidR="001235D1" w:rsidRPr="00823B3A" w:rsidRDefault="001235D1" w:rsidP="032B93E0">
      <w:pPr>
        <w:spacing w:after="0" w:line="257" w:lineRule="auto"/>
        <w:rPr>
          <w:rFonts w:eastAsia="Times New Roman"/>
          <w:color w:val="222222"/>
          <w:szCs w:val="24"/>
        </w:rPr>
      </w:pPr>
    </w:p>
    <w:p w14:paraId="66F2F7CF" w14:textId="6FAC1061" w:rsidR="00797CDA" w:rsidRPr="00823B3A" w:rsidRDefault="00797CDA" w:rsidP="032B93E0">
      <w:pPr>
        <w:spacing w:after="0" w:line="257" w:lineRule="auto"/>
        <w:rPr>
          <w:color w:val="000000"/>
          <w:szCs w:val="24"/>
          <w:shd w:val="clear" w:color="auto" w:fill="FFFFFF"/>
        </w:rPr>
      </w:pPr>
      <w:proofErr w:type="spellStart"/>
      <w:r w:rsidRPr="00823B3A">
        <w:rPr>
          <w:color w:val="000000"/>
          <w:szCs w:val="24"/>
          <w:shd w:val="clear" w:color="auto" w:fill="FFFFFF"/>
        </w:rPr>
        <w:t>Muggeo</w:t>
      </w:r>
      <w:proofErr w:type="spellEnd"/>
      <w:r w:rsidR="00363D88" w:rsidRPr="00823B3A">
        <w:rPr>
          <w:color w:val="000000"/>
          <w:szCs w:val="24"/>
          <w:shd w:val="clear" w:color="auto" w:fill="FFFFFF"/>
        </w:rPr>
        <w:t>,</w:t>
      </w:r>
      <w:r w:rsidRPr="00823B3A">
        <w:rPr>
          <w:color w:val="000000"/>
          <w:szCs w:val="24"/>
          <w:shd w:val="clear" w:color="auto" w:fill="FFFFFF"/>
        </w:rPr>
        <w:t xml:space="preserve"> V</w:t>
      </w:r>
      <w:r w:rsidR="00363D88" w:rsidRPr="00823B3A">
        <w:rPr>
          <w:color w:val="000000"/>
          <w:szCs w:val="24"/>
          <w:shd w:val="clear" w:color="auto" w:fill="FFFFFF"/>
        </w:rPr>
        <w:t>.</w:t>
      </w:r>
      <w:r w:rsidRPr="00823B3A">
        <w:rPr>
          <w:color w:val="000000"/>
          <w:szCs w:val="24"/>
          <w:shd w:val="clear" w:color="auto" w:fill="FFFFFF"/>
        </w:rPr>
        <w:t xml:space="preserve"> (2020) Selecting number of breakpoints in segmented regression: implementation in the R package segmented </w:t>
      </w:r>
      <w:hyperlink r:id="rId15" w:history="1">
        <w:r w:rsidRPr="00823B3A">
          <w:rPr>
            <w:rStyle w:val="Hyperlink"/>
            <w:szCs w:val="24"/>
            <w:shd w:val="clear" w:color="auto" w:fill="FFFFFF"/>
          </w:rPr>
          <w:t>https://www.researchgate.net/publication/343737604</w:t>
        </w:r>
      </w:hyperlink>
    </w:p>
    <w:p w14:paraId="73F7D0C2" w14:textId="77777777" w:rsidR="00797CDA" w:rsidRPr="00823B3A" w:rsidRDefault="00797CDA" w:rsidP="032B93E0">
      <w:pPr>
        <w:spacing w:after="0" w:line="257" w:lineRule="auto"/>
        <w:rPr>
          <w:rFonts w:eastAsia="Times New Roman"/>
          <w:color w:val="222222"/>
          <w:szCs w:val="24"/>
        </w:rPr>
      </w:pPr>
    </w:p>
    <w:p w14:paraId="6B85DE1E" w14:textId="7ACE7E1F" w:rsidR="00F36A9A" w:rsidRPr="00823B3A" w:rsidRDefault="094F6748" w:rsidP="032B93E0">
      <w:pPr>
        <w:spacing w:after="0" w:line="257" w:lineRule="auto"/>
        <w:rPr>
          <w:rFonts w:eastAsia="Times New Roman"/>
          <w:color w:val="222222"/>
          <w:szCs w:val="24"/>
        </w:rPr>
      </w:pPr>
      <w:r w:rsidRPr="00823B3A">
        <w:rPr>
          <w:rFonts w:eastAsia="Times New Roman"/>
          <w:color w:val="222222"/>
          <w:szCs w:val="24"/>
        </w:rPr>
        <w:t xml:space="preserve">Neidich, </w:t>
      </w:r>
      <w:r w:rsidR="00363D88" w:rsidRPr="00823B3A">
        <w:rPr>
          <w:rFonts w:eastAsia="Times New Roman"/>
          <w:color w:val="222222"/>
          <w:szCs w:val="24"/>
        </w:rPr>
        <w:t xml:space="preserve">S. </w:t>
      </w:r>
      <w:r w:rsidRPr="00823B3A">
        <w:rPr>
          <w:rFonts w:eastAsia="Times New Roman"/>
          <w:color w:val="222222"/>
          <w:szCs w:val="24"/>
        </w:rPr>
        <w:t>D., Fong,</w:t>
      </w:r>
      <w:r w:rsidR="00363D88" w:rsidRPr="00823B3A">
        <w:rPr>
          <w:rFonts w:eastAsia="Times New Roman"/>
          <w:color w:val="222222"/>
          <w:szCs w:val="24"/>
        </w:rPr>
        <w:t xml:space="preserve"> Y.</w:t>
      </w:r>
      <w:r w:rsidRPr="00823B3A">
        <w:rPr>
          <w:rFonts w:eastAsia="Times New Roman"/>
          <w:color w:val="222222"/>
          <w:szCs w:val="24"/>
        </w:rPr>
        <w:t xml:space="preserve"> </w:t>
      </w:r>
      <w:proofErr w:type="spellStart"/>
      <w:proofErr w:type="gramStart"/>
      <w:r w:rsidRPr="00823B3A">
        <w:rPr>
          <w:rFonts w:eastAsia="Times New Roman"/>
          <w:color w:val="222222"/>
          <w:szCs w:val="24"/>
        </w:rPr>
        <w:t>Li,</w:t>
      </w:r>
      <w:r w:rsidR="00363D88" w:rsidRPr="00823B3A">
        <w:rPr>
          <w:rFonts w:eastAsia="Times New Roman"/>
          <w:color w:val="222222"/>
          <w:szCs w:val="24"/>
        </w:rPr>
        <w:t>S.S</w:t>
      </w:r>
      <w:proofErr w:type="spellEnd"/>
      <w:r w:rsidR="00363D88" w:rsidRPr="00823B3A">
        <w:rPr>
          <w:rFonts w:eastAsia="Times New Roman"/>
          <w:color w:val="222222"/>
          <w:szCs w:val="24"/>
        </w:rPr>
        <w:t>.</w:t>
      </w:r>
      <w:proofErr w:type="gramEnd"/>
      <w:r w:rsidR="00363D88" w:rsidRPr="00823B3A">
        <w:rPr>
          <w:rFonts w:eastAsia="Times New Roman"/>
          <w:color w:val="222222"/>
          <w:szCs w:val="24"/>
        </w:rPr>
        <w:t>,</w:t>
      </w:r>
      <w:r w:rsidRPr="00823B3A">
        <w:rPr>
          <w:rFonts w:eastAsia="Times New Roman"/>
          <w:color w:val="222222"/>
          <w:szCs w:val="24"/>
        </w:rPr>
        <w:t xml:space="preserve"> Geraghty,</w:t>
      </w:r>
      <w:r w:rsidR="00363D88" w:rsidRPr="00823B3A">
        <w:rPr>
          <w:rFonts w:eastAsia="Times New Roman"/>
          <w:color w:val="222222"/>
          <w:szCs w:val="24"/>
        </w:rPr>
        <w:t xml:space="preserve"> D.E.,</w:t>
      </w:r>
      <w:r w:rsidRPr="00823B3A">
        <w:rPr>
          <w:rFonts w:eastAsia="Times New Roman"/>
          <w:color w:val="222222"/>
          <w:szCs w:val="24"/>
        </w:rPr>
        <w:t xml:space="preserve"> Williamson</w:t>
      </w:r>
      <w:r w:rsidR="00363D88" w:rsidRPr="00823B3A">
        <w:rPr>
          <w:rFonts w:eastAsia="Times New Roman"/>
          <w:color w:val="222222"/>
          <w:szCs w:val="24"/>
        </w:rPr>
        <w:t>, B.D.</w:t>
      </w:r>
      <w:r w:rsidRPr="00823B3A">
        <w:rPr>
          <w:rFonts w:eastAsia="Times New Roman"/>
          <w:color w:val="222222"/>
          <w:szCs w:val="24"/>
        </w:rPr>
        <w:t>, Young,</w:t>
      </w:r>
      <w:r w:rsidR="00363D88" w:rsidRPr="00823B3A">
        <w:rPr>
          <w:rFonts w:eastAsia="Times New Roman"/>
          <w:color w:val="222222"/>
          <w:szCs w:val="24"/>
        </w:rPr>
        <w:t xml:space="preserve"> W.C.,</w:t>
      </w:r>
      <w:r w:rsidRPr="00823B3A">
        <w:rPr>
          <w:rFonts w:eastAsia="Times New Roman"/>
          <w:color w:val="222222"/>
          <w:szCs w:val="24"/>
        </w:rPr>
        <w:t xml:space="preserve"> Goodman</w:t>
      </w:r>
      <w:r w:rsidR="00363D88" w:rsidRPr="00823B3A">
        <w:rPr>
          <w:rFonts w:eastAsia="Times New Roman"/>
          <w:color w:val="222222"/>
          <w:szCs w:val="24"/>
        </w:rPr>
        <w:t>, D.</w:t>
      </w:r>
      <w:r w:rsidRPr="00823B3A">
        <w:rPr>
          <w:rFonts w:eastAsia="Times New Roman"/>
          <w:color w:val="222222"/>
          <w:szCs w:val="24"/>
        </w:rPr>
        <w:t xml:space="preserve"> et al. "Antibody Fc effector functions and IgG3 associate with decreased HIV-1 risk." </w:t>
      </w:r>
      <w:r w:rsidRPr="00823B3A">
        <w:rPr>
          <w:rFonts w:eastAsia="Times New Roman"/>
          <w:i/>
          <w:iCs/>
          <w:color w:val="222222"/>
          <w:szCs w:val="24"/>
        </w:rPr>
        <w:t>Journal of Clinical Investigation</w:t>
      </w:r>
      <w:r w:rsidRPr="00823B3A">
        <w:rPr>
          <w:rFonts w:eastAsia="Times New Roman"/>
          <w:color w:val="222222"/>
          <w:szCs w:val="24"/>
        </w:rPr>
        <w:t xml:space="preserve"> 129, no. 11 (2019): 4838-4849.</w:t>
      </w:r>
    </w:p>
    <w:p w14:paraId="6C233449" w14:textId="77777777" w:rsidR="001235D1" w:rsidRPr="00823B3A" w:rsidRDefault="001235D1" w:rsidP="032B93E0">
      <w:pPr>
        <w:spacing w:after="0" w:line="257" w:lineRule="auto"/>
        <w:rPr>
          <w:rFonts w:eastAsia="Times New Roman"/>
          <w:color w:val="222222"/>
          <w:szCs w:val="24"/>
        </w:rPr>
      </w:pPr>
    </w:p>
    <w:p w14:paraId="09F2B6B1" w14:textId="2A933349" w:rsidR="00F36A9A" w:rsidRPr="00823B3A" w:rsidRDefault="094F6748" w:rsidP="032B93E0">
      <w:pPr>
        <w:spacing w:after="0" w:line="257" w:lineRule="auto"/>
        <w:rPr>
          <w:rFonts w:eastAsia="Times New Roman"/>
          <w:color w:val="222222"/>
          <w:szCs w:val="24"/>
        </w:rPr>
      </w:pPr>
      <w:r w:rsidRPr="00823B3A">
        <w:rPr>
          <w:rFonts w:eastAsia="Times New Roman"/>
          <w:color w:val="222222"/>
          <w:szCs w:val="24"/>
        </w:rPr>
        <w:t>Plotkin, S. A., and Gilbert, P. B. (2012). Nomenclature for immune correlates of protection after vaccination. Clinical Infectious Diseases, 54(11), 1615-1617.</w:t>
      </w:r>
    </w:p>
    <w:p w14:paraId="741D7EB7" w14:textId="77777777" w:rsidR="001235D1" w:rsidRPr="00823B3A" w:rsidRDefault="001235D1" w:rsidP="032B93E0">
      <w:pPr>
        <w:spacing w:after="0" w:line="257" w:lineRule="auto"/>
        <w:rPr>
          <w:rFonts w:eastAsia="Times New Roman"/>
          <w:szCs w:val="24"/>
        </w:rPr>
      </w:pPr>
    </w:p>
    <w:p w14:paraId="54D69F7E" w14:textId="78818437" w:rsidR="00F36A9A" w:rsidRDefault="094F6748" w:rsidP="032B93E0">
      <w:pPr>
        <w:spacing w:after="0" w:line="257" w:lineRule="auto"/>
        <w:rPr>
          <w:rFonts w:eastAsia="Times New Roman"/>
          <w:szCs w:val="24"/>
        </w:rPr>
      </w:pPr>
      <w:r w:rsidRPr="00823B3A">
        <w:rPr>
          <w:rFonts w:eastAsia="Times New Roman"/>
          <w:szCs w:val="24"/>
        </w:rPr>
        <w:t>Qin, L., Gilbert, P. B., Corey, L., McElrath, M. J., and Self, S. G. (2007). A framework for assessing immunological correlates of protection in vaccine trials. The Journal of infectious diseases, 196(9), 1304-1312.</w:t>
      </w:r>
    </w:p>
    <w:p w14:paraId="1BBA2A05" w14:textId="4FEAB4FE" w:rsidR="005C3BBA" w:rsidRDefault="005C3BBA" w:rsidP="032B93E0">
      <w:pPr>
        <w:spacing w:after="0" w:line="257" w:lineRule="auto"/>
        <w:rPr>
          <w:rFonts w:eastAsia="Times New Roman"/>
          <w:szCs w:val="24"/>
        </w:rPr>
      </w:pPr>
    </w:p>
    <w:p w14:paraId="7A2E506F" w14:textId="43D22F13" w:rsidR="005C3BBA" w:rsidRPr="00823B3A" w:rsidRDefault="005C3BBA" w:rsidP="032B93E0">
      <w:pPr>
        <w:spacing w:after="0" w:line="257" w:lineRule="auto"/>
        <w:rPr>
          <w:rFonts w:eastAsia="Times New Roman"/>
          <w:szCs w:val="24"/>
        </w:rPr>
      </w:pPr>
      <w:r>
        <w:rPr>
          <w:rFonts w:eastAsia="Times New Roman"/>
          <w:szCs w:val="24"/>
        </w:rPr>
        <w:t xml:space="preserve">Ritz, C., </w:t>
      </w:r>
      <w:proofErr w:type="spellStart"/>
      <w:r>
        <w:rPr>
          <w:rFonts w:eastAsia="Times New Roman"/>
          <w:szCs w:val="24"/>
        </w:rPr>
        <w:t>Baty</w:t>
      </w:r>
      <w:proofErr w:type="spellEnd"/>
      <w:r>
        <w:rPr>
          <w:rFonts w:eastAsia="Times New Roman"/>
          <w:szCs w:val="24"/>
        </w:rPr>
        <w:t xml:space="preserve">, F., </w:t>
      </w:r>
      <w:proofErr w:type="spellStart"/>
      <w:r>
        <w:rPr>
          <w:rFonts w:eastAsia="Times New Roman"/>
          <w:szCs w:val="24"/>
        </w:rPr>
        <w:t>Streibig</w:t>
      </w:r>
      <w:proofErr w:type="spellEnd"/>
      <w:r>
        <w:rPr>
          <w:rFonts w:eastAsia="Times New Roman"/>
          <w:szCs w:val="24"/>
        </w:rPr>
        <w:t xml:space="preserve">, J.C., and Gerhard, D. (2015). Dose-Response Analysis Using R. </w:t>
      </w:r>
      <w:proofErr w:type="spellStart"/>
      <w:r>
        <w:rPr>
          <w:rFonts w:eastAsia="Times New Roman"/>
          <w:szCs w:val="24"/>
        </w:rPr>
        <w:t>PLoS</w:t>
      </w:r>
      <w:proofErr w:type="spellEnd"/>
      <w:r>
        <w:rPr>
          <w:rFonts w:eastAsia="Times New Roman"/>
          <w:szCs w:val="24"/>
        </w:rPr>
        <w:t xml:space="preserve"> ONE, 10(12), 1-13. </w:t>
      </w:r>
    </w:p>
    <w:p w14:paraId="0EC08161" w14:textId="5F26B21F" w:rsidR="001235D1" w:rsidRPr="00823B3A" w:rsidRDefault="001235D1" w:rsidP="032B93E0">
      <w:pPr>
        <w:spacing w:after="0" w:line="257" w:lineRule="auto"/>
        <w:rPr>
          <w:rFonts w:eastAsia="Times New Roman"/>
          <w:color w:val="222222"/>
          <w:szCs w:val="24"/>
        </w:rPr>
      </w:pPr>
    </w:p>
    <w:p w14:paraId="6A8C4A97" w14:textId="6B60BEBF" w:rsidR="00196333" w:rsidRPr="00823B3A" w:rsidRDefault="00196333" w:rsidP="032B93E0">
      <w:pPr>
        <w:spacing w:after="0" w:line="257" w:lineRule="auto"/>
        <w:rPr>
          <w:color w:val="222222"/>
          <w:szCs w:val="24"/>
          <w:shd w:val="clear" w:color="auto" w:fill="FFFFFF"/>
        </w:rPr>
      </w:pPr>
      <w:proofErr w:type="spellStart"/>
      <w:r w:rsidRPr="00823B3A">
        <w:rPr>
          <w:color w:val="222222"/>
          <w:szCs w:val="24"/>
          <w:shd w:val="clear" w:color="auto" w:fill="FFFFFF"/>
        </w:rPr>
        <w:t>Tjur</w:t>
      </w:r>
      <w:proofErr w:type="spellEnd"/>
      <w:r w:rsidRPr="00823B3A">
        <w:rPr>
          <w:color w:val="222222"/>
          <w:szCs w:val="24"/>
          <w:shd w:val="clear" w:color="auto" w:fill="FFFFFF"/>
        </w:rPr>
        <w:t>, T. (2009). Coefficients of determination in logistic regression models—A new proposal: The coefficient of discrimination. The American Statistician, 63(4), 366-372.</w:t>
      </w:r>
    </w:p>
    <w:p w14:paraId="00DD960B" w14:textId="77777777" w:rsidR="001C208A" w:rsidRPr="00823B3A" w:rsidRDefault="001C208A" w:rsidP="032B93E0">
      <w:pPr>
        <w:spacing w:after="0" w:line="257" w:lineRule="auto"/>
        <w:rPr>
          <w:rFonts w:eastAsia="Times New Roman"/>
          <w:color w:val="222222"/>
          <w:szCs w:val="24"/>
        </w:rPr>
      </w:pPr>
    </w:p>
    <w:p w14:paraId="7B97CED8" w14:textId="2FC2BA3D" w:rsidR="00F36A9A" w:rsidRPr="00823B3A" w:rsidRDefault="094F6748" w:rsidP="032B93E0">
      <w:pPr>
        <w:spacing w:after="0" w:line="257" w:lineRule="auto"/>
        <w:rPr>
          <w:rFonts w:eastAsia="Times New Roman"/>
          <w:color w:val="222222"/>
          <w:szCs w:val="24"/>
        </w:rPr>
      </w:pPr>
      <w:r w:rsidRPr="00823B3A">
        <w:rPr>
          <w:rFonts w:eastAsia="Times New Roman"/>
          <w:color w:val="222222"/>
          <w:szCs w:val="24"/>
        </w:rPr>
        <w:t>White, Halbert.</w:t>
      </w:r>
      <w:r w:rsidR="00363D88" w:rsidRPr="00823B3A">
        <w:rPr>
          <w:rFonts w:eastAsia="Times New Roman"/>
          <w:color w:val="222222"/>
          <w:szCs w:val="24"/>
        </w:rPr>
        <w:t xml:space="preserve"> </w:t>
      </w:r>
      <w:r w:rsidRPr="00823B3A">
        <w:rPr>
          <w:rFonts w:eastAsia="Times New Roman"/>
          <w:color w:val="222222"/>
          <w:szCs w:val="24"/>
        </w:rPr>
        <w:t xml:space="preserve">(1996). Estimation, inference and specification analysis. No. 22. Cambridge </w:t>
      </w:r>
      <w:r w:rsidR="00890DA2" w:rsidRPr="00823B3A">
        <w:rPr>
          <w:rFonts w:eastAsia="Times New Roman"/>
          <w:color w:val="222222"/>
          <w:szCs w:val="24"/>
        </w:rPr>
        <w:t>University P</w:t>
      </w:r>
      <w:r w:rsidRPr="00823B3A">
        <w:rPr>
          <w:rFonts w:eastAsia="Times New Roman"/>
          <w:color w:val="222222"/>
          <w:szCs w:val="24"/>
        </w:rPr>
        <w:t>ress.</w:t>
      </w:r>
    </w:p>
    <w:p w14:paraId="13A48611" w14:textId="77777777" w:rsidR="001235D1" w:rsidRPr="00823B3A" w:rsidRDefault="001235D1" w:rsidP="032B93E0">
      <w:pPr>
        <w:spacing w:after="0" w:line="257" w:lineRule="auto"/>
        <w:rPr>
          <w:rFonts w:eastAsia="Times New Roman"/>
          <w:szCs w:val="24"/>
        </w:rPr>
      </w:pPr>
    </w:p>
    <w:p w14:paraId="0932D1D6" w14:textId="0E716880" w:rsidR="00F36A9A" w:rsidRPr="00823B3A" w:rsidRDefault="094F6748" w:rsidP="032B93E0">
      <w:pPr>
        <w:spacing w:after="0" w:line="257" w:lineRule="auto"/>
        <w:rPr>
          <w:rFonts w:eastAsia="Times New Roman"/>
          <w:szCs w:val="24"/>
        </w:rPr>
      </w:pPr>
      <w:proofErr w:type="spellStart"/>
      <w:r w:rsidRPr="00823B3A">
        <w:rPr>
          <w:rFonts w:eastAsia="Times New Roman"/>
          <w:szCs w:val="24"/>
        </w:rPr>
        <w:t>Zeileis</w:t>
      </w:r>
      <w:proofErr w:type="spellEnd"/>
      <w:r w:rsidRPr="00823B3A">
        <w:rPr>
          <w:rFonts w:eastAsia="Times New Roman"/>
          <w:szCs w:val="24"/>
        </w:rPr>
        <w:t>, A</w:t>
      </w:r>
      <w:r w:rsidR="00363D88" w:rsidRPr="00823B3A">
        <w:rPr>
          <w:rFonts w:eastAsia="Times New Roman"/>
          <w:szCs w:val="24"/>
        </w:rPr>
        <w:t>.</w:t>
      </w:r>
      <w:r w:rsidRPr="00823B3A">
        <w:rPr>
          <w:rFonts w:eastAsia="Times New Roman"/>
          <w:szCs w:val="24"/>
        </w:rPr>
        <w:t xml:space="preserve"> (2004). Econometric Computing with HC and HAC Covariance Matrix Estimators. Journal of Statistical Software. Vol 11, Issue 10. </w:t>
      </w:r>
    </w:p>
    <w:p w14:paraId="6B8F9B8A" w14:textId="77777777" w:rsidR="001235D1" w:rsidRPr="00823B3A" w:rsidRDefault="001235D1" w:rsidP="032B93E0">
      <w:pPr>
        <w:spacing w:after="0" w:line="257" w:lineRule="auto"/>
        <w:rPr>
          <w:rFonts w:eastAsia="Times New Roman"/>
          <w:szCs w:val="24"/>
        </w:rPr>
      </w:pPr>
    </w:p>
    <w:p w14:paraId="022417FC" w14:textId="5B191035" w:rsidR="00F36A9A" w:rsidRPr="00823B3A" w:rsidRDefault="094F6748" w:rsidP="032B93E0">
      <w:pPr>
        <w:spacing w:after="0" w:line="257" w:lineRule="auto"/>
        <w:rPr>
          <w:rFonts w:eastAsia="Times New Roman"/>
          <w:szCs w:val="24"/>
        </w:rPr>
      </w:pPr>
      <w:r w:rsidRPr="00823B3A">
        <w:rPr>
          <w:rFonts w:eastAsia="Times New Roman"/>
          <w:szCs w:val="24"/>
        </w:rPr>
        <w:t xml:space="preserve">Zheng, W. and van der </w:t>
      </w:r>
      <w:proofErr w:type="spellStart"/>
      <w:r w:rsidRPr="00823B3A">
        <w:rPr>
          <w:rFonts w:eastAsia="Times New Roman"/>
          <w:szCs w:val="24"/>
        </w:rPr>
        <w:t>Laan</w:t>
      </w:r>
      <w:proofErr w:type="spellEnd"/>
      <w:r w:rsidRPr="00823B3A">
        <w:rPr>
          <w:rFonts w:eastAsia="Times New Roman"/>
          <w:szCs w:val="24"/>
        </w:rPr>
        <w:t>, M.J. (2012), Targeted maximum likelihood estimation of natural</w:t>
      </w:r>
      <w:r w:rsidR="5EA77C8B" w:rsidRPr="00823B3A">
        <w:rPr>
          <w:rFonts w:eastAsia="Times New Roman"/>
          <w:szCs w:val="24"/>
        </w:rPr>
        <w:t xml:space="preserve"> direct effects," The International Journal of Biostatistics, 8.</w:t>
      </w:r>
    </w:p>
    <w:p w14:paraId="67FC7E23" w14:textId="111D1FE1" w:rsidR="00F36A9A" w:rsidRPr="001235D1" w:rsidRDefault="00F36A9A" w:rsidP="032B93E0">
      <w:pPr>
        <w:spacing w:after="0"/>
        <w:rPr>
          <w:rFonts w:eastAsia="Times New Roman"/>
          <w:szCs w:val="24"/>
        </w:rPr>
      </w:pPr>
    </w:p>
    <w:p w14:paraId="7BFFE5EC" w14:textId="15D9EB2E" w:rsidR="00F36A9A" w:rsidRDefault="00F36A9A" w:rsidP="001235D1">
      <w:pPr>
        <w:spacing w:after="0" w:line="257" w:lineRule="auto"/>
        <w:rPr>
          <w:rFonts w:ascii="Calibri" w:eastAsia="Calibri" w:hAnsi="Calibri" w:cs="Calibri"/>
          <w:sz w:val="22"/>
          <w:szCs w:val="22"/>
        </w:rPr>
      </w:pPr>
    </w:p>
    <w:sectPr w:rsidR="00F36A9A" w:rsidSect="001E7D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C7AC" w14:textId="77777777" w:rsidR="005C3BBA" w:rsidRDefault="005C3BBA" w:rsidP="00857BDE">
      <w:pPr>
        <w:spacing w:after="0" w:line="240" w:lineRule="auto"/>
      </w:pPr>
      <w:r>
        <w:separator/>
      </w:r>
    </w:p>
  </w:endnote>
  <w:endnote w:type="continuationSeparator" w:id="0">
    <w:p w14:paraId="02F81627" w14:textId="77777777" w:rsidR="005C3BBA" w:rsidRDefault="005C3BBA" w:rsidP="00857BDE">
      <w:pPr>
        <w:spacing w:after="0" w:line="240" w:lineRule="auto"/>
      </w:pPr>
      <w:r>
        <w:continuationSeparator/>
      </w:r>
    </w:p>
  </w:endnote>
  <w:endnote w:type="continuationNotice" w:id="1">
    <w:p w14:paraId="19012B51" w14:textId="77777777" w:rsidR="005C3BBA" w:rsidRDefault="005C3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747022"/>
      <w:docPartObj>
        <w:docPartGallery w:val="Page Numbers (Bottom of Page)"/>
        <w:docPartUnique/>
      </w:docPartObj>
    </w:sdtPr>
    <w:sdtEndPr>
      <w:rPr>
        <w:noProof/>
      </w:rPr>
    </w:sdtEndPr>
    <w:sdtContent>
      <w:p w14:paraId="1B9B82F5" w14:textId="2256D527" w:rsidR="005C3BBA" w:rsidRDefault="005C3BBA">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7FBA35B" w14:textId="77777777" w:rsidR="005C3BBA" w:rsidRDefault="005C3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4381F" w14:textId="77777777" w:rsidR="005C3BBA" w:rsidRDefault="005C3BBA" w:rsidP="00857BDE">
      <w:pPr>
        <w:spacing w:after="0" w:line="240" w:lineRule="auto"/>
      </w:pPr>
      <w:r>
        <w:separator/>
      </w:r>
    </w:p>
  </w:footnote>
  <w:footnote w:type="continuationSeparator" w:id="0">
    <w:p w14:paraId="20196228" w14:textId="77777777" w:rsidR="005C3BBA" w:rsidRDefault="005C3BBA" w:rsidP="00857BDE">
      <w:pPr>
        <w:spacing w:after="0" w:line="240" w:lineRule="auto"/>
      </w:pPr>
      <w:r>
        <w:continuationSeparator/>
      </w:r>
    </w:p>
  </w:footnote>
  <w:footnote w:type="continuationNotice" w:id="1">
    <w:p w14:paraId="4851E5F7" w14:textId="77777777" w:rsidR="005C3BBA" w:rsidRDefault="005C3B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3462"/>
    <w:multiLevelType w:val="hybridMultilevel"/>
    <w:tmpl w:val="FFFFFFFF"/>
    <w:lvl w:ilvl="0" w:tplc="A3FA1962">
      <w:start w:val="1"/>
      <w:numFmt w:val="bullet"/>
      <w:lvlText w:val="·"/>
      <w:lvlJc w:val="left"/>
      <w:pPr>
        <w:ind w:left="720" w:hanging="360"/>
      </w:pPr>
      <w:rPr>
        <w:rFonts w:ascii="Symbol" w:hAnsi="Symbol" w:hint="default"/>
      </w:rPr>
    </w:lvl>
    <w:lvl w:ilvl="1" w:tplc="422AC98E">
      <w:start w:val="1"/>
      <w:numFmt w:val="bullet"/>
      <w:lvlText w:val=""/>
      <w:lvlJc w:val="left"/>
      <w:pPr>
        <w:ind w:left="1440" w:hanging="360"/>
      </w:pPr>
      <w:rPr>
        <w:rFonts w:ascii="Symbol" w:hAnsi="Symbol" w:hint="default"/>
      </w:rPr>
    </w:lvl>
    <w:lvl w:ilvl="2" w:tplc="C0064F0A">
      <w:start w:val="1"/>
      <w:numFmt w:val="bullet"/>
      <w:lvlText w:val=""/>
      <w:lvlJc w:val="left"/>
      <w:pPr>
        <w:ind w:left="2160" w:hanging="360"/>
      </w:pPr>
      <w:rPr>
        <w:rFonts w:ascii="Wingdings" w:hAnsi="Wingdings" w:hint="default"/>
      </w:rPr>
    </w:lvl>
    <w:lvl w:ilvl="3" w:tplc="981265E4">
      <w:start w:val="1"/>
      <w:numFmt w:val="bullet"/>
      <w:lvlText w:val=""/>
      <w:lvlJc w:val="left"/>
      <w:pPr>
        <w:ind w:left="2880" w:hanging="360"/>
      </w:pPr>
      <w:rPr>
        <w:rFonts w:ascii="Symbol" w:hAnsi="Symbol" w:hint="default"/>
      </w:rPr>
    </w:lvl>
    <w:lvl w:ilvl="4" w:tplc="7B5C0FD8">
      <w:start w:val="1"/>
      <w:numFmt w:val="bullet"/>
      <w:lvlText w:val="o"/>
      <w:lvlJc w:val="left"/>
      <w:pPr>
        <w:ind w:left="3600" w:hanging="360"/>
      </w:pPr>
      <w:rPr>
        <w:rFonts w:ascii="Courier New" w:hAnsi="Courier New" w:hint="default"/>
      </w:rPr>
    </w:lvl>
    <w:lvl w:ilvl="5" w:tplc="53A697C0">
      <w:start w:val="1"/>
      <w:numFmt w:val="bullet"/>
      <w:lvlText w:val=""/>
      <w:lvlJc w:val="left"/>
      <w:pPr>
        <w:ind w:left="4320" w:hanging="360"/>
      </w:pPr>
      <w:rPr>
        <w:rFonts w:ascii="Wingdings" w:hAnsi="Wingdings" w:hint="default"/>
      </w:rPr>
    </w:lvl>
    <w:lvl w:ilvl="6" w:tplc="4718BAA8">
      <w:start w:val="1"/>
      <w:numFmt w:val="bullet"/>
      <w:lvlText w:val=""/>
      <w:lvlJc w:val="left"/>
      <w:pPr>
        <w:ind w:left="5040" w:hanging="360"/>
      </w:pPr>
      <w:rPr>
        <w:rFonts w:ascii="Symbol" w:hAnsi="Symbol" w:hint="default"/>
      </w:rPr>
    </w:lvl>
    <w:lvl w:ilvl="7" w:tplc="38380546">
      <w:start w:val="1"/>
      <w:numFmt w:val="bullet"/>
      <w:lvlText w:val="o"/>
      <w:lvlJc w:val="left"/>
      <w:pPr>
        <w:ind w:left="5760" w:hanging="360"/>
      </w:pPr>
      <w:rPr>
        <w:rFonts w:ascii="Courier New" w:hAnsi="Courier New" w:hint="default"/>
      </w:rPr>
    </w:lvl>
    <w:lvl w:ilvl="8" w:tplc="934C445E">
      <w:start w:val="1"/>
      <w:numFmt w:val="bullet"/>
      <w:lvlText w:val=""/>
      <w:lvlJc w:val="left"/>
      <w:pPr>
        <w:ind w:left="6480" w:hanging="360"/>
      </w:pPr>
      <w:rPr>
        <w:rFonts w:ascii="Wingdings" w:hAnsi="Wingdings" w:hint="default"/>
      </w:rPr>
    </w:lvl>
  </w:abstractNum>
  <w:abstractNum w:abstractNumId="1" w15:restartNumberingAfterBreak="0">
    <w:nsid w:val="2B59429F"/>
    <w:multiLevelType w:val="multilevel"/>
    <w:tmpl w:val="0040F5E0"/>
    <w:lvl w:ilvl="0">
      <w:start w:val="1"/>
      <w:numFmt w:val="decimal"/>
      <w:pStyle w:val="Heading1"/>
      <w:lvlText w:val="%1."/>
      <w:lvlJc w:val="left"/>
      <w:pPr>
        <w:ind w:left="360" w:hanging="360"/>
      </w:pPr>
      <w:rPr>
        <w:rFonts w:hint="default"/>
        <w:b/>
        <w:bCs/>
      </w:rPr>
    </w:lvl>
    <w:lvl w:ilvl="1">
      <w:start w:val="3"/>
      <w:numFmt w:val="decima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45322B3"/>
    <w:multiLevelType w:val="hybridMultilevel"/>
    <w:tmpl w:val="C8AE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53F"/>
    <w:multiLevelType w:val="multilevel"/>
    <w:tmpl w:val="6E0A0CC4"/>
    <w:lvl w:ilvl="0">
      <w:start w:val="1"/>
      <w:numFmt w:val="bullet"/>
      <w:lvlText w:val=""/>
      <w:lvlJc w:val="left"/>
      <w:pPr>
        <w:ind w:left="720" w:hanging="360"/>
      </w:pPr>
      <w:rPr>
        <w:rFonts w:ascii="Symbol" w:hAnsi="Symbol" w:hint="default"/>
      </w:rPr>
    </w:lvl>
    <w:lvl w:ilvl="1">
      <w:start w:val="1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1D722BE"/>
    <w:multiLevelType w:val="multilevel"/>
    <w:tmpl w:val="716E2B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2C2B59"/>
    <w:multiLevelType w:val="multilevel"/>
    <w:tmpl w:val="4AE00AEC"/>
    <w:lvl w:ilvl="0">
      <w:start w:val="1"/>
      <w:numFmt w:val="decimal"/>
      <w:lvlText w:val="%1."/>
      <w:lvlJc w:val="left"/>
      <w:pPr>
        <w:ind w:left="720" w:hanging="360"/>
      </w:pPr>
    </w:lvl>
    <w:lvl w:ilvl="1">
      <w:start w:val="1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0529399">
    <w:abstractNumId w:val="0"/>
  </w:num>
  <w:num w:numId="2" w16cid:durableId="905267395">
    <w:abstractNumId w:val="1"/>
  </w:num>
  <w:num w:numId="3" w16cid:durableId="518278776">
    <w:abstractNumId w:val="5"/>
  </w:num>
  <w:num w:numId="4" w16cid:durableId="2005081766">
    <w:abstractNumId w:val="4"/>
  </w:num>
  <w:num w:numId="5" w16cid:durableId="1039470302">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644304">
    <w:abstractNumId w:val="3"/>
  </w:num>
  <w:num w:numId="7" w16cid:durableId="117980910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A1"/>
    <w:rsid w:val="00001A99"/>
    <w:rsid w:val="00004A18"/>
    <w:rsid w:val="00005687"/>
    <w:rsid w:val="00005920"/>
    <w:rsid w:val="000209BE"/>
    <w:rsid w:val="00022F23"/>
    <w:rsid w:val="0003388C"/>
    <w:rsid w:val="00034AD7"/>
    <w:rsid w:val="0004012B"/>
    <w:rsid w:val="00045C1C"/>
    <w:rsid w:val="000522B7"/>
    <w:rsid w:val="000621DD"/>
    <w:rsid w:val="00065D17"/>
    <w:rsid w:val="00067375"/>
    <w:rsid w:val="00068132"/>
    <w:rsid w:val="00070645"/>
    <w:rsid w:val="00073C1F"/>
    <w:rsid w:val="00074B9A"/>
    <w:rsid w:val="00081067"/>
    <w:rsid w:val="00081999"/>
    <w:rsid w:val="00087B60"/>
    <w:rsid w:val="000A0284"/>
    <w:rsid w:val="000A1E30"/>
    <w:rsid w:val="000A5183"/>
    <w:rsid w:val="000A5EAA"/>
    <w:rsid w:val="000A7572"/>
    <w:rsid w:val="000B1389"/>
    <w:rsid w:val="000B17BA"/>
    <w:rsid w:val="000B46A3"/>
    <w:rsid w:val="000B5B17"/>
    <w:rsid w:val="000C087F"/>
    <w:rsid w:val="000C69FF"/>
    <w:rsid w:val="000D46D9"/>
    <w:rsid w:val="000D4B3A"/>
    <w:rsid w:val="000D5210"/>
    <w:rsid w:val="000E46C7"/>
    <w:rsid w:val="000E4FF5"/>
    <w:rsid w:val="000E53EB"/>
    <w:rsid w:val="000F1E49"/>
    <w:rsid w:val="000F42D1"/>
    <w:rsid w:val="000F4516"/>
    <w:rsid w:val="001048B3"/>
    <w:rsid w:val="00110B0B"/>
    <w:rsid w:val="001154FB"/>
    <w:rsid w:val="00115A5E"/>
    <w:rsid w:val="00120AA0"/>
    <w:rsid w:val="001235D1"/>
    <w:rsid w:val="001254F0"/>
    <w:rsid w:val="00133C5B"/>
    <w:rsid w:val="001352DF"/>
    <w:rsid w:val="00136FA9"/>
    <w:rsid w:val="00144C84"/>
    <w:rsid w:val="0014525E"/>
    <w:rsid w:val="001458DD"/>
    <w:rsid w:val="00152F21"/>
    <w:rsid w:val="00154FF6"/>
    <w:rsid w:val="00156CFD"/>
    <w:rsid w:val="00162548"/>
    <w:rsid w:val="001659BD"/>
    <w:rsid w:val="00165EED"/>
    <w:rsid w:val="00173E6C"/>
    <w:rsid w:val="0018328C"/>
    <w:rsid w:val="001872BB"/>
    <w:rsid w:val="00191E24"/>
    <w:rsid w:val="001938D7"/>
    <w:rsid w:val="001945ED"/>
    <w:rsid w:val="00194DA9"/>
    <w:rsid w:val="00196333"/>
    <w:rsid w:val="00197046"/>
    <w:rsid w:val="001A0268"/>
    <w:rsid w:val="001C098D"/>
    <w:rsid w:val="001C208A"/>
    <w:rsid w:val="001C441B"/>
    <w:rsid w:val="001C795E"/>
    <w:rsid w:val="001D3011"/>
    <w:rsid w:val="001D7A98"/>
    <w:rsid w:val="001E7155"/>
    <w:rsid w:val="001E7D2E"/>
    <w:rsid w:val="001F139A"/>
    <w:rsid w:val="00200CA1"/>
    <w:rsid w:val="00215078"/>
    <w:rsid w:val="00215CB6"/>
    <w:rsid w:val="00231543"/>
    <w:rsid w:val="00232FB2"/>
    <w:rsid w:val="0023408F"/>
    <w:rsid w:val="00234CAF"/>
    <w:rsid w:val="00237C0E"/>
    <w:rsid w:val="0024052E"/>
    <w:rsid w:val="0024177D"/>
    <w:rsid w:val="00256F46"/>
    <w:rsid w:val="00261A49"/>
    <w:rsid w:val="00273F52"/>
    <w:rsid w:val="00274759"/>
    <w:rsid w:val="002749E1"/>
    <w:rsid w:val="00274AB6"/>
    <w:rsid w:val="00286060"/>
    <w:rsid w:val="00290201"/>
    <w:rsid w:val="00291947"/>
    <w:rsid w:val="00293566"/>
    <w:rsid w:val="00294D65"/>
    <w:rsid w:val="00297D17"/>
    <w:rsid w:val="002A106E"/>
    <w:rsid w:val="002A1629"/>
    <w:rsid w:val="002A27DD"/>
    <w:rsid w:val="002B63D2"/>
    <w:rsid w:val="002C1F23"/>
    <w:rsid w:val="002C2863"/>
    <w:rsid w:val="002C67F8"/>
    <w:rsid w:val="002D4179"/>
    <w:rsid w:val="002D4B27"/>
    <w:rsid w:val="002D6B31"/>
    <w:rsid w:val="002E2AD5"/>
    <w:rsid w:val="002E7F64"/>
    <w:rsid w:val="002F325C"/>
    <w:rsid w:val="002F4DC9"/>
    <w:rsid w:val="002F76DC"/>
    <w:rsid w:val="0030022B"/>
    <w:rsid w:val="0030193B"/>
    <w:rsid w:val="003026A9"/>
    <w:rsid w:val="00306998"/>
    <w:rsid w:val="003069AB"/>
    <w:rsid w:val="00306C1F"/>
    <w:rsid w:val="00312C32"/>
    <w:rsid w:val="0031740C"/>
    <w:rsid w:val="00326F87"/>
    <w:rsid w:val="00327FCB"/>
    <w:rsid w:val="00336241"/>
    <w:rsid w:val="0034020D"/>
    <w:rsid w:val="0034176C"/>
    <w:rsid w:val="00343370"/>
    <w:rsid w:val="003434F6"/>
    <w:rsid w:val="00344065"/>
    <w:rsid w:val="00344BE8"/>
    <w:rsid w:val="00363D88"/>
    <w:rsid w:val="0036594E"/>
    <w:rsid w:val="00371FED"/>
    <w:rsid w:val="00373B43"/>
    <w:rsid w:val="0037445E"/>
    <w:rsid w:val="00375A7E"/>
    <w:rsid w:val="0037608C"/>
    <w:rsid w:val="00381AC0"/>
    <w:rsid w:val="003878FF"/>
    <w:rsid w:val="00391A1F"/>
    <w:rsid w:val="003A151D"/>
    <w:rsid w:val="003A21ED"/>
    <w:rsid w:val="003A28DC"/>
    <w:rsid w:val="003A4A14"/>
    <w:rsid w:val="003A5DF6"/>
    <w:rsid w:val="003A6DDA"/>
    <w:rsid w:val="003B29C1"/>
    <w:rsid w:val="003B6651"/>
    <w:rsid w:val="003B6727"/>
    <w:rsid w:val="003D3578"/>
    <w:rsid w:val="003D3641"/>
    <w:rsid w:val="003D46F9"/>
    <w:rsid w:val="003D556F"/>
    <w:rsid w:val="003E006E"/>
    <w:rsid w:val="003E38FA"/>
    <w:rsid w:val="003E3B8D"/>
    <w:rsid w:val="003E6D3A"/>
    <w:rsid w:val="003E7EE9"/>
    <w:rsid w:val="003F68C8"/>
    <w:rsid w:val="00403947"/>
    <w:rsid w:val="0041252F"/>
    <w:rsid w:val="00412BBF"/>
    <w:rsid w:val="00425D55"/>
    <w:rsid w:val="004264E1"/>
    <w:rsid w:val="00427915"/>
    <w:rsid w:val="00431BF7"/>
    <w:rsid w:val="00431DE0"/>
    <w:rsid w:val="004333D3"/>
    <w:rsid w:val="00435036"/>
    <w:rsid w:val="00436734"/>
    <w:rsid w:val="004409A0"/>
    <w:rsid w:val="004437F9"/>
    <w:rsid w:val="0044577E"/>
    <w:rsid w:val="00445F40"/>
    <w:rsid w:val="00447C24"/>
    <w:rsid w:val="004502F5"/>
    <w:rsid w:val="00453D7E"/>
    <w:rsid w:val="00457824"/>
    <w:rsid w:val="00457DA2"/>
    <w:rsid w:val="004612BE"/>
    <w:rsid w:val="00462AC4"/>
    <w:rsid w:val="00463BAA"/>
    <w:rsid w:val="004640AF"/>
    <w:rsid w:val="0046592C"/>
    <w:rsid w:val="004679F2"/>
    <w:rsid w:val="00470E8E"/>
    <w:rsid w:val="00483959"/>
    <w:rsid w:val="004852DF"/>
    <w:rsid w:val="004870F6"/>
    <w:rsid w:val="00487F63"/>
    <w:rsid w:val="00491FD6"/>
    <w:rsid w:val="004A1BE4"/>
    <w:rsid w:val="004A3D87"/>
    <w:rsid w:val="004B0B4C"/>
    <w:rsid w:val="004B59F3"/>
    <w:rsid w:val="004B6814"/>
    <w:rsid w:val="004C18B6"/>
    <w:rsid w:val="004C2607"/>
    <w:rsid w:val="004C2DC3"/>
    <w:rsid w:val="004C6507"/>
    <w:rsid w:val="004D08FD"/>
    <w:rsid w:val="004D43BA"/>
    <w:rsid w:val="004D4680"/>
    <w:rsid w:val="004D64A3"/>
    <w:rsid w:val="004E2016"/>
    <w:rsid w:val="004E2940"/>
    <w:rsid w:val="004E4BBA"/>
    <w:rsid w:val="004F3D63"/>
    <w:rsid w:val="004F65AD"/>
    <w:rsid w:val="004F70B6"/>
    <w:rsid w:val="00500AF8"/>
    <w:rsid w:val="00503C3D"/>
    <w:rsid w:val="005050C7"/>
    <w:rsid w:val="00505431"/>
    <w:rsid w:val="0050A6EF"/>
    <w:rsid w:val="0051019B"/>
    <w:rsid w:val="00512331"/>
    <w:rsid w:val="00513CEC"/>
    <w:rsid w:val="00513CEF"/>
    <w:rsid w:val="005164BF"/>
    <w:rsid w:val="00520DC7"/>
    <w:rsid w:val="005250D6"/>
    <w:rsid w:val="00526409"/>
    <w:rsid w:val="00543322"/>
    <w:rsid w:val="0054557E"/>
    <w:rsid w:val="00552D51"/>
    <w:rsid w:val="0056471A"/>
    <w:rsid w:val="00566715"/>
    <w:rsid w:val="00570136"/>
    <w:rsid w:val="00571B8B"/>
    <w:rsid w:val="005747A4"/>
    <w:rsid w:val="005758BE"/>
    <w:rsid w:val="0058176C"/>
    <w:rsid w:val="00584F82"/>
    <w:rsid w:val="00590484"/>
    <w:rsid w:val="00595A9E"/>
    <w:rsid w:val="005A1B0C"/>
    <w:rsid w:val="005A1B14"/>
    <w:rsid w:val="005A3987"/>
    <w:rsid w:val="005A5BC7"/>
    <w:rsid w:val="005A5FC0"/>
    <w:rsid w:val="005C0D55"/>
    <w:rsid w:val="005C3BBA"/>
    <w:rsid w:val="005E075E"/>
    <w:rsid w:val="005E2ACF"/>
    <w:rsid w:val="005E5788"/>
    <w:rsid w:val="005F6270"/>
    <w:rsid w:val="005F7048"/>
    <w:rsid w:val="005F7F35"/>
    <w:rsid w:val="005F99A9"/>
    <w:rsid w:val="0060489B"/>
    <w:rsid w:val="00605A03"/>
    <w:rsid w:val="00610ED7"/>
    <w:rsid w:val="00612ABE"/>
    <w:rsid w:val="0061406E"/>
    <w:rsid w:val="00614FB2"/>
    <w:rsid w:val="00624FA8"/>
    <w:rsid w:val="006328AB"/>
    <w:rsid w:val="00635FA0"/>
    <w:rsid w:val="0063611D"/>
    <w:rsid w:val="00636978"/>
    <w:rsid w:val="00636D6F"/>
    <w:rsid w:val="006427E5"/>
    <w:rsid w:val="006470A4"/>
    <w:rsid w:val="006477B5"/>
    <w:rsid w:val="006522C7"/>
    <w:rsid w:val="00654B0F"/>
    <w:rsid w:val="0065766A"/>
    <w:rsid w:val="0066283B"/>
    <w:rsid w:val="0066317B"/>
    <w:rsid w:val="00667CE8"/>
    <w:rsid w:val="00672C2B"/>
    <w:rsid w:val="00674A38"/>
    <w:rsid w:val="00682AC9"/>
    <w:rsid w:val="00685AC8"/>
    <w:rsid w:val="0069067E"/>
    <w:rsid w:val="00692943"/>
    <w:rsid w:val="006A2F2B"/>
    <w:rsid w:val="006B067C"/>
    <w:rsid w:val="006B1654"/>
    <w:rsid w:val="006B456F"/>
    <w:rsid w:val="006B4C53"/>
    <w:rsid w:val="006C407F"/>
    <w:rsid w:val="006C4827"/>
    <w:rsid w:val="006C4DB5"/>
    <w:rsid w:val="006C6C2A"/>
    <w:rsid w:val="006D1D66"/>
    <w:rsid w:val="006D2730"/>
    <w:rsid w:val="006E01FC"/>
    <w:rsid w:val="006E0EF8"/>
    <w:rsid w:val="006E1EAE"/>
    <w:rsid w:val="006E34C6"/>
    <w:rsid w:val="006E46F5"/>
    <w:rsid w:val="006E76EE"/>
    <w:rsid w:val="006F2500"/>
    <w:rsid w:val="006F602F"/>
    <w:rsid w:val="006F9407"/>
    <w:rsid w:val="007026EE"/>
    <w:rsid w:val="00705D40"/>
    <w:rsid w:val="00706F7B"/>
    <w:rsid w:val="0071149A"/>
    <w:rsid w:val="007122F4"/>
    <w:rsid w:val="00712ADC"/>
    <w:rsid w:val="007216A6"/>
    <w:rsid w:val="007273DD"/>
    <w:rsid w:val="00727692"/>
    <w:rsid w:val="007415A5"/>
    <w:rsid w:val="00746700"/>
    <w:rsid w:val="00747A2F"/>
    <w:rsid w:val="00756269"/>
    <w:rsid w:val="007574DB"/>
    <w:rsid w:val="00757FF4"/>
    <w:rsid w:val="00773400"/>
    <w:rsid w:val="00780C79"/>
    <w:rsid w:val="007831F4"/>
    <w:rsid w:val="0078492D"/>
    <w:rsid w:val="00795ABC"/>
    <w:rsid w:val="00797CDA"/>
    <w:rsid w:val="007A4200"/>
    <w:rsid w:val="007A72D9"/>
    <w:rsid w:val="007B2DC2"/>
    <w:rsid w:val="007B55C1"/>
    <w:rsid w:val="007B592D"/>
    <w:rsid w:val="007B62B8"/>
    <w:rsid w:val="007B942A"/>
    <w:rsid w:val="007D0F20"/>
    <w:rsid w:val="007D531C"/>
    <w:rsid w:val="007D69C5"/>
    <w:rsid w:val="007E0671"/>
    <w:rsid w:val="007E1508"/>
    <w:rsid w:val="007E6D22"/>
    <w:rsid w:val="007E6F45"/>
    <w:rsid w:val="007F374E"/>
    <w:rsid w:val="007F464E"/>
    <w:rsid w:val="007F6688"/>
    <w:rsid w:val="0080370C"/>
    <w:rsid w:val="008063E0"/>
    <w:rsid w:val="00814541"/>
    <w:rsid w:val="00816409"/>
    <w:rsid w:val="008236AA"/>
    <w:rsid w:val="00823B3A"/>
    <w:rsid w:val="00832A23"/>
    <w:rsid w:val="00834F3F"/>
    <w:rsid w:val="008411A7"/>
    <w:rsid w:val="0084756D"/>
    <w:rsid w:val="0085072B"/>
    <w:rsid w:val="00851CCB"/>
    <w:rsid w:val="00851FC1"/>
    <w:rsid w:val="0085447A"/>
    <w:rsid w:val="00857BDE"/>
    <w:rsid w:val="00860303"/>
    <w:rsid w:val="00861925"/>
    <w:rsid w:val="00872F09"/>
    <w:rsid w:val="00874B62"/>
    <w:rsid w:val="00887D47"/>
    <w:rsid w:val="00890295"/>
    <w:rsid w:val="00890DA2"/>
    <w:rsid w:val="008914D3"/>
    <w:rsid w:val="00893F4D"/>
    <w:rsid w:val="00894E2C"/>
    <w:rsid w:val="0089559D"/>
    <w:rsid w:val="008968CB"/>
    <w:rsid w:val="008A4791"/>
    <w:rsid w:val="008A53ED"/>
    <w:rsid w:val="008A5436"/>
    <w:rsid w:val="008A5931"/>
    <w:rsid w:val="008B210C"/>
    <w:rsid w:val="008B4133"/>
    <w:rsid w:val="008C2D64"/>
    <w:rsid w:val="008C5903"/>
    <w:rsid w:val="008C5A1F"/>
    <w:rsid w:val="008C6431"/>
    <w:rsid w:val="008D137C"/>
    <w:rsid w:val="008D61A7"/>
    <w:rsid w:val="008D65E8"/>
    <w:rsid w:val="008D6EAD"/>
    <w:rsid w:val="008D7E68"/>
    <w:rsid w:val="008E4867"/>
    <w:rsid w:val="008E51F0"/>
    <w:rsid w:val="008E6504"/>
    <w:rsid w:val="008F2DC4"/>
    <w:rsid w:val="0090307B"/>
    <w:rsid w:val="00903155"/>
    <w:rsid w:val="0090743D"/>
    <w:rsid w:val="009101C4"/>
    <w:rsid w:val="0092226D"/>
    <w:rsid w:val="00926951"/>
    <w:rsid w:val="0093513A"/>
    <w:rsid w:val="00935B5C"/>
    <w:rsid w:val="00937454"/>
    <w:rsid w:val="0094C440"/>
    <w:rsid w:val="00953615"/>
    <w:rsid w:val="0096357B"/>
    <w:rsid w:val="00983DB5"/>
    <w:rsid w:val="00984A11"/>
    <w:rsid w:val="00985BF5"/>
    <w:rsid w:val="00987DE2"/>
    <w:rsid w:val="009903D6"/>
    <w:rsid w:val="0099302C"/>
    <w:rsid w:val="009A33BB"/>
    <w:rsid w:val="009A41B5"/>
    <w:rsid w:val="009B114D"/>
    <w:rsid w:val="009B60AC"/>
    <w:rsid w:val="009B7573"/>
    <w:rsid w:val="009C2A25"/>
    <w:rsid w:val="009D35C6"/>
    <w:rsid w:val="009D57BA"/>
    <w:rsid w:val="009D587A"/>
    <w:rsid w:val="009D6096"/>
    <w:rsid w:val="009E0D0D"/>
    <w:rsid w:val="009E303E"/>
    <w:rsid w:val="009E3A84"/>
    <w:rsid w:val="009E74EC"/>
    <w:rsid w:val="009F26B1"/>
    <w:rsid w:val="009F26BE"/>
    <w:rsid w:val="00A01DDB"/>
    <w:rsid w:val="00A07C47"/>
    <w:rsid w:val="00A108A7"/>
    <w:rsid w:val="00A1292F"/>
    <w:rsid w:val="00A12A18"/>
    <w:rsid w:val="00A15311"/>
    <w:rsid w:val="00A15796"/>
    <w:rsid w:val="00A16A19"/>
    <w:rsid w:val="00A21D47"/>
    <w:rsid w:val="00A225C9"/>
    <w:rsid w:val="00A25C97"/>
    <w:rsid w:val="00A335EE"/>
    <w:rsid w:val="00A4351D"/>
    <w:rsid w:val="00A464FB"/>
    <w:rsid w:val="00A55F33"/>
    <w:rsid w:val="00A63E0E"/>
    <w:rsid w:val="00A7255F"/>
    <w:rsid w:val="00A82795"/>
    <w:rsid w:val="00A87068"/>
    <w:rsid w:val="00A87879"/>
    <w:rsid w:val="00A973E9"/>
    <w:rsid w:val="00AA3D94"/>
    <w:rsid w:val="00AA673A"/>
    <w:rsid w:val="00AB1A80"/>
    <w:rsid w:val="00AC401C"/>
    <w:rsid w:val="00AC4702"/>
    <w:rsid w:val="00AC4E2C"/>
    <w:rsid w:val="00AC7735"/>
    <w:rsid w:val="00AD0744"/>
    <w:rsid w:val="00AD38BB"/>
    <w:rsid w:val="00AD691A"/>
    <w:rsid w:val="00AD6B31"/>
    <w:rsid w:val="00AE0306"/>
    <w:rsid w:val="00AE61CC"/>
    <w:rsid w:val="00AF4A49"/>
    <w:rsid w:val="00B008A3"/>
    <w:rsid w:val="00B11729"/>
    <w:rsid w:val="00B17109"/>
    <w:rsid w:val="00B23BBA"/>
    <w:rsid w:val="00B241FA"/>
    <w:rsid w:val="00B37FF3"/>
    <w:rsid w:val="00B42913"/>
    <w:rsid w:val="00B42A3E"/>
    <w:rsid w:val="00B45494"/>
    <w:rsid w:val="00B55D74"/>
    <w:rsid w:val="00B56C78"/>
    <w:rsid w:val="00B57423"/>
    <w:rsid w:val="00B6630D"/>
    <w:rsid w:val="00B72617"/>
    <w:rsid w:val="00B742AE"/>
    <w:rsid w:val="00B747D5"/>
    <w:rsid w:val="00B7532D"/>
    <w:rsid w:val="00B92F41"/>
    <w:rsid w:val="00B95443"/>
    <w:rsid w:val="00BA45D1"/>
    <w:rsid w:val="00BA68D0"/>
    <w:rsid w:val="00BB2095"/>
    <w:rsid w:val="00BC3A08"/>
    <w:rsid w:val="00BC4719"/>
    <w:rsid w:val="00BD2A0C"/>
    <w:rsid w:val="00BD2A56"/>
    <w:rsid w:val="00BD389B"/>
    <w:rsid w:val="00BD4F4D"/>
    <w:rsid w:val="00BE3D71"/>
    <w:rsid w:val="00BE5BAF"/>
    <w:rsid w:val="00BE6064"/>
    <w:rsid w:val="00BF2A5A"/>
    <w:rsid w:val="00BF3789"/>
    <w:rsid w:val="00BF6819"/>
    <w:rsid w:val="00BF6D12"/>
    <w:rsid w:val="00C06DB1"/>
    <w:rsid w:val="00C07A42"/>
    <w:rsid w:val="00C13D11"/>
    <w:rsid w:val="00C13F4C"/>
    <w:rsid w:val="00C146F0"/>
    <w:rsid w:val="00C2200E"/>
    <w:rsid w:val="00C226C8"/>
    <w:rsid w:val="00C2327A"/>
    <w:rsid w:val="00C244D0"/>
    <w:rsid w:val="00C2574C"/>
    <w:rsid w:val="00C30B8D"/>
    <w:rsid w:val="00C313C7"/>
    <w:rsid w:val="00C315C0"/>
    <w:rsid w:val="00C31D0A"/>
    <w:rsid w:val="00C42EC1"/>
    <w:rsid w:val="00C43209"/>
    <w:rsid w:val="00C439FE"/>
    <w:rsid w:val="00C44621"/>
    <w:rsid w:val="00C46459"/>
    <w:rsid w:val="00C56F30"/>
    <w:rsid w:val="00C73B8E"/>
    <w:rsid w:val="00C74596"/>
    <w:rsid w:val="00C87E17"/>
    <w:rsid w:val="00CA4396"/>
    <w:rsid w:val="00CA544A"/>
    <w:rsid w:val="00CA57C7"/>
    <w:rsid w:val="00CA7490"/>
    <w:rsid w:val="00CB3AD3"/>
    <w:rsid w:val="00CC40C8"/>
    <w:rsid w:val="00CD5E7E"/>
    <w:rsid w:val="00CD6C8F"/>
    <w:rsid w:val="00CE5626"/>
    <w:rsid w:val="00CE5970"/>
    <w:rsid w:val="00CF0410"/>
    <w:rsid w:val="00CF2998"/>
    <w:rsid w:val="00CF681E"/>
    <w:rsid w:val="00D12974"/>
    <w:rsid w:val="00D15A23"/>
    <w:rsid w:val="00D165C2"/>
    <w:rsid w:val="00D200AA"/>
    <w:rsid w:val="00D26C73"/>
    <w:rsid w:val="00D338B2"/>
    <w:rsid w:val="00D34618"/>
    <w:rsid w:val="00D41673"/>
    <w:rsid w:val="00D438AC"/>
    <w:rsid w:val="00D44333"/>
    <w:rsid w:val="00D44D12"/>
    <w:rsid w:val="00D503F5"/>
    <w:rsid w:val="00D6137F"/>
    <w:rsid w:val="00D61815"/>
    <w:rsid w:val="00D6435A"/>
    <w:rsid w:val="00D717D5"/>
    <w:rsid w:val="00D75740"/>
    <w:rsid w:val="00D76B1A"/>
    <w:rsid w:val="00D831E3"/>
    <w:rsid w:val="00D85AB6"/>
    <w:rsid w:val="00D879DB"/>
    <w:rsid w:val="00D9003F"/>
    <w:rsid w:val="00D96B3F"/>
    <w:rsid w:val="00DA0273"/>
    <w:rsid w:val="00DA25D2"/>
    <w:rsid w:val="00DA3901"/>
    <w:rsid w:val="00DB0E79"/>
    <w:rsid w:val="00DB2F10"/>
    <w:rsid w:val="00DB3360"/>
    <w:rsid w:val="00DB5651"/>
    <w:rsid w:val="00DB6330"/>
    <w:rsid w:val="00DC18BC"/>
    <w:rsid w:val="00DD2F21"/>
    <w:rsid w:val="00DD340C"/>
    <w:rsid w:val="00DD5325"/>
    <w:rsid w:val="00DD5F76"/>
    <w:rsid w:val="00DE2432"/>
    <w:rsid w:val="00DE31BF"/>
    <w:rsid w:val="00DE3460"/>
    <w:rsid w:val="00DE49EE"/>
    <w:rsid w:val="00DE653D"/>
    <w:rsid w:val="00DE7CF9"/>
    <w:rsid w:val="00DE7D73"/>
    <w:rsid w:val="00DF2535"/>
    <w:rsid w:val="00E055AF"/>
    <w:rsid w:val="00E07E5E"/>
    <w:rsid w:val="00E14680"/>
    <w:rsid w:val="00E168B8"/>
    <w:rsid w:val="00E22971"/>
    <w:rsid w:val="00E2475A"/>
    <w:rsid w:val="00E33447"/>
    <w:rsid w:val="00E34E03"/>
    <w:rsid w:val="00E35573"/>
    <w:rsid w:val="00E37548"/>
    <w:rsid w:val="00E3796D"/>
    <w:rsid w:val="00E41CD4"/>
    <w:rsid w:val="00E423A3"/>
    <w:rsid w:val="00E43984"/>
    <w:rsid w:val="00E43C83"/>
    <w:rsid w:val="00E4680A"/>
    <w:rsid w:val="00E501DD"/>
    <w:rsid w:val="00E52B6C"/>
    <w:rsid w:val="00E53017"/>
    <w:rsid w:val="00E552AA"/>
    <w:rsid w:val="00E615D5"/>
    <w:rsid w:val="00E622E1"/>
    <w:rsid w:val="00E65759"/>
    <w:rsid w:val="00E77C91"/>
    <w:rsid w:val="00E810FC"/>
    <w:rsid w:val="00E90C12"/>
    <w:rsid w:val="00E90EBD"/>
    <w:rsid w:val="00E91C13"/>
    <w:rsid w:val="00E95F59"/>
    <w:rsid w:val="00E96215"/>
    <w:rsid w:val="00EA4CD2"/>
    <w:rsid w:val="00EB1C11"/>
    <w:rsid w:val="00EB1F98"/>
    <w:rsid w:val="00EB46D8"/>
    <w:rsid w:val="00EB4B7C"/>
    <w:rsid w:val="00EB5D84"/>
    <w:rsid w:val="00EC1203"/>
    <w:rsid w:val="00EC487A"/>
    <w:rsid w:val="00ED009A"/>
    <w:rsid w:val="00EE21D6"/>
    <w:rsid w:val="00EE35F8"/>
    <w:rsid w:val="00EE388C"/>
    <w:rsid w:val="00EE69B8"/>
    <w:rsid w:val="00EF610E"/>
    <w:rsid w:val="00EF64A5"/>
    <w:rsid w:val="00EF6DE5"/>
    <w:rsid w:val="00EF70DE"/>
    <w:rsid w:val="00EF7481"/>
    <w:rsid w:val="00F00FBF"/>
    <w:rsid w:val="00F03681"/>
    <w:rsid w:val="00F12CBB"/>
    <w:rsid w:val="00F15934"/>
    <w:rsid w:val="00F24ABB"/>
    <w:rsid w:val="00F25A0D"/>
    <w:rsid w:val="00F34279"/>
    <w:rsid w:val="00F36A9A"/>
    <w:rsid w:val="00F45B35"/>
    <w:rsid w:val="00F51DB8"/>
    <w:rsid w:val="00F545E6"/>
    <w:rsid w:val="00F82BFE"/>
    <w:rsid w:val="00F8415E"/>
    <w:rsid w:val="00F91097"/>
    <w:rsid w:val="00F93FE2"/>
    <w:rsid w:val="00F96270"/>
    <w:rsid w:val="00FA23CB"/>
    <w:rsid w:val="00FA2536"/>
    <w:rsid w:val="00FA36D5"/>
    <w:rsid w:val="00FB42BC"/>
    <w:rsid w:val="00FB5837"/>
    <w:rsid w:val="00FB7AC7"/>
    <w:rsid w:val="00FC0FC2"/>
    <w:rsid w:val="00FD0A2F"/>
    <w:rsid w:val="00FD1F9F"/>
    <w:rsid w:val="00FD2355"/>
    <w:rsid w:val="00FE39EB"/>
    <w:rsid w:val="00FE7B7F"/>
    <w:rsid w:val="00FE7F00"/>
    <w:rsid w:val="00FF6080"/>
    <w:rsid w:val="012D2932"/>
    <w:rsid w:val="0136EC43"/>
    <w:rsid w:val="0149323D"/>
    <w:rsid w:val="016BFF6D"/>
    <w:rsid w:val="0174B08F"/>
    <w:rsid w:val="017D4A92"/>
    <w:rsid w:val="017EE0C8"/>
    <w:rsid w:val="01857AFF"/>
    <w:rsid w:val="0188FA4E"/>
    <w:rsid w:val="019C4391"/>
    <w:rsid w:val="01A16313"/>
    <w:rsid w:val="01A3A991"/>
    <w:rsid w:val="01C1865E"/>
    <w:rsid w:val="01C1D8D5"/>
    <w:rsid w:val="0200F93A"/>
    <w:rsid w:val="0220EC25"/>
    <w:rsid w:val="02329F73"/>
    <w:rsid w:val="023F800F"/>
    <w:rsid w:val="025F56DF"/>
    <w:rsid w:val="02D2ABC2"/>
    <w:rsid w:val="02FE6961"/>
    <w:rsid w:val="03278370"/>
    <w:rsid w:val="032B93E0"/>
    <w:rsid w:val="034A8867"/>
    <w:rsid w:val="0360FC81"/>
    <w:rsid w:val="039C6481"/>
    <w:rsid w:val="03BD8054"/>
    <w:rsid w:val="03BD9BFF"/>
    <w:rsid w:val="03EE4D1F"/>
    <w:rsid w:val="03FAFCBC"/>
    <w:rsid w:val="03FB4A78"/>
    <w:rsid w:val="0409B4E7"/>
    <w:rsid w:val="0418C3DB"/>
    <w:rsid w:val="04391C9E"/>
    <w:rsid w:val="045E8EF8"/>
    <w:rsid w:val="047D9994"/>
    <w:rsid w:val="04889B0D"/>
    <w:rsid w:val="048ACDC4"/>
    <w:rsid w:val="048BF101"/>
    <w:rsid w:val="049092AC"/>
    <w:rsid w:val="0495EA24"/>
    <w:rsid w:val="04991450"/>
    <w:rsid w:val="04A6BBCA"/>
    <w:rsid w:val="04B223DB"/>
    <w:rsid w:val="04BB5C98"/>
    <w:rsid w:val="04C9A1F5"/>
    <w:rsid w:val="04DDBEE9"/>
    <w:rsid w:val="04E621C4"/>
    <w:rsid w:val="04FCCABE"/>
    <w:rsid w:val="0547C4D1"/>
    <w:rsid w:val="055A9F00"/>
    <w:rsid w:val="056C6C48"/>
    <w:rsid w:val="057A0DE0"/>
    <w:rsid w:val="0598B79B"/>
    <w:rsid w:val="05A0B06E"/>
    <w:rsid w:val="05D72458"/>
    <w:rsid w:val="05E4E591"/>
    <w:rsid w:val="05F13965"/>
    <w:rsid w:val="05F7EB29"/>
    <w:rsid w:val="05FBF9F1"/>
    <w:rsid w:val="060887DB"/>
    <w:rsid w:val="0613678B"/>
    <w:rsid w:val="06839EBB"/>
    <w:rsid w:val="0736E4D3"/>
    <w:rsid w:val="074881F7"/>
    <w:rsid w:val="07554338"/>
    <w:rsid w:val="0758FA6B"/>
    <w:rsid w:val="07653EFF"/>
    <w:rsid w:val="0765F754"/>
    <w:rsid w:val="07670796"/>
    <w:rsid w:val="078A1B3A"/>
    <w:rsid w:val="079284A4"/>
    <w:rsid w:val="07A3259F"/>
    <w:rsid w:val="07A7219D"/>
    <w:rsid w:val="07AAFDCB"/>
    <w:rsid w:val="07B601E2"/>
    <w:rsid w:val="07B740F2"/>
    <w:rsid w:val="07C36793"/>
    <w:rsid w:val="07CC448B"/>
    <w:rsid w:val="07D2B68D"/>
    <w:rsid w:val="0804D12D"/>
    <w:rsid w:val="08070E31"/>
    <w:rsid w:val="0807AC24"/>
    <w:rsid w:val="080BF00E"/>
    <w:rsid w:val="0820413F"/>
    <w:rsid w:val="083A703A"/>
    <w:rsid w:val="085CD026"/>
    <w:rsid w:val="08673BE6"/>
    <w:rsid w:val="08689C2D"/>
    <w:rsid w:val="086F045A"/>
    <w:rsid w:val="088E987B"/>
    <w:rsid w:val="08BB5555"/>
    <w:rsid w:val="08C533AF"/>
    <w:rsid w:val="08F07D6F"/>
    <w:rsid w:val="091036A3"/>
    <w:rsid w:val="091F13B5"/>
    <w:rsid w:val="09235C5E"/>
    <w:rsid w:val="09313410"/>
    <w:rsid w:val="094F6748"/>
    <w:rsid w:val="0977D008"/>
    <w:rsid w:val="098ED110"/>
    <w:rsid w:val="09A65281"/>
    <w:rsid w:val="09A7B381"/>
    <w:rsid w:val="09DCA30A"/>
    <w:rsid w:val="09E845BE"/>
    <w:rsid w:val="09F03CF7"/>
    <w:rsid w:val="0A078BA5"/>
    <w:rsid w:val="0A07C3CC"/>
    <w:rsid w:val="0A542468"/>
    <w:rsid w:val="0A70C6F3"/>
    <w:rsid w:val="0AB20756"/>
    <w:rsid w:val="0AB9F62F"/>
    <w:rsid w:val="0AEADEB2"/>
    <w:rsid w:val="0AF97ED1"/>
    <w:rsid w:val="0B12A72E"/>
    <w:rsid w:val="0B237562"/>
    <w:rsid w:val="0B2B2E55"/>
    <w:rsid w:val="0B31BC4D"/>
    <w:rsid w:val="0B47CBC0"/>
    <w:rsid w:val="0B4B72F1"/>
    <w:rsid w:val="0B6E16A0"/>
    <w:rsid w:val="0B7046A1"/>
    <w:rsid w:val="0B89C7D1"/>
    <w:rsid w:val="0B9A372C"/>
    <w:rsid w:val="0BA6699C"/>
    <w:rsid w:val="0BCB2C87"/>
    <w:rsid w:val="0BD836DF"/>
    <w:rsid w:val="0BEDD23B"/>
    <w:rsid w:val="0BEE90F1"/>
    <w:rsid w:val="0BEFE372"/>
    <w:rsid w:val="0BF9E1DD"/>
    <w:rsid w:val="0BFB55AC"/>
    <w:rsid w:val="0C03EBDF"/>
    <w:rsid w:val="0C0EF955"/>
    <w:rsid w:val="0C26D866"/>
    <w:rsid w:val="0C3A78B9"/>
    <w:rsid w:val="0C464D16"/>
    <w:rsid w:val="0C49F6C9"/>
    <w:rsid w:val="0C54C476"/>
    <w:rsid w:val="0C62C967"/>
    <w:rsid w:val="0C7756C7"/>
    <w:rsid w:val="0C7CB74C"/>
    <w:rsid w:val="0C8C685D"/>
    <w:rsid w:val="0C93A68D"/>
    <w:rsid w:val="0CB2D109"/>
    <w:rsid w:val="0CBC0EFE"/>
    <w:rsid w:val="0CCAD3F7"/>
    <w:rsid w:val="0CD873B9"/>
    <w:rsid w:val="0CDBD2AA"/>
    <w:rsid w:val="0CE08CF3"/>
    <w:rsid w:val="0CE23C0B"/>
    <w:rsid w:val="0CE25ACC"/>
    <w:rsid w:val="0CFDDE9E"/>
    <w:rsid w:val="0D136CE6"/>
    <w:rsid w:val="0D13FE25"/>
    <w:rsid w:val="0D1E9963"/>
    <w:rsid w:val="0D28254D"/>
    <w:rsid w:val="0D498388"/>
    <w:rsid w:val="0D6646B2"/>
    <w:rsid w:val="0D6973A8"/>
    <w:rsid w:val="0D7ABBD7"/>
    <w:rsid w:val="0D863F55"/>
    <w:rsid w:val="0D8A5C3A"/>
    <w:rsid w:val="0D9D5B1B"/>
    <w:rsid w:val="0DBF327F"/>
    <w:rsid w:val="0DC1480E"/>
    <w:rsid w:val="0DCB9912"/>
    <w:rsid w:val="0DF86E58"/>
    <w:rsid w:val="0E18B069"/>
    <w:rsid w:val="0E30AF59"/>
    <w:rsid w:val="0E6334F7"/>
    <w:rsid w:val="0E7209C3"/>
    <w:rsid w:val="0EDB757D"/>
    <w:rsid w:val="0F052F46"/>
    <w:rsid w:val="0F132FEB"/>
    <w:rsid w:val="0F1A5CAE"/>
    <w:rsid w:val="0F31F075"/>
    <w:rsid w:val="0F4998BE"/>
    <w:rsid w:val="0F554069"/>
    <w:rsid w:val="0F6E3C94"/>
    <w:rsid w:val="0F7820C9"/>
    <w:rsid w:val="0F87133E"/>
    <w:rsid w:val="0F8D74DF"/>
    <w:rsid w:val="0FBAD58E"/>
    <w:rsid w:val="0FCCEFF4"/>
    <w:rsid w:val="0FDE7C8A"/>
    <w:rsid w:val="0FE25B80"/>
    <w:rsid w:val="0FF01176"/>
    <w:rsid w:val="0FFE4A92"/>
    <w:rsid w:val="1023E070"/>
    <w:rsid w:val="103E3514"/>
    <w:rsid w:val="1040EA2F"/>
    <w:rsid w:val="10475999"/>
    <w:rsid w:val="104B0E42"/>
    <w:rsid w:val="104B4D16"/>
    <w:rsid w:val="10524C93"/>
    <w:rsid w:val="1070EA28"/>
    <w:rsid w:val="1093649B"/>
    <w:rsid w:val="1097F130"/>
    <w:rsid w:val="10A1F5F2"/>
    <w:rsid w:val="10BA3835"/>
    <w:rsid w:val="10DF5599"/>
    <w:rsid w:val="10EF3535"/>
    <w:rsid w:val="10F458D5"/>
    <w:rsid w:val="10F5DFC8"/>
    <w:rsid w:val="10FF3C8C"/>
    <w:rsid w:val="111D2709"/>
    <w:rsid w:val="113292AB"/>
    <w:rsid w:val="11510CF5"/>
    <w:rsid w:val="1155E924"/>
    <w:rsid w:val="116AEC18"/>
    <w:rsid w:val="11ADDCF7"/>
    <w:rsid w:val="11B3CF3B"/>
    <w:rsid w:val="11BA1D0C"/>
    <w:rsid w:val="11D0635A"/>
    <w:rsid w:val="11D27E09"/>
    <w:rsid w:val="11D78D44"/>
    <w:rsid w:val="11DC53C5"/>
    <w:rsid w:val="11DC6898"/>
    <w:rsid w:val="11DF4A92"/>
    <w:rsid w:val="11EE5C32"/>
    <w:rsid w:val="11F1033B"/>
    <w:rsid w:val="1206FF45"/>
    <w:rsid w:val="12173EB7"/>
    <w:rsid w:val="12354453"/>
    <w:rsid w:val="123BB907"/>
    <w:rsid w:val="124A0220"/>
    <w:rsid w:val="124AD8A7"/>
    <w:rsid w:val="126BD410"/>
    <w:rsid w:val="126E6491"/>
    <w:rsid w:val="126EBB5B"/>
    <w:rsid w:val="127E0AAF"/>
    <w:rsid w:val="1295354B"/>
    <w:rsid w:val="12B1A7C3"/>
    <w:rsid w:val="12B4CC19"/>
    <w:rsid w:val="12B7E569"/>
    <w:rsid w:val="12B9849E"/>
    <w:rsid w:val="12C517F1"/>
    <w:rsid w:val="12CDE286"/>
    <w:rsid w:val="12EC8C98"/>
    <w:rsid w:val="12EDAE21"/>
    <w:rsid w:val="12F11C48"/>
    <w:rsid w:val="13016835"/>
    <w:rsid w:val="1304207C"/>
    <w:rsid w:val="13087BDF"/>
    <w:rsid w:val="132B43E6"/>
    <w:rsid w:val="1338887C"/>
    <w:rsid w:val="133F82D0"/>
    <w:rsid w:val="134F9F9C"/>
    <w:rsid w:val="1355D6BB"/>
    <w:rsid w:val="13590F71"/>
    <w:rsid w:val="13607CC9"/>
    <w:rsid w:val="136A63B9"/>
    <w:rsid w:val="136D1B1A"/>
    <w:rsid w:val="1384C351"/>
    <w:rsid w:val="13904F7E"/>
    <w:rsid w:val="13B5EA14"/>
    <w:rsid w:val="13E79A06"/>
    <w:rsid w:val="13E9B618"/>
    <w:rsid w:val="140EF4B4"/>
    <w:rsid w:val="140FD819"/>
    <w:rsid w:val="141698D8"/>
    <w:rsid w:val="1423D5AF"/>
    <w:rsid w:val="142685CE"/>
    <w:rsid w:val="142E1D7A"/>
    <w:rsid w:val="142F9AB9"/>
    <w:rsid w:val="14313D05"/>
    <w:rsid w:val="14459132"/>
    <w:rsid w:val="144F5E6D"/>
    <w:rsid w:val="1452C00B"/>
    <w:rsid w:val="145D4B05"/>
    <w:rsid w:val="146A7BC5"/>
    <w:rsid w:val="1482DB44"/>
    <w:rsid w:val="1488B2EE"/>
    <w:rsid w:val="149526FA"/>
    <w:rsid w:val="14A4F0A7"/>
    <w:rsid w:val="14ACB5B5"/>
    <w:rsid w:val="14C675E1"/>
    <w:rsid w:val="14C957F2"/>
    <w:rsid w:val="14DD10F2"/>
    <w:rsid w:val="14E5A34A"/>
    <w:rsid w:val="14E75DAC"/>
    <w:rsid w:val="14ECC6D4"/>
    <w:rsid w:val="1500F188"/>
    <w:rsid w:val="1512C744"/>
    <w:rsid w:val="1520D12E"/>
    <w:rsid w:val="1569142E"/>
    <w:rsid w:val="1578B89A"/>
    <w:rsid w:val="15B87311"/>
    <w:rsid w:val="15D33650"/>
    <w:rsid w:val="15E7FFFF"/>
    <w:rsid w:val="15F8621A"/>
    <w:rsid w:val="160908E8"/>
    <w:rsid w:val="1610ED34"/>
    <w:rsid w:val="1624EDFE"/>
    <w:rsid w:val="16340784"/>
    <w:rsid w:val="163C9B6F"/>
    <w:rsid w:val="16610A8A"/>
    <w:rsid w:val="16949572"/>
    <w:rsid w:val="16B6F94A"/>
    <w:rsid w:val="16DAD51C"/>
    <w:rsid w:val="16F00B23"/>
    <w:rsid w:val="1718178B"/>
    <w:rsid w:val="172A45F2"/>
    <w:rsid w:val="17389A0C"/>
    <w:rsid w:val="174C72E8"/>
    <w:rsid w:val="17526276"/>
    <w:rsid w:val="1752D9B6"/>
    <w:rsid w:val="175A12E5"/>
    <w:rsid w:val="178910DB"/>
    <w:rsid w:val="17918DAB"/>
    <w:rsid w:val="17BA243C"/>
    <w:rsid w:val="17EBB452"/>
    <w:rsid w:val="17EE6309"/>
    <w:rsid w:val="180996A7"/>
    <w:rsid w:val="182ECE01"/>
    <w:rsid w:val="183EB7BA"/>
    <w:rsid w:val="18493489"/>
    <w:rsid w:val="1884F491"/>
    <w:rsid w:val="18ADD20B"/>
    <w:rsid w:val="18B98328"/>
    <w:rsid w:val="18D21E66"/>
    <w:rsid w:val="18D5A442"/>
    <w:rsid w:val="18F4D199"/>
    <w:rsid w:val="18F98729"/>
    <w:rsid w:val="19154D0E"/>
    <w:rsid w:val="193ABE92"/>
    <w:rsid w:val="194432F2"/>
    <w:rsid w:val="1951491B"/>
    <w:rsid w:val="1954D96E"/>
    <w:rsid w:val="195E9AE7"/>
    <w:rsid w:val="19A10EFA"/>
    <w:rsid w:val="19ADCC75"/>
    <w:rsid w:val="19AECC83"/>
    <w:rsid w:val="19D25CE8"/>
    <w:rsid w:val="19D2EA4E"/>
    <w:rsid w:val="19ED0C80"/>
    <w:rsid w:val="1A217165"/>
    <w:rsid w:val="1A4AEED3"/>
    <w:rsid w:val="1A4D56A1"/>
    <w:rsid w:val="1A555389"/>
    <w:rsid w:val="1A5796D6"/>
    <w:rsid w:val="1A687727"/>
    <w:rsid w:val="1A6B0113"/>
    <w:rsid w:val="1A6F433B"/>
    <w:rsid w:val="1AA94A8D"/>
    <w:rsid w:val="1AACA3AD"/>
    <w:rsid w:val="1AAD1450"/>
    <w:rsid w:val="1AB2A413"/>
    <w:rsid w:val="1AB96C9F"/>
    <w:rsid w:val="1ABCB9A8"/>
    <w:rsid w:val="1ABE561B"/>
    <w:rsid w:val="1AF3CAA7"/>
    <w:rsid w:val="1B01A895"/>
    <w:rsid w:val="1B0CE14A"/>
    <w:rsid w:val="1B1983C5"/>
    <w:rsid w:val="1B26E0E9"/>
    <w:rsid w:val="1B337376"/>
    <w:rsid w:val="1B38D8B4"/>
    <w:rsid w:val="1B43AFB5"/>
    <w:rsid w:val="1B47DDE4"/>
    <w:rsid w:val="1B536A9A"/>
    <w:rsid w:val="1B62F9C6"/>
    <w:rsid w:val="1B6354A5"/>
    <w:rsid w:val="1B70B644"/>
    <w:rsid w:val="1B95E3C8"/>
    <w:rsid w:val="1BA8AF67"/>
    <w:rsid w:val="1BCE640C"/>
    <w:rsid w:val="1BDEAED8"/>
    <w:rsid w:val="1BEDFAAB"/>
    <w:rsid w:val="1C070A13"/>
    <w:rsid w:val="1C0C9D65"/>
    <w:rsid w:val="1C10E394"/>
    <w:rsid w:val="1C373F26"/>
    <w:rsid w:val="1C4B7D5D"/>
    <w:rsid w:val="1C58016D"/>
    <w:rsid w:val="1C659452"/>
    <w:rsid w:val="1C6D4F55"/>
    <w:rsid w:val="1C73529A"/>
    <w:rsid w:val="1C8640BB"/>
    <w:rsid w:val="1C886B1B"/>
    <w:rsid w:val="1C8B51BF"/>
    <w:rsid w:val="1C92BE54"/>
    <w:rsid w:val="1C9C3E3B"/>
    <w:rsid w:val="1CB7AB01"/>
    <w:rsid w:val="1CBC188A"/>
    <w:rsid w:val="1CCFDEFF"/>
    <w:rsid w:val="1CF8C330"/>
    <w:rsid w:val="1CFB6A63"/>
    <w:rsid w:val="1D114478"/>
    <w:rsid w:val="1D124D66"/>
    <w:rsid w:val="1D3C09B6"/>
    <w:rsid w:val="1D3FB7E2"/>
    <w:rsid w:val="1D577843"/>
    <w:rsid w:val="1D58ECEF"/>
    <w:rsid w:val="1D5E6114"/>
    <w:rsid w:val="1D609B34"/>
    <w:rsid w:val="1D726D4E"/>
    <w:rsid w:val="1DABCC16"/>
    <w:rsid w:val="1DC0719F"/>
    <w:rsid w:val="1DC7B1E2"/>
    <w:rsid w:val="1DC7E170"/>
    <w:rsid w:val="1DD79633"/>
    <w:rsid w:val="1DE7BAFB"/>
    <w:rsid w:val="1DEE0DD3"/>
    <w:rsid w:val="1DF71422"/>
    <w:rsid w:val="1E0C0136"/>
    <w:rsid w:val="1E10952D"/>
    <w:rsid w:val="1E184895"/>
    <w:rsid w:val="1E24D1CC"/>
    <w:rsid w:val="1E59A461"/>
    <w:rsid w:val="1E70942E"/>
    <w:rsid w:val="1EA46671"/>
    <w:rsid w:val="1EAD14D9"/>
    <w:rsid w:val="1EB4D788"/>
    <w:rsid w:val="1EDA6678"/>
    <w:rsid w:val="1EE5803D"/>
    <w:rsid w:val="1EE63725"/>
    <w:rsid w:val="1F03115D"/>
    <w:rsid w:val="1F0C04E7"/>
    <w:rsid w:val="1F208F22"/>
    <w:rsid w:val="1F46E650"/>
    <w:rsid w:val="1F58A075"/>
    <w:rsid w:val="1F5F14DA"/>
    <w:rsid w:val="1F7ACF58"/>
    <w:rsid w:val="1F853D9B"/>
    <w:rsid w:val="1F91F6CC"/>
    <w:rsid w:val="1F9B015B"/>
    <w:rsid w:val="1FA5B696"/>
    <w:rsid w:val="1FA61476"/>
    <w:rsid w:val="1FA82F36"/>
    <w:rsid w:val="1FB8B6E0"/>
    <w:rsid w:val="1FC17D73"/>
    <w:rsid w:val="1FCEF67F"/>
    <w:rsid w:val="1FD12ABD"/>
    <w:rsid w:val="200992E3"/>
    <w:rsid w:val="200C3B39"/>
    <w:rsid w:val="201B4F07"/>
    <w:rsid w:val="201E0FA0"/>
    <w:rsid w:val="20348228"/>
    <w:rsid w:val="2037BDA0"/>
    <w:rsid w:val="20385B5A"/>
    <w:rsid w:val="20452F03"/>
    <w:rsid w:val="2067149F"/>
    <w:rsid w:val="206CB7B8"/>
    <w:rsid w:val="207636D9"/>
    <w:rsid w:val="2086A9D8"/>
    <w:rsid w:val="20AF6B1A"/>
    <w:rsid w:val="20BFB46A"/>
    <w:rsid w:val="20D57AB2"/>
    <w:rsid w:val="20D909B0"/>
    <w:rsid w:val="20E613E9"/>
    <w:rsid w:val="21045B18"/>
    <w:rsid w:val="21200C2B"/>
    <w:rsid w:val="2122A5A8"/>
    <w:rsid w:val="2139304F"/>
    <w:rsid w:val="213FCA1C"/>
    <w:rsid w:val="217078FA"/>
    <w:rsid w:val="21791C0F"/>
    <w:rsid w:val="21ACB857"/>
    <w:rsid w:val="21B9E979"/>
    <w:rsid w:val="21CA24C4"/>
    <w:rsid w:val="21D4AD90"/>
    <w:rsid w:val="21DA748F"/>
    <w:rsid w:val="21DE19FF"/>
    <w:rsid w:val="21F18808"/>
    <w:rsid w:val="22008515"/>
    <w:rsid w:val="222FA691"/>
    <w:rsid w:val="223931DA"/>
    <w:rsid w:val="223CCE17"/>
    <w:rsid w:val="2254CFF6"/>
    <w:rsid w:val="2263105F"/>
    <w:rsid w:val="228BF882"/>
    <w:rsid w:val="228C5C2A"/>
    <w:rsid w:val="22A06D31"/>
    <w:rsid w:val="22A3F328"/>
    <w:rsid w:val="22A42923"/>
    <w:rsid w:val="22A83A8C"/>
    <w:rsid w:val="22A909E6"/>
    <w:rsid w:val="22AEA330"/>
    <w:rsid w:val="22B02C2D"/>
    <w:rsid w:val="22F1D912"/>
    <w:rsid w:val="22FC9ED9"/>
    <w:rsid w:val="230BD770"/>
    <w:rsid w:val="2313C414"/>
    <w:rsid w:val="2319330F"/>
    <w:rsid w:val="233A6634"/>
    <w:rsid w:val="233BBEE4"/>
    <w:rsid w:val="233F47C1"/>
    <w:rsid w:val="236CADB0"/>
    <w:rsid w:val="236D0809"/>
    <w:rsid w:val="236EE9E7"/>
    <w:rsid w:val="2370EEF5"/>
    <w:rsid w:val="23799282"/>
    <w:rsid w:val="237C52D8"/>
    <w:rsid w:val="23938EAC"/>
    <w:rsid w:val="23D2B991"/>
    <w:rsid w:val="23D3354C"/>
    <w:rsid w:val="23E5C3E6"/>
    <w:rsid w:val="23FC5BB8"/>
    <w:rsid w:val="2405B1D4"/>
    <w:rsid w:val="24236427"/>
    <w:rsid w:val="243D1B39"/>
    <w:rsid w:val="2441DD42"/>
    <w:rsid w:val="2444C516"/>
    <w:rsid w:val="244967C2"/>
    <w:rsid w:val="2458B3D6"/>
    <w:rsid w:val="246567EF"/>
    <w:rsid w:val="246B941B"/>
    <w:rsid w:val="247779EF"/>
    <w:rsid w:val="24A3FC2B"/>
    <w:rsid w:val="24B7A708"/>
    <w:rsid w:val="24C1AFAA"/>
    <w:rsid w:val="24CA3E26"/>
    <w:rsid w:val="24DCFB02"/>
    <w:rsid w:val="24F67B0A"/>
    <w:rsid w:val="24F82C46"/>
    <w:rsid w:val="250866B2"/>
    <w:rsid w:val="250B5C43"/>
    <w:rsid w:val="250E0546"/>
    <w:rsid w:val="251AA557"/>
    <w:rsid w:val="252C8CED"/>
    <w:rsid w:val="2542A755"/>
    <w:rsid w:val="25452D84"/>
    <w:rsid w:val="254E50B3"/>
    <w:rsid w:val="25506D7D"/>
    <w:rsid w:val="25565312"/>
    <w:rsid w:val="25885142"/>
    <w:rsid w:val="258CC201"/>
    <w:rsid w:val="25992B52"/>
    <w:rsid w:val="259E7967"/>
    <w:rsid w:val="25AB3E61"/>
    <w:rsid w:val="25E26C56"/>
    <w:rsid w:val="25F3224B"/>
    <w:rsid w:val="261AA2BF"/>
    <w:rsid w:val="26353E3E"/>
    <w:rsid w:val="26432C8B"/>
    <w:rsid w:val="26435FEF"/>
    <w:rsid w:val="264D7EE6"/>
    <w:rsid w:val="264FE219"/>
    <w:rsid w:val="268CAAF7"/>
    <w:rsid w:val="26963EE6"/>
    <w:rsid w:val="2698102C"/>
    <w:rsid w:val="269960FF"/>
    <w:rsid w:val="26A57890"/>
    <w:rsid w:val="26A9AC35"/>
    <w:rsid w:val="26B675B8"/>
    <w:rsid w:val="26E4E611"/>
    <w:rsid w:val="26EEAEBC"/>
    <w:rsid w:val="273F0165"/>
    <w:rsid w:val="274D5EB0"/>
    <w:rsid w:val="275E3538"/>
    <w:rsid w:val="2773FC8D"/>
    <w:rsid w:val="27880DCC"/>
    <w:rsid w:val="2788D181"/>
    <w:rsid w:val="27A991CF"/>
    <w:rsid w:val="27B138C7"/>
    <w:rsid w:val="27B38F11"/>
    <w:rsid w:val="27B4A244"/>
    <w:rsid w:val="27B69976"/>
    <w:rsid w:val="27C9A176"/>
    <w:rsid w:val="27D5AA63"/>
    <w:rsid w:val="27DDF8E3"/>
    <w:rsid w:val="281E81D4"/>
    <w:rsid w:val="2836195B"/>
    <w:rsid w:val="28412157"/>
    <w:rsid w:val="2842F46A"/>
    <w:rsid w:val="2860CF20"/>
    <w:rsid w:val="286E134A"/>
    <w:rsid w:val="28833BA3"/>
    <w:rsid w:val="288A7F1D"/>
    <w:rsid w:val="28A26812"/>
    <w:rsid w:val="28A4D6FE"/>
    <w:rsid w:val="28B986FF"/>
    <w:rsid w:val="28BB76C3"/>
    <w:rsid w:val="28C77168"/>
    <w:rsid w:val="28FC0685"/>
    <w:rsid w:val="2923E318"/>
    <w:rsid w:val="29376DFF"/>
    <w:rsid w:val="29516433"/>
    <w:rsid w:val="295D8178"/>
    <w:rsid w:val="297989C0"/>
    <w:rsid w:val="297B409F"/>
    <w:rsid w:val="29AEEA3F"/>
    <w:rsid w:val="29AFE3AD"/>
    <w:rsid w:val="29CDA210"/>
    <w:rsid w:val="29CF5886"/>
    <w:rsid w:val="29DF3149"/>
    <w:rsid w:val="29E8D406"/>
    <w:rsid w:val="29FB397F"/>
    <w:rsid w:val="2A07ECD1"/>
    <w:rsid w:val="2A138DF0"/>
    <w:rsid w:val="2A4CE271"/>
    <w:rsid w:val="2A689FFC"/>
    <w:rsid w:val="2A8EAD10"/>
    <w:rsid w:val="2A8F3CB4"/>
    <w:rsid w:val="2A9171BA"/>
    <w:rsid w:val="2A94835E"/>
    <w:rsid w:val="2AAA4545"/>
    <w:rsid w:val="2AB86831"/>
    <w:rsid w:val="2AC46B0C"/>
    <w:rsid w:val="2AC5F3F9"/>
    <w:rsid w:val="2AC6876C"/>
    <w:rsid w:val="2AD6EC82"/>
    <w:rsid w:val="2AF22768"/>
    <w:rsid w:val="2AFBF3A8"/>
    <w:rsid w:val="2B1704BD"/>
    <w:rsid w:val="2B20B927"/>
    <w:rsid w:val="2B438D57"/>
    <w:rsid w:val="2B48D423"/>
    <w:rsid w:val="2B52A2B7"/>
    <w:rsid w:val="2B566439"/>
    <w:rsid w:val="2B5F9D04"/>
    <w:rsid w:val="2B8501DF"/>
    <w:rsid w:val="2B8DFA67"/>
    <w:rsid w:val="2BA0D736"/>
    <w:rsid w:val="2BA3BD32"/>
    <w:rsid w:val="2BDA0610"/>
    <w:rsid w:val="2C18D699"/>
    <w:rsid w:val="2C19191E"/>
    <w:rsid w:val="2C655017"/>
    <w:rsid w:val="2C66D7F7"/>
    <w:rsid w:val="2CA17DFD"/>
    <w:rsid w:val="2CB92CD8"/>
    <w:rsid w:val="2CD09BE0"/>
    <w:rsid w:val="2CF82166"/>
    <w:rsid w:val="2CFAF945"/>
    <w:rsid w:val="2D0D4C4B"/>
    <w:rsid w:val="2D26DAFC"/>
    <w:rsid w:val="2D3B9184"/>
    <w:rsid w:val="2D5120B7"/>
    <w:rsid w:val="2D67655E"/>
    <w:rsid w:val="2D723EA2"/>
    <w:rsid w:val="2D924E59"/>
    <w:rsid w:val="2D92A8EA"/>
    <w:rsid w:val="2DBBE103"/>
    <w:rsid w:val="2DE0B1B6"/>
    <w:rsid w:val="2DE5F2C0"/>
    <w:rsid w:val="2DEA2A08"/>
    <w:rsid w:val="2E0CA160"/>
    <w:rsid w:val="2E2532B3"/>
    <w:rsid w:val="2E2A6DCE"/>
    <w:rsid w:val="2E30F5D1"/>
    <w:rsid w:val="2E7AA2F7"/>
    <w:rsid w:val="2E979166"/>
    <w:rsid w:val="2E9D7255"/>
    <w:rsid w:val="2EA049DA"/>
    <w:rsid w:val="2EA8A1C1"/>
    <w:rsid w:val="2EB8A313"/>
    <w:rsid w:val="2ED422BF"/>
    <w:rsid w:val="2ED861CA"/>
    <w:rsid w:val="2EF1F7AA"/>
    <w:rsid w:val="2EF88582"/>
    <w:rsid w:val="2F06A30D"/>
    <w:rsid w:val="2F096166"/>
    <w:rsid w:val="2F1D8A8F"/>
    <w:rsid w:val="2F20F9D7"/>
    <w:rsid w:val="2F2F93CF"/>
    <w:rsid w:val="2F300CE2"/>
    <w:rsid w:val="2F433138"/>
    <w:rsid w:val="2F4B6FE0"/>
    <w:rsid w:val="2F4C5474"/>
    <w:rsid w:val="2F543839"/>
    <w:rsid w:val="2F8871EE"/>
    <w:rsid w:val="2F896F1F"/>
    <w:rsid w:val="2FA26CAE"/>
    <w:rsid w:val="2FB85C69"/>
    <w:rsid w:val="2FD0E889"/>
    <w:rsid w:val="2FD70A97"/>
    <w:rsid w:val="2FE53B0F"/>
    <w:rsid w:val="2FEE8E75"/>
    <w:rsid w:val="2FF9E0F5"/>
    <w:rsid w:val="301A0783"/>
    <w:rsid w:val="3020BC71"/>
    <w:rsid w:val="3032085B"/>
    <w:rsid w:val="303AF61D"/>
    <w:rsid w:val="30447222"/>
    <w:rsid w:val="3051B883"/>
    <w:rsid w:val="3067F72E"/>
    <w:rsid w:val="30687F4A"/>
    <w:rsid w:val="3071A8F3"/>
    <w:rsid w:val="309F6B33"/>
    <w:rsid w:val="30B040A1"/>
    <w:rsid w:val="30D95EC6"/>
    <w:rsid w:val="30D975A7"/>
    <w:rsid w:val="30EC8A41"/>
    <w:rsid w:val="30F8C0EA"/>
    <w:rsid w:val="31195485"/>
    <w:rsid w:val="3120E261"/>
    <w:rsid w:val="3134810A"/>
    <w:rsid w:val="31369D61"/>
    <w:rsid w:val="315886A0"/>
    <w:rsid w:val="31A30AAC"/>
    <w:rsid w:val="31AA8042"/>
    <w:rsid w:val="31B09998"/>
    <w:rsid w:val="31B87A98"/>
    <w:rsid w:val="31BCF7F4"/>
    <w:rsid w:val="31CF01D7"/>
    <w:rsid w:val="31DF6B43"/>
    <w:rsid w:val="31E66E06"/>
    <w:rsid w:val="31F4DE28"/>
    <w:rsid w:val="3203B20E"/>
    <w:rsid w:val="320F2C16"/>
    <w:rsid w:val="32261270"/>
    <w:rsid w:val="3247A270"/>
    <w:rsid w:val="324BBEEF"/>
    <w:rsid w:val="328354F8"/>
    <w:rsid w:val="3289E12C"/>
    <w:rsid w:val="32A4EAAF"/>
    <w:rsid w:val="32BF4673"/>
    <w:rsid w:val="32CB06A1"/>
    <w:rsid w:val="32D102CC"/>
    <w:rsid w:val="32FD2BE2"/>
    <w:rsid w:val="33485A7C"/>
    <w:rsid w:val="335B025F"/>
    <w:rsid w:val="33636572"/>
    <w:rsid w:val="337549B6"/>
    <w:rsid w:val="33787B95"/>
    <w:rsid w:val="33945640"/>
    <w:rsid w:val="339C8B01"/>
    <w:rsid w:val="33B77E1E"/>
    <w:rsid w:val="33C977AB"/>
    <w:rsid w:val="33CB4230"/>
    <w:rsid w:val="33CFB373"/>
    <w:rsid w:val="33D12BE8"/>
    <w:rsid w:val="33D8C0BF"/>
    <w:rsid w:val="34011B1B"/>
    <w:rsid w:val="3401273C"/>
    <w:rsid w:val="3401FCCA"/>
    <w:rsid w:val="3405CCED"/>
    <w:rsid w:val="340A6178"/>
    <w:rsid w:val="342FDEE3"/>
    <w:rsid w:val="34593430"/>
    <w:rsid w:val="345D556E"/>
    <w:rsid w:val="3464A66B"/>
    <w:rsid w:val="347532AF"/>
    <w:rsid w:val="348BCC46"/>
    <w:rsid w:val="34B2C69B"/>
    <w:rsid w:val="34CF3DA6"/>
    <w:rsid w:val="34FD8DE6"/>
    <w:rsid w:val="34FF7058"/>
    <w:rsid w:val="35094319"/>
    <w:rsid w:val="350AEBEC"/>
    <w:rsid w:val="351F9955"/>
    <w:rsid w:val="354C8143"/>
    <w:rsid w:val="354D705D"/>
    <w:rsid w:val="35594E62"/>
    <w:rsid w:val="355C262F"/>
    <w:rsid w:val="357648DA"/>
    <w:rsid w:val="35970CC9"/>
    <w:rsid w:val="35CF4FEA"/>
    <w:rsid w:val="35E48105"/>
    <w:rsid w:val="35F44443"/>
    <w:rsid w:val="35F661AD"/>
    <w:rsid w:val="35F7B372"/>
    <w:rsid w:val="3628DAF5"/>
    <w:rsid w:val="3639C730"/>
    <w:rsid w:val="364C8DEC"/>
    <w:rsid w:val="366E7C83"/>
    <w:rsid w:val="3677731A"/>
    <w:rsid w:val="36958B98"/>
    <w:rsid w:val="36AB9056"/>
    <w:rsid w:val="36BDFBF9"/>
    <w:rsid w:val="36E5D72F"/>
    <w:rsid w:val="36E80006"/>
    <w:rsid w:val="36EAB20B"/>
    <w:rsid w:val="36FAE9B4"/>
    <w:rsid w:val="370855DB"/>
    <w:rsid w:val="370F8639"/>
    <w:rsid w:val="3714CDCD"/>
    <w:rsid w:val="3717CC4F"/>
    <w:rsid w:val="3723ED42"/>
    <w:rsid w:val="374B3BAD"/>
    <w:rsid w:val="37537A94"/>
    <w:rsid w:val="377C8783"/>
    <w:rsid w:val="37B1F0C2"/>
    <w:rsid w:val="37CA6929"/>
    <w:rsid w:val="37E50805"/>
    <w:rsid w:val="37F87943"/>
    <w:rsid w:val="3802B6E0"/>
    <w:rsid w:val="3813111B"/>
    <w:rsid w:val="381460D1"/>
    <w:rsid w:val="3823A2D8"/>
    <w:rsid w:val="3836665B"/>
    <w:rsid w:val="3840E56C"/>
    <w:rsid w:val="38663C18"/>
    <w:rsid w:val="38800C0F"/>
    <w:rsid w:val="389E731F"/>
    <w:rsid w:val="38AB102B"/>
    <w:rsid w:val="38B4EDCE"/>
    <w:rsid w:val="38E70C0E"/>
    <w:rsid w:val="38EA1701"/>
    <w:rsid w:val="38FAD8E9"/>
    <w:rsid w:val="39081D8C"/>
    <w:rsid w:val="3959FE1B"/>
    <w:rsid w:val="39771842"/>
    <w:rsid w:val="397E3497"/>
    <w:rsid w:val="39941AF3"/>
    <w:rsid w:val="3998A05B"/>
    <w:rsid w:val="39B82FC8"/>
    <w:rsid w:val="39BFA5C7"/>
    <w:rsid w:val="39C0F45B"/>
    <w:rsid w:val="39C6DA79"/>
    <w:rsid w:val="39E7BD19"/>
    <w:rsid w:val="39F2B1A3"/>
    <w:rsid w:val="39FB89B8"/>
    <w:rsid w:val="39FCE41C"/>
    <w:rsid w:val="3A15908B"/>
    <w:rsid w:val="3A31DC23"/>
    <w:rsid w:val="3A393F0B"/>
    <w:rsid w:val="3A3C3F84"/>
    <w:rsid w:val="3A52D333"/>
    <w:rsid w:val="3A724676"/>
    <w:rsid w:val="3A8216DF"/>
    <w:rsid w:val="3AAD01E5"/>
    <w:rsid w:val="3AD5AF2B"/>
    <w:rsid w:val="3AE31BE7"/>
    <w:rsid w:val="3AECE303"/>
    <w:rsid w:val="3AF4043D"/>
    <w:rsid w:val="3B12E8A3"/>
    <w:rsid w:val="3B140588"/>
    <w:rsid w:val="3B33596D"/>
    <w:rsid w:val="3B3B4EC7"/>
    <w:rsid w:val="3B463481"/>
    <w:rsid w:val="3B5CC4BC"/>
    <w:rsid w:val="3B63E0B5"/>
    <w:rsid w:val="3B837FFE"/>
    <w:rsid w:val="3B8726B7"/>
    <w:rsid w:val="3B96A0B1"/>
    <w:rsid w:val="3BCDAC84"/>
    <w:rsid w:val="3BCE9AC7"/>
    <w:rsid w:val="3BDE28F1"/>
    <w:rsid w:val="3C1AC228"/>
    <w:rsid w:val="3C1F2A70"/>
    <w:rsid w:val="3C5EBE52"/>
    <w:rsid w:val="3C6AB55A"/>
    <w:rsid w:val="3C6DB859"/>
    <w:rsid w:val="3C71CC26"/>
    <w:rsid w:val="3C9B8812"/>
    <w:rsid w:val="3CA3CB81"/>
    <w:rsid w:val="3CB5D559"/>
    <w:rsid w:val="3CC49659"/>
    <w:rsid w:val="3CDBE5C7"/>
    <w:rsid w:val="3CDE482A"/>
    <w:rsid w:val="3CE3F85E"/>
    <w:rsid w:val="3CE6B5FC"/>
    <w:rsid w:val="3CF94F8F"/>
    <w:rsid w:val="3CFA3BBB"/>
    <w:rsid w:val="3D06357E"/>
    <w:rsid w:val="3D1F5DDB"/>
    <w:rsid w:val="3D20C377"/>
    <w:rsid w:val="3D221029"/>
    <w:rsid w:val="3D3E3E1A"/>
    <w:rsid w:val="3D697CE5"/>
    <w:rsid w:val="3D6F3694"/>
    <w:rsid w:val="3D7AD1CA"/>
    <w:rsid w:val="3DB016E4"/>
    <w:rsid w:val="3DC695C7"/>
    <w:rsid w:val="3DC725B9"/>
    <w:rsid w:val="3DD0961E"/>
    <w:rsid w:val="3DEB4D50"/>
    <w:rsid w:val="3DEBBB07"/>
    <w:rsid w:val="3DEBFE3A"/>
    <w:rsid w:val="3E0B88B1"/>
    <w:rsid w:val="3E30CCE9"/>
    <w:rsid w:val="3E48A05A"/>
    <w:rsid w:val="3E525F58"/>
    <w:rsid w:val="3E5CF78F"/>
    <w:rsid w:val="3E5DA300"/>
    <w:rsid w:val="3E635E31"/>
    <w:rsid w:val="3E740E13"/>
    <w:rsid w:val="3E82529F"/>
    <w:rsid w:val="3E8E1080"/>
    <w:rsid w:val="3E961F26"/>
    <w:rsid w:val="3EC92406"/>
    <w:rsid w:val="3F0AABD7"/>
    <w:rsid w:val="3F0EFDA0"/>
    <w:rsid w:val="3F0FF976"/>
    <w:rsid w:val="3F1B4064"/>
    <w:rsid w:val="3F1FCD5C"/>
    <w:rsid w:val="3F48AFA3"/>
    <w:rsid w:val="3F58919A"/>
    <w:rsid w:val="3F72EA4A"/>
    <w:rsid w:val="3F7ACF5F"/>
    <w:rsid w:val="3F860A31"/>
    <w:rsid w:val="3F8B1D2A"/>
    <w:rsid w:val="3F942B98"/>
    <w:rsid w:val="3FA150CE"/>
    <w:rsid w:val="3FC29AE3"/>
    <w:rsid w:val="3FCDB4A4"/>
    <w:rsid w:val="3FDB906C"/>
    <w:rsid w:val="3FE0C61F"/>
    <w:rsid w:val="3FE148A2"/>
    <w:rsid w:val="3FE24887"/>
    <w:rsid w:val="3FE49C26"/>
    <w:rsid w:val="3FE93DE8"/>
    <w:rsid w:val="3FECA79B"/>
    <w:rsid w:val="4030095F"/>
    <w:rsid w:val="4032B3B9"/>
    <w:rsid w:val="403A4CB3"/>
    <w:rsid w:val="403DF9D3"/>
    <w:rsid w:val="405966BB"/>
    <w:rsid w:val="40667B18"/>
    <w:rsid w:val="4068A9CF"/>
    <w:rsid w:val="407188A4"/>
    <w:rsid w:val="407C89FE"/>
    <w:rsid w:val="4096D7F5"/>
    <w:rsid w:val="4099A086"/>
    <w:rsid w:val="409B1C05"/>
    <w:rsid w:val="40CA52B7"/>
    <w:rsid w:val="40D58196"/>
    <w:rsid w:val="40D94B88"/>
    <w:rsid w:val="40E409EE"/>
    <w:rsid w:val="40FBF245"/>
    <w:rsid w:val="410E5B61"/>
    <w:rsid w:val="4113ECEB"/>
    <w:rsid w:val="412D28BE"/>
    <w:rsid w:val="412D94C2"/>
    <w:rsid w:val="416BDA7F"/>
    <w:rsid w:val="418FD92C"/>
    <w:rsid w:val="4190C006"/>
    <w:rsid w:val="419C53B2"/>
    <w:rsid w:val="41B619DD"/>
    <w:rsid w:val="41C1A3DE"/>
    <w:rsid w:val="41CD0E7B"/>
    <w:rsid w:val="41F45C4F"/>
    <w:rsid w:val="41F56816"/>
    <w:rsid w:val="41FE760C"/>
    <w:rsid w:val="420709AC"/>
    <w:rsid w:val="420C14A2"/>
    <w:rsid w:val="4212CB08"/>
    <w:rsid w:val="4237A2F9"/>
    <w:rsid w:val="4247D489"/>
    <w:rsid w:val="4250010D"/>
    <w:rsid w:val="426DF4FF"/>
    <w:rsid w:val="429FBD39"/>
    <w:rsid w:val="42ADB654"/>
    <w:rsid w:val="42BFD0A7"/>
    <w:rsid w:val="42CC299D"/>
    <w:rsid w:val="42DF41D5"/>
    <w:rsid w:val="43167334"/>
    <w:rsid w:val="432395C9"/>
    <w:rsid w:val="43243CFD"/>
    <w:rsid w:val="43380C42"/>
    <w:rsid w:val="433C3E0D"/>
    <w:rsid w:val="43409199"/>
    <w:rsid w:val="4343E5C9"/>
    <w:rsid w:val="434DFA98"/>
    <w:rsid w:val="435B7CF9"/>
    <w:rsid w:val="435E5C9C"/>
    <w:rsid w:val="4367184D"/>
    <w:rsid w:val="436D51E5"/>
    <w:rsid w:val="43859BF7"/>
    <w:rsid w:val="4388AB3A"/>
    <w:rsid w:val="43890EBD"/>
    <w:rsid w:val="4391C250"/>
    <w:rsid w:val="4395D804"/>
    <w:rsid w:val="43A0ACE6"/>
    <w:rsid w:val="43B21973"/>
    <w:rsid w:val="43B7BB0E"/>
    <w:rsid w:val="43D2FF2A"/>
    <w:rsid w:val="43E8661C"/>
    <w:rsid w:val="43EE9D51"/>
    <w:rsid w:val="43F1880F"/>
    <w:rsid w:val="4401AC9D"/>
    <w:rsid w:val="440D65DD"/>
    <w:rsid w:val="441103F1"/>
    <w:rsid w:val="4411E09F"/>
    <w:rsid w:val="4414FF7D"/>
    <w:rsid w:val="441A4F6F"/>
    <w:rsid w:val="4437BA71"/>
    <w:rsid w:val="44395AE0"/>
    <w:rsid w:val="444986B5"/>
    <w:rsid w:val="4449E172"/>
    <w:rsid w:val="44527B0B"/>
    <w:rsid w:val="44593555"/>
    <w:rsid w:val="4484B9D0"/>
    <w:rsid w:val="449EC792"/>
    <w:rsid w:val="44ABCDB1"/>
    <w:rsid w:val="44BDD3EE"/>
    <w:rsid w:val="44C270AA"/>
    <w:rsid w:val="44D11143"/>
    <w:rsid w:val="44FB7CC2"/>
    <w:rsid w:val="45197CEA"/>
    <w:rsid w:val="4531218D"/>
    <w:rsid w:val="457A4EF4"/>
    <w:rsid w:val="457D1D8D"/>
    <w:rsid w:val="45802CA6"/>
    <w:rsid w:val="458BACE2"/>
    <w:rsid w:val="45968173"/>
    <w:rsid w:val="45ADA668"/>
    <w:rsid w:val="45AE3357"/>
    <w:rsid w:val="45B61FD0"/>
    <w:rsid w:val="45C55491"/>
    <w:rsid w:val="45E3E60F"/>
    <w:rsid w:val="45E6F5A1"/>
    <w:rsid w:val="45F559B7"/>
    <w:rsid w:val="45F55C85"/>
    <w:rsid w:val="45FF25A0"/>
    <w:rsid w:val="4603A732"/>
    <w:rsid w:val="4644D728"/>
    <w:rsid w:val="465CB79F"/>
    <w:rsid w:val="4676B398"/>
    <w:rsid w:val="46AE7AB0"/>
    <w:rsid w:val="46BC922C"/>
    <w:rsid w:val="46BFA868"/>
    <w:rsid w:val="46E64DF5"/>
    <w:rsid w:val="46F0BDFE"/>
    <w:rsid w:val="46F123AB"/>
    <w:rsid w:val="471E1543"/>
    <w:rsid w:val="47258B04"/>
    <w:rsid w:val="47394290"/>
    <w:rsid w:val="475F7974"/>
    <w:rsid w:val="478FE6A8"/>
    <w:rsid w:val="479C7F03"/>
    <w:rsid w:val="479F7793"/>
    <w:rsid w:val="47CD9872"/>
    <w:rsid w:val="4807BF2F"/>
    <w:rsid w:val="480BC29F"/>
    <w:rsid w:val="48239165"/>
    <w:rsid w:val="482EDABB"/>
    <w:rsid w:val="4836F962"/>
    <w:rsid w:val="4839895F"/>
    <w:rsid w:val="484F496A"/>
    <w:rsid w:val="485B2B90"/>
    <w:rsid w:val="486518F1"/>
    <w:rsid w:val="48722A96"/>
    <w:rsid w:val="487A213A"/>
    <w:rsid w:val="487D31DD"/>
    <w:rsid w:val="4881F41D"/>
    <w:rsid w:val="48974FEF"/>
    <w:rsid w:val="48A44206"/>
    <w:rsid w:val="48ACB040"/>
    <w:rsid w:val="48B34DFC"/>
    <w:rsid w:val="48B4049D"/>
    <w:rsid w:val="48D8285B"/>
    <w:rsid w:val="48F7F59B"/>
    <w:rsid w:val="48F9BC9C"/>
    <w:rsid w:val="49057B2B"/>
    <w:rsid w:val="4916AD26"/>
    <w:rsid w:val="4928D9DF"/>
    <w:rsid w:val="4928E005"/>
    <w:rsid w:val="49291DF4"/>
    <w:rsid w:val="4961EAAA"/>
    <w:rsid w:val="498BE587"/>
    <w:rsid w:val="49AF436E"/>
    <w:rsid w:val="49C3207D"/>
    <w:rsid w:val="49D1ECCA"/>
    <w:rsid w:val="49E41A2C"/>
    <w:rsid w:val="49E432E4"/>
    <w:rsid w:val="4A0E3193"/>
    <w:rsid w:val="4A15659B"/>
    <w:rsid w:val="4A1D1803"/>
    <w:rsid w:val="4A30BCAE"/>
    <w:rsid w:val="4A3C9D30"/>
    <w:rsid w:val="4A664A81"/>
    <w:rsid w:val="4A67FDF9"/>
    <w:rsid w:val="4A6EBE64"/>
    <w:rsid w:val="4A82D1ED"/>
    <w:rsid w:val="4AA751F9"/>
    <w:rsid w:val="4AAE1927"/>
    <w:rsid w:val="4ADF2690"/>
    <w:rsid w:val="4AF3581A"/>
    <w:rsid w:val="4AF40AAD"/>
    <w:rsid w:val="4AF8FFE7"/>
    <w:rsid w:val="4B0366BE"/>
    <w:rsid w:val="4B1A2644"/>
    <w:rsid w:val="4B2A23E3"/>
    <w:rsid w:val="4B30F9F3"/>
    <w:rsid w:val="4B4DFCA4"/>
    <w:rsid w:val="4B6B0278"/>
    <w:rsid w:val="4B9B5D4E"/>
    <w:rsid w:val="4BA251C3"/>
    <w:rsid w:val="4BE5D61C"/>
    <w:rsid w:val="4BE87360"/>
    <w:rsid w:val="4C21C8AC"/>
    <w:rsid w:val="4C23AD51"/>
    <w:rsid w:val="4C3B3E0E"/>
    <w:rsid w:val="4C52F0B3"/>
    <w:rsid w:val="4C5D663E"/>
    <w:rsid w:val="4C66F297"/>
    <w:rsid w:val="4C77E329"/>
    <w:rsid w:val="4C83E44E"/>
    <w:rsid w:val="4C8BDDBC"/>
    <w:rsid w:val="4CAD82A6"/>
    <w:rsid w:val="4CBA7B77"/>
    <w:rsid w:val="4CD5E047"/>
    <w:rsid w:val="4CE9593C"/>
    <w:rsid w:val="4CF0783B"/>
    <w:rsid w:val="4CFFB958"/>
    <w:rsid w:val="4D2497AB"/>
    <w:rsid w:val="4D372DAF"/>
    <w:rsid w:val="4D40FAE7"/>
    <w:rsid w:val="4D41460F"/>
    <w:rsid w:val="4D476B1D"/>
    <w:rsid w:val="4D715D93"/>
    <w:rsid w:val="4DB34F72"/>
    <w:rsid w:val="4DB5E3A2"/>
    <w:rsid w:val="4DC013DB"/>
    <w:rsid w:val="4DC859C3"/>
    <w:rsid w:val="4DCE7C67"/>
    <w:rsid w:val="4DE771E7"/>
    <w:rsid w:val="4DFEEBFC"/>
    <w:rsid w:val="4E19B079"/>
    <w:rsid w:val="4E208313"/>
    <w:rsid w:val="4E2945B0"/>
    <w:rsid w:val="4E2C2194"/>
    <w:rsid w:val="4E39879A"/>
    <w:rsid w:val="4E3EEEC6"/>
    <w:rsid w:val="4E6F5A3E"/>
    <w:rsid w:val="4E981B3D"/>
    <w:rsid w:val="4EA1232F"/>
    <w:rsid w:val="4EB5EFCC"/>
    <w:rsid w:val="4EB79B27"/>
    <w:rsid w:val="4ECEC250"/>
    <w:rsid w:val="4EDB4ECF"/>
    <w:rsid w:val="4EDF6599"/>
    <w:rsid w:val="4EE05749"/>
    <w:rsid w:val="4EE45A1A"/>
    <w:rsid w:val="4EE8F937"/>
    <w:rsid w:val="4EEE4506"/>
    <w:rsid w:val="4EF0E620"/>
    <w:rsid w:val="4EFDA942"/>
    <w:rsid w:val="4F1F0413"/>
    <w:rsid w:val="4F36AFDA"/>
    <w:rsid w:val="4F81CBF2"/>
    <w:rsid w:val="4F8D3BF9"/>
    <w:rsid w:val="4F91611B"/>
    <w:rsid w:val="4FA4B836"/>
    <w:rsid w:val="4FA7A9C5"/>
    <w:rsid w:val="4FB56818"/>
    <w:rsid w:val="4FBEC3D5"/>
    <w:rsid w:val="4FDE58C0"/>
    <w:rsid w:val="4FF8D465"/>
    <w:rsid w:val="4FFA8135"/>
    <w:rsid w:val="501DFE95"/>
    <w:rsid w:val="5045B6D3"/>
    <w:rsid w:val="5046BBF3"/>
    <w:rsid w:val="507A70C9"/>
    <w:rsid w:val="50890686"/>
    <w:rsid w:val="508B452F"/>
    <w:rsid w:val="509B256A"/>
    <w:rsid w:val="50A3E5E8"/>
    <w:rsid w:val="50A717E9"/>
    <w:rsid w:val="50D64EDD"/>
    <w:rsid w:val="50DD6C22"/>
    <w:rsid w:val="50DE347B"/>
    <w:rsid w:val="50E0380E"/>
    <w:rsid w:val="51009196"/>
    <w:rsid w:val="51061D29"/>
    <w:rsid w:val="510698AE"/>
    <w:rsid w:val="51191FEC"/>
    <w:rsid w:val="513D360E"/>
    <w:rsid w:val="513F4F0C"/>
    <w:rsid w:val="51436149"/>
    <w:rsid w:val="515901B9"/>
    <w:rsid w:val="51604DCC"/>
    <w:rsid w:val="5169FD22"/>
    <w:rsid w:val="516C8BAE"/>
    <w:rsid w:val="5180060F"/>
    <w:rsid w:val="518A4766"/>
    <w:rsid w:val="518B6026"/>
    <w:rsid w:val="51985FFF"/>
    <w:rsid w:val="51B6A240"/>
    <w:rsid w:val="51C05FA8"/>
    <w:rsid w:val="51EB888F"/>
    <w:rsid w:val="51FB59F1"/>
    <w:rsid w:val="51FF204B"/>
    <w:rsid w:val="5201A121"/>
    <w:rsid w:val="522F36B6"/>
    <w:rsid w:val="5239918C"/>
    <w:rsid w:val="525084D3"/>
    <w:rsid w:val="5251D6F8"/>
    <w:rsid w:val="52528479"/>
    <w:rsid w:val="526A5692"/>
    <w:rsid w:val="527303DE"/>
    <w:rsid w:val="5287A9F9"/>
    <w:rsid w:val="529EA5CD"/>
    <w:rsid w:val="52A5D78B"/>
    <w:rsid w:val="52B5C0ED"/>
    <w:rsid w:val="52F2F817"/>
    <w:rsid w:val="52F76E16"/>
    <w:rsid w:val="52F9D555"/>
    <w:rsid w:val="5305770E"/>
    <w:rsid w:val="5318EBAE"/>
    <w:rsid w:val="532BD06E"/>
    <w:rsid w:val="53971989"/>
    <w:rsid w:val="539AF0AC"/>
    <w:rsid w:val="53E7BD13"/>
    <w:rsid w:val="540C6D2F"/>
    <w:rsid w:val="541069C6"/>
    <w:rsid w:val="54114D31"/>
    <w:rsid w:val="5411A28B"/>
    <w:rsid w:val="541DDB5B"/>
    <w:rsid w:val="542115FF"/>
    <w:rsid w:val="54212CBD"/>
    <w:rsid w:val="54307339"/>
    <w:rsid w:val="543390D9"/>
    <w:rsid w:val="5435AB85"/>
    <w:rsid w:val="543DD6E4"/>
    <w:rsid w:val="545278EA"/>
    <w:rsid w:val="5464D23E"/>
    <w:rsid w:val="547CEA5D"/>
    <w:rsid w:val="54A1F588"/>
    <w:rsid w:val="54C57365"/>
    <w:rsid w:val="54FCBCBD"/>
    <w:rsid w:val="54FEC05B"/>
    <w:rsid w:val="551E318B"/>
    <w:rsid w:val="5520B9FF"/>
    <w:rsid w:val="5524DB77"/>
    <w:rsid w:val="55321AFA"/>
    <w:rsid w:val="5536C10D"/>
    <w:rsid w:val="55418AED"/>
    <w:rsid w:val="554AE4FF"/>
    <w:rsid w:val="554CE84E"/>
    <w:rsid w:val="55535615"/>
    <w:rsid w:val="557444F1"/>
    <w:rsid w:val="559EC6B5"/>
    <w:rsid w:val="55B0F448"/>
    <w:rsid w:val="55EA7D7F"/>
    <w:rsid w:val="55F4DE3C"/>
    <w:rsid w:val="56276400"/>
    <w:rsid w:val="5635266A"/>
    <w:rsid w:val="563D3E2D"/>
    <w:rsid w:val="564FD961"/>
    <w:rsid w:val="566A979A"/>
    <w:rsid w:val="5677106E"/>
    <w:rsid w:val="567CB162"/>
    <w:rsid w:val="568AA8F0"/>
    <w:rsid w:val="569C270E"/>
    <w:rsid w:val="56E7994C"/>
    <w:rsid w:val="56EB3394"/>
    <w:rsid w:val="57036AE2"/>
    <w:rsid w:val="5722FE0B"/>
    <w:rsid w:val="57280FC0"/>
    <w:rsid w:val="573DC16A"/>
    <w:rsid w:val="573E284A"/>
    <w:rsid w:val="57434693"/>
    <w:rsid w:val="57452A48"/>
    <w:rsid w:val="5772EB46"/>
    <w:rsid w:val="5775E8D0"/>
    <w:rsid w:val="577892A2"/>
    <w:rsid w:val="578266EF"/>
    <w:rsid w:val="57997A70"/>
    <w:rsid w:val="57CC201E"/>
    <w:rsid w:val="57D89DA6"/>
    <w:rsid w:val="57DE03EB"/>
    <w:rsid w:val="57EBA9C2"/>
    <w:rsid w:val="57EEED10"/>
    <w:rsid w:val="57F4C365"/>
    <w:rsid w:val="57FD3478"/>
    <w:rsid w:val="5811FD04"/>
    <w:rsid w:val="582AC36C"/>
    <w:rsid w:val="583123D3"/>
    <w:rsid w:val="58582E1A"/>
    <w:rsid w:val="585E1AA8"/>
    <w:rsid w:val="586E61CF"/>
    <w:rsid w:val="58771A4E"/>
    <w:rsid w:val="5882B814"/>
    <w:rsid w:val="588D53A5"/>
    <w:rsid w:val="58B121CD"/>
    <w:rsid w:val="58C5B440"/>
    <w:rsid w:val="58DE9FB2"/>
    <w:rsid w:val="58DEDBA2"/>
    <w:rsid w:val="58F2730D"/>
    <w:rsid w:val="59254970"/>
    <w:rsid w:val="59450EB7"/>
    <w:rsid w:val="595419EF"/>
    <w:rsid w:val="5969BB04"/>
    <w:rsid w:val="596A240E"/>
    <w:rsid w:val="597AEE3C"/>
    <w:rsid w:val="5987F522"/>
    <w:rsid w:val="599CB109"/>
    <w:rsid w:val="59A7F250"/>
    <w:rsid w:val="59BA8B23"/>
    <w:rsid w:val="59C0747C"/>
    <w:rsid w:val="59C1B425"/>
    <w:rsid w:val="59EAA7C3"/>
    <w:rsid w:val="5A0BBBD3"/>
    <w:rsid w:val="5A11E724"/>
    <w:rsid w:val="5A226139"/>
    <w:rsid w:val="5A32C6C2"/>
    <w:rsid w:val="5A331E17"/>
    <w:rsid w:val="5A639116"/>
    <w:rsid w:val="5A678F16"/>
    <w:rsid w:val="5A6EEAA7"/>
    <w:rsid w:val="5A734F90"/>
    <w:rsid w:val="5A8B9441"/>
    <w:rsid w:val="5A8D7E92"/>
    <w:rsid w:val="5A95A140"/>
    <w:rsid w:val="5A9D3E6D"/>
    <w:rsid w:val="5AFD14C0"/>
    <w:rsid w:val="5B0A2227"/>
    <w:rsid w:val="5B1027F3"/>
    <w:rsid w:val="5B1B8B99"/>
    <w:rsid w:val="5B24AED9"/>
    <w:rsid w:val="5B255D20"/>
    <w:rsid w:val="5B38FBB9"/>
    <w:rsid w:val="5B420C0E"/>
    <w:rsid w:val="5B427F06"/>
    <w:rsid w:val="5B52C366"/>
    <w:rsid w:val="5B5A44DF"/>
    <w:rsid w:val="5B70EC2E"/>
    <w:rsid w:val="5B8E5949"/>
    <w:rsid w:val="5B9E9A37"/>
    <w:rsid w:val="5BA17A0B"/>
    <w:rsid w:val="5BB26336"/>
    <w:rsid w:val="5BCAB1AC"/>
    <w:rsid w:val="5BCC644A"/>
    <w:rsid w:val="5BCE9723"/>
    <w:rsid w:val="5BD39255"/>
    <w:rsid w:val="5BE26236"/>
    <w:rsid w:val="5BFBFAB4"/>
    <w:rsid w:val="5C147A7E"/>
    <w:rsid w:val="5C19AE95"/>
    <w:rsid w:val="5C287446"/>
    <w:rsid w:val="5C3FD6E7"/>
    <w:rsid w:val="5C43F420"/>
    <w:rsid w:val="5C54FA8C"/>
    <w:rsid w:val="5C5F65C0"/>
    <w:rsid w:val="5C651B8A"/>
    <w:rsid w:val="5C708DD6"/>
    <w:rsid w:val="5C8B55FE"/>
    <w:rsid w:val="5CA64A4F"/>
    <w:rsid w:val="5CABC0C5"/>
    <w:rsid w:val="5CB0E95C"/>
    <w:rsid w:val="5CBB1517"/>
    <w:rsid w:val="5CD19B04"/>
    <w:rsid w:val="5CEEA645"/>
    <w:rsid w:val="5CF2CEAA"/>
    <w:rsid w:val="5CFA7AFD"/>
    <w:rsid w:val="5D0DA64C"/>
    <w:rsid w:val="5D1264BF"/>
    <w:rsid w:val="5D257D41"/>
    <w:rsid w:val="5D31A913"/>
    <w:rsid w:val="5D35F9A8"/>
    <w:rsid w:val="5D399473"/>
    <w:rsid w:val="5D50C914"/>
    <w:rsid w:val="5D92134F"/>
    <w:rsid w:val="5D9FD22E"/>
    <w:rsid w:val="5DA0AD72"/>
    <w:rsid w:val="5DAA83AB"/>
    <w:rsid w:val="5DC9ED84"/>
    <w:rsid w:val="5DD981AA"/>
    <w:rsid w:val="5DEB5C0A"/>
    <w:rsid w:val="5DFE1EED"/>
    <w:rsid w:val="5E0E7A4B"/>
    <w:rsid w:val="5E1CDFAF"/>
    <w:rsid w:val="5E25AD8F"/>
    <w:rsid w:val="5E83B081"/>
    <w:rsid w:val="5E8B3F84"/>
    <w:rsid w:val="5E97D11C"/>
    <w:rsid w:val="5EA3E8CF"/>
    <w:rsid w:val="5EA77C8B"/>
    <w:rsid w:val="5EAB310F"/>
    <w:rsid w:val="5EF74E33"/>
    <w:rsid w:val="5F082A18"/>
    <w:rsid w:val="5F12653E"/>
    <w:rsid w:val="5F181552"/>
    <w:rsid w:val="5F282F14"/>
    <w:rsid w:val="5F3D8DD8"/>
    <w:rsid w:val="5F8E0A5E"/>
    <w:rsid w:val="5F916769"/>
    <w:rsid w:val="5F93A23B"/>
    <w:rsid w:val="5FB5F5E0"/>
    <w:rsid w:val="5FBC8B07"/>
    <w:rsid w:val="5FC6D49F"/>
    <w:rsid w:val="5FDDF287"/>
    <w:rsid w:val="60040683"/>
    <w:rsid w:val="60140481"/>
    <w:rsid w:val="601AACB3"/>
    <w:rsid w:val="603AB334"/>
    <w:rsid w:val="60611884"/>
    <w:rsid w:val="60648478"/>
    <w:rsid w:val="607260C3"/>
    <w:rsid w:val="60811D3E"/>
    <w:rsid w:val="60947477"/>
    <w:rsid w:val="609CA22A"/>
    <w:rsid w:val="60B63F3C"/>
    <w:rsid w:val="60C1EA8E"/>
    <w:rsid w:val="60CCC786"/>
    <w:rsid w:val="60ED533D"/>
    <w:rsid w:val="60F297CB"/>
    <w:rsid w:val="61069123"/>
    <w:rsid w:val="61102AB3"/>
    <w:rsid w:val="61264BAF"/>
    <w:rsid w:val="615D4E51"/>
    <w:rsid w:val="6160B5C2"/>
    <w:rsid w:val="61837A68"/>
    <w:rsid w:val="618E9A91"/>
    <w:rsid w:val="61BB55AC"/>
    <w:rsid w:val="61F8555E"/>
    <w:rsid w:val="61F95B6F"/>
    <w:rsid w:val="621E2F1C"/>
    <w:rsid w:val="622BC32F"/>
    <w:rsid w:val="623B7717"/>
    <w:rsid w:val="624179E6"/>
    <w:rsid w:val="6253DB36"/>
    <w:rsid w:val="62634B94"/>
    <w:rsid w:val="6267F2C3"/>
    <w:rsid w:val="6277078B"/>
    <w:rsid w:val="628BDE59"/>
    <w:rsid w:val="628C5630"/>
    <w:rsid w:val="6298B48F"/>
    <w:rsid w:val="62A66F61"/>
    <w:rsid w:val="62B05429"/>
    <w:rsid w:val="62BE92D0"/>
    <w:rsid w:val="62C8CEF5"/>
    <w:rsid w:val="62D56644"/>
    <w:rsid w:val="62DC93EB"/>
    <w:rsid w:val="62DD8146"/>
    <w:rsid w:val="631F4AC9"/>
    <w:rsid w:val="632011B9"/>
    <w:rsid w:val="63242C5C"/>
    <w:rsid w:val="63289B55"/>
    <w:rsid w:val="63379771"/>
    <w:rsid w:val="63399425"/>
    <w:rsid w:val="635F5363"/>
    <w:rsid w:val="636CC9B0"/>
    <w:rsid w:val="63736035"/>
    <w:rsid w:val="63873C0F"/>
    <w:rsid w:val="638CE7ED"/>
    <w:rsid w:val="638FDFEB"/>
    <w:rsid w:val="6398B946"/>
    <w:rsid w:val="63A19D4A"/>
    <w:rsid w:val="63B9FF93"/>
    <w:rsid w:val="63C66ACD"/>
    <w:rsid w:val="63CE6708"/>
    <w:rsid w:val="63D7B13A"/>
    <w:rsid w:val="63D97870"/>
    <w:rsid w:val="63DC7C06"/>
    <w:rsid w:val="63EE1F00"/>
    <w:rsid w:val="63F51B02"/>
    <w:rsid w:val="63F5DC5D"/>
    <w:rsid w:val="640739E2"/>
    <w:rsid w:val="640B5512"/>
    <w:rsid w:val="6411DECC"/>
    <w:rsid w:val="6414E5EE"/>
    <w:rsid w:val="643BC410"/>
    <w:rsid w:val="643D534F"/>
    <w:rsid w:val="645BB129"/>
    <w:rsid w:val="646DE1BE"/>
    <w:rsid w:val="647D9A13"/>
    <w:rsid w:val="647E8B28"/>
    <w:rsid w:val="649833D7"/>
    <w:rsid w:val="649BEBE6"/>
    <w:rsid w:val="64AFEEF6"/>
    <w:rsid w:val="64BC29A1"/>
    <w:rsid w:val="64BD42F9"/>
    <w:rsid w:val="64BF679F"/>
    <w:rsid w:val="64D0A7A6"/>
    <w:rsid w:val="64E5A7A1"/>
    <w:rsid w:val="64E63296"/>
    <w:rsid w:val="64E775A4"/>
    <w:rsid w:val="6503B274"/>
    <w:rsid w:val="6508093C"/>
    <w:rsid w:val="6511319C"/>
    <w:rsid w:val="651AD225"/>
    <w:rsid w:val="653BEE00"/>
    <w:rsid w:val="65493FA0"/>
    <w:rsid w:val="655001F3"/>
    <w:rsid w:val="6584ED5A"/>
    <w:rsid w:val="65890E49"/>
    <w:rsid w:val="65957A5C"/>
    <w:rsid w:val="65B89FA5"/>
    <w:rsid w:val="65BD54C0"/>
    <w:rsid w:val="65DFF114"/>
    <w:rsid w:val="65E2553E"/>
    <w:rsid w:val="6604DDCE"/>
    <w:rsid w:val="66216AF5"/>
    <w:rsid w:val="664CD4CE"/>
    <w:rsid w:val="6650AA0E"/>
    <w:rsid w:val="665B2920"/>
    <w:rsid w:val="665DA926"/>
    <w:rsid w:val="666F449E"/>
    <w:rsid w:val="6671638B"/>
    <w:rsid w:val="6686E1DB"/>
    <w:rsid w:val="668990E3"/>
    <w:rsid w:val="669E244D"/>
    <w:rsid w:val="66C1AB10"/>
    <w:rsid w:val="66CBC681"/>
    <w:rsid w:val="66CEE0E6"/>
    <w:rsid w:val="66D827B6"/>
    <w:rsid w:val="66F81C22"/>
    <w:rsid w:val="66FCEBD9"/>
    <w:rsid w:val="67053E7C"/>
    <w:rsid w:val="672357D7"/>
    <w:rsid w:val="672B7296"/>
    <w:rsid w:val="67334CE5"/>
    <w:rsid w:val="6761DD82"/>
    <w:rsid w:val="6782B615"/>
    <w:rsid w:val="67840BDE"/>
    <w:rsid w:val="67869CC7"/>
    <w:rsid w:val="678E6094"/>
    <w:rsid w:val="679263E2"/>
    <w:rsid w:val="67A81C61"/>
    <w:rsid w:val="67A85A50"/>
    <w:rsid w:val="67B695E1"/>
    <w:rsid w:val="67CC4E4C"/>
    <w:rsid w:val="67FDDC15"/>
    <w:rsid w:val="6819C9C7"/>
    <w:rsid w:val="6819E06A"/>
    <w:rsid w:val="681A21C4"/>
    <w:rsid w:val="682025D0"/>
    <w:rsid w:val="683BD2CF"/>
    <w:rsid w:val="68470DFF"/>
    <w:rsid w:val="684D49EF"/>
    <w:rsid w:val="6863E766"/>
    <w:rsid w:val="6885849C"/>
    <w:rsid w:val="689268E1"/>
    <w:rsid w:val="6892C76D"/>
    <w:rsid w:val="689BD447"/>
    <w:rsid w:val="68A1055E"/>
    <w:rsid w:val="68CD1B1E"/>
    <w:rsid w:val="68DCBFE9"/>
    <w:rsid w:val="68DDB5A4"/>
    <w:rsid w:val="68EEB5FD"/>
    <w:rsid w:val="69024718"/>
    <w:rsid w:val="690677AC"/>
    <w:rsid w:val="69337FC8"/>
    <w:rsid w:val="69339241"/>
    <w:rsid w:val="694B8873"/>
    <w:rsid w:val="694D26A2"/>
    <w:rsid w:val="69698418"/>
    <w:rsid w:val="698862D4"/>
    <w:rsid w:val="699A2F98"/>
    <w:rsid w:val="69A59585"/>
    <w:rsid w:val="69AC2835"/>
    <w:rsid w:val="69AF77C0"/>
    <w:rsid w:val="69B0EE8A"/>
    <w:rsid w:val="69CF84D2"/>
    <w:rsid w:val="69EDBCF8"/>
    <w:rsid w:val="69F53EE8"/>
    <w:rsid w:val="69FFC543"/>
    <w:rsid w:val="6A137FD1"/>
    <w:rsid w:val="6A260931"/>
    <w:rsid w:val="6A37A4A8"/>
    <w:rsid w:val="6A43E2AB"/>
    <w:rsid w:val="6A46FE29"/>
    <w:rsid w:val="6A472F42"/>
    <w:rsid w:val="6A4EAD06"/>
    <w:rsid w:val="6A5974A4"/>
    <w:rsid w:val="6A6A138C"/>
    <w:rsid w:val="6A6FFB8E"/>
    <w:rsid w:val="6A783883"/>
    <w:rsid w:val="6AC2FE59"/>
    <w:rsid w:val="6AE765A1"/>
    <w:rsid w:val="6B04CAD4"/>
    <w:rsid w:val="6B0B1A18"/>
    <w:rsid w:val="6B12116F"/>
    <w:rsid w:val="6B2A7354"/>
    <w:rsid w:val="6B2EC184"/>
    <w:rsid w:val="6B3FD417"/>
    <w:rsid w:val="6B48B32C"/>
    <w:rsid w:val="6B5B64F4"/>
    <w:rsid w:val="6B60CC54"/>
    <w:rsid w:val="6B996C8B"/>
    <w:rsid w:val="6BAC5EFA"/>
    <w:rsid w:val="6BAFDC05"/>
    <w:rsid w:val="6BB0E876"/>
    <w:rsid w:val="6BC435B6"/>
    <w:rsid w:val="6BC5E5B4"/>
    <w:rsid w:val="6BCD130C"/>
    <w:rsid w:val="6BDD338F"/>
    <w:rsid w:val="6C2807FE"/>
    <w:rsid w:val="6C3BA7B9"/>
    <w:rsid w:val="6C3C0158"/>
    <w:rsid w:val="6C666D39"/>
    <w:rsid w:val="6C6DCECF"/>
    <w:rsid w:val="6C812A90"/>
    <w:rsid w:val="6C8975C3"/>
    <w:rsid w:val="6C9AA68C"/>
    <w:rsid w:val="6C9C3054"/>
    <w:rsid w:val="6CB8C3F6"/>
    <w:rsid w:val="6CCA3508"/>
    <w:rsid w:val="6CD132F0"/>
    <w:rsid w:val="6CDA136C"/>
    <w:rsid w:val="6CEA2F80"/>
    <w:rsid w:val="6D112A92"/>
    <w:rsid w:val="6D131B21"/>
    <w:rsid w:val="6D17A850"/>
    <w:rsid w:val="6D29A5DA"/>
    <w:rsid w:val="6D37BB6E"/>
    <w:rsid w:val="6D52F41E"/>
    <w:rsid w:val="6D606C7A"/>
    <w:rsid w:val="6D670717"/>
    <w:rsid w:val="6D82366C"/>
    <w:rsid w:val="6D8E15E0"/>
    <w:rsid w:val="6DB55A20"/>
    <w:rsid w:val="6DC5A55B"/>
    <w:rsid w:val="6DD7781A"/>
    <w:rsid w:val="6DDC39C8"/>
    <w:rsid w:val="6DEEE5CC"/>
    <w:rsid w:val="6E0E056E"/>
    <w:rsid w:val="6E14F0C3"/>
    <w:rsid w:val="6E1612D5"/>
    <w:rsid w:val="6E23C489"/>
    <w:rsid w:val="6E295312"/>
    <w:rsid w:val="6E2F1085"/>
    <w:rsid w:val="6E3BE364"/>
    <w:rsid w:val="6E65095F"/>
    <w:rsid w:val="6E6AF18C"/>
    <w:rsid w:val="6E928D33"/>
    <w:rsid w:val="6E9EF9E3"/>
    <w:rsid w:val="6EAB4727"/>
    <w:rsid w:val="6ED3E4C9"/>
    <w:rsid w:val="6F06CF10"/>
    <w:rsid w:val="6F0B97D2"/>
    <w:rsid w:val="6F0D594A"/>
    <w:rsid w:val="6F176700"/>
    <w:rsid w:val="6F189A51"/>
    <w:rsid w:val="6F1B3244"/>
    <w:rsid w:val="6F242F9D"/>
    <w:rsid w:val="6F4A5B95"/>
    <w:rsid w:val="6F7231BB"/>
    <w:rsid w:val="6F762747"/>
    <w:rsid w:val="6F8998EF"/>
    <w:rsid w:val="6F90A7AC"/>
    <w:rsid w:val="6F9A43D8"/>
    <w:rsid w:val="6FB0FB6D"/>
    <w:rsid w:val="6FC5E2DC"/>
    <w:rsid w:val="6FD8727E"/>
    <w:rsid w:val="6FD93DB7"/>
    <w:rsid w:val="6FF4D654"/>
    <w:rsid w:val="70041032"/>
    <w:rsid w:val="7008B6DE"/>
    <w:rsid w:val="70099DC2"/>
    <w:rsid w:val="702E0D79"/>
    <w:rsid w:val="704ABBE3"/>
    <w:rsid w:val="705332F0"/>
    <w:rsid w:val="705DB810"/>
    <w:rsid w:val="706C513C"/>
    <w:rsid w:val="706EE15E"/>
    <w:rsid w:val="70720F0D"/>
    <w:rsid w:val="7076F699"/>
    <w:rsid w:val="709195E3"/>
    <w:rsid w:val="709F8216"/>
    <w:rsid w:val="70A1617E"/>
    <w:rsid w:val="70A636A0"/>
    <w:rsid w:val="70B500C2"/>
    <w:rsid w:val="70CF61AC"/>
    <w:rsid w:val="70D2CB16"/>
    <w:rsid w:val="70D73977"/>
    <w:rsid w:val="70F224E3"/>
    <w:rsid w:val="70FACAA4"/>
    <w:rsid w:val="7121169B"/>
    <w:rsid w:val="71302DC4"/>
    <w:rsid w:val="7133BA35"/>
    <w:rsid w:val="7133DA5C"/>
    <w:rsid w:val="713E7A5D"/>
    <w:rsid w:val="7145C3BD"/>
    <w:rsid w:val="71463512"/>
    <w:rsid w:val="714B3603"/>
    <w:rsid w:val="7152E0DB"/>
    <w:rsid w:val="71626E75"/>
    <w:rsid w:val="7162C9BA"/>
    <w:rsid w:val="7163880B"/>
    <w:rsid w:val="716FB2A6"/>
    <w:rsid w:val="71A2D812"/>
    <w:rsid w:val="71ACBD3C"/>
    <w:rsid w:val="71B00EA0"/>
    <w:rsid w:val="71C12DF3"/>
    <w:rsid w:val="71CA0802"/>
    <w:rsid w:val="71CBD14B"/>
    <w:rsid w:val="71EED099"/>
    <w:rsid w:val="71EF0351"/>
    <w:rsid w:val="71F80980"/>
    <w:rsid w:val="720D4481"/>
    <w:rsid w:val="7226DE70"/>
    <w:rsid w:val="7233DD9D"/>
    <w:rsid w:val="7238A42F"/>
    <w:rsid w:val="72683D7E"/>
    <w:rsid w:val="727309D8"/>
    <w:rsid w:val="727EC8D9"/>
    <w:rsid w:val="72872180"/>
    <w:rsid w:val="7292B48E"/>
    <w:rsid w:val="72BB2532"/>
    <w:rsid w:val="72BC704B"/>
    <w:rsid w:val="72BC712D"/>
    <w:rsid w:val="72BCD651"/>
    <w:rsid w:val="72C27BA5"/>
    <w:rsid w:val="72DD43E6"/>
    <w:rsid w:val="72EDBBE9"/>
    <w:rsid w:val="72FA3E67"/>
    <w:rsid w:val="730C3E98"/>
    <w:rsid w:val="731836FC"/>
    <w:rsid w:val="734805D5"/>
    <w:rsid w:val="735D54E6"/>
    <w:rsid w:val="738F61F4"/>
    <w:rsid w:val="739F8EDA"/>
    <w:rsid w:val="73E03739"/>
    <w:rsid w:val="74004865"/>
    <w:rsid w:val="7425096A"/>
    <w:rsid w:val="743EBE02"/>
    <w:rsid w:val="74692A76"/>
    <w:rsid w:val="748F47F5"/>
    <w:rsid w:val="74BC542C"/>
    <w:rsid w:val="74D636A3"/>
    <w:rsid w:val="74D63C62"/>
    <w:rsid w:val="74E7ADF7"/>
    <w:rsid w:val="7500BCF4"/>
    <w:rsid w:val="7517800E"/>
    <w:rsid w:val="751DAFEF"/>
    <w:rsid w:val="7526AD9F"/>
    <w:rsid w:val="7533EFD4"/>
    <w:rsid w:val="7535124D"/>
    <w:rsid w:val="757951D1"/>
    <w:rsid w:val="758848B9"/>
    <w:rsid w:val="75C9BB41"/>
    <w:rsid w:val="75CC39E4"/>
    <w:rsid w:val="75DF5D64"/>
    <w:rsid w:val="76012D96"/>
    <w:rsid w:val="760EC3B1"/>
    <w:rsid w:val="761B7953"/>
    <w:rsid w:val="762186B2"/>
    <w:rsid w:val="7622978E"/>
    <w:rsid w:val="762A40DF"/>
    <w:rsid w:val="765DE75D"/>
    <w:rsid w:val="765E81AF"/>
    <w:rsid w:val="766C5F78"/>
    <w:rsid w:val="767FBC88"/>
    <w:rsid w:val="76B2EA9D"/>
    <w:rsid w:val="76CC8FBE"/>
    <w:rsid w:val="76CD72DD"/>
    <w:rsid w:val="76CE8547"/>
    <w:rsid w:val="76EC545F"/>
    <w:rsid w:val="76FB4D2A"/>
    <w:rsid w:val="7700E9CD"/>
    <w:rsid w:val="77011272"/>
    <w:rsid w:val="77060737"/>
    <w:rsid w:val="77072B2F"/>
    <w:rsid w:val="774375E2"/>
    <w:rsid w:val="7753692F"/>
    <w:rsid w:val="775C5543"/>
    <w:rsid w:val="77665400"/>
    <w:rsid w:val="776BF271"/>
    <w:rsid w:val="7773AF06"/>
    <w:rsid w:val="7779108A"/>
    <w:rsid w:val="778646EB"/>
    <w:rsid w:val="779F591D"/>
    <w:rsid w:val="77B49423"/>
    <w:rsid w:val="77C699BA"/>
    <w:rsid w:val="77DE7CBB"/>
    <w:rsid w:val="77E0D847"/>
    <w:rsid w:val="77E0FEBE"/>
    <w:rsid w:val="783D27B6"/>
    <w:rsid w:val="784D313F"/>
    <w:rsid w:val="784E3E47"/>
    <w:rsid w:val="784F7C29"/>
    <w:rsid w:val="7855B3D4"/>
    <w:rsid w:val="786E51B7"/>
    <w:rsid w:val="7875061C"/>
    <w:rsid w:val="78752FA8"/>
    <w:rsid w:val="78A05C9A"/>
    <w:rsid w:val="78AEC159"/>
    <w:rsid w:val="78CC59DD"/>
    <w:rsid w:val="78D256F5"/>
    <w:rsid w:val="78DB632D"/>
    <w:rsid w:val="78EC2590"/>
    <w:rsid w:val="78F3AB2C"/>
    <w:rsid w:val="78FEEB25"/>
    <w:rsid w:val="7962B918"/>
    <w:rsid w:val="7964EC64"/>
    <w:rsid w:val="798F131F"/>
    <w:rsid w:val="79A4907E"/>
    <w:rsid w:val="79B36E0D"/>
    <w:rsid w:val="79B9E0F8"/>
    <w:rsid w:val="79C73995"/>
    <w:rsid w:val="79D19865"/>
    <w:rsid w:val="7A0327C5"/>
    <w:rsid w:val="7A1DC9A7"/>
    <w:rsid w:val="7A1F4AEE"/>
    <w:rsid w:val="7A24E997"/>
    <w:rsid w:val="7A3AD5D4"/>
    <w:rsid w:val="7A3F8AF3"/>
    <w:rsid w:val="7A431E41"/>
    <w:rsid w:val="7A9CA482"/>
    <w:rsid w:val="7ABDE7AD"/>
    <w:rsid w:val="7AC6C48C"/>
    <w:rsid w:val="7AC8468F"/>
    <w:rsid w:val="7AF8B92A"/>
    <w:rsid w:val="7B22383F"/>
    <w:rsid w:val="7B454648"/>
    <w:rsid w:val="7B55DC41"/>
    <w:rsid w:val="7B74C878"/>
    <w:rsid w:val="7B8DBA37"/>
    <w:rsid w:val="7B8DE5E3"/>
    <w:rsid w:val="7B955C10"/>
    <w:rsid w:val="7BA3821E"/>
    <w:rsid w:val="7BC8CC61"/>
    <w:rsid w:val="7C024789"/>
    <w:rsid w:val="7C26B86E"/>
    <w:rsid w:val="7C589E26"/>
    <w:rsid w:val="7C8611C8"/>
    <w:rsid w:val="7C8975D2"/>
    <w:rsid w:val="7C8ABAD7"/>
    <w:rsid w:val="7C8BA421"/>
    <w:rsid w:val="7C911C31"/>
    <w:rsid w:val="7C91BD51"/>
    <w:rsid w:val="7CC00EE6"/>
    <w:rsid w:val="7CC98EC5"/>
    <w:rsid w:val="7CEC4A42"/>
    <w:rsid w:val="7CF7707C"/>
    <w:rsid w:val="7D04C4BC"/>
    <w:rsid w:val="7D322B1B"/>
    <w:rsid w:val="7D3FD319"/>
    <w:rsid w:val="7D4FA036"/>
    <w:rsid w:val="7D591955"/>
    <w:rsid w:val="7D5E494F"/>
    <w:rsid w:val="7D727696"/>
    <w:rsid w:val="7D7F3771"/>
    <w:rsid w:val="7D856C74"/>
    <w:rsid w:val="7D993F54"/>
    <w:rsid w:val="7DA98CAD"/>
    <w:rsid w:val="7DC47538"/>
    <w:rsid w:val="7DD09D56"/>
    <w:rsid w:val="7DDDDA03"/>
    <w:rsid w:val="7E13DEBA"/>
    <w:rsid w:val="7E5881F1"/>
    <w:rsid w:val="7E6471E8"/>
    <w:rsid w:val="7E6854C1"/>
    <w:rsid w:val="7E8D7D03"/>
    <w:rsid w:val="7EBE8985"/>
    <w:rsid w:val="7ED56427"/>
    <w:rsid w:val="7EDF24B7"/>
    <w:rsid w:val="7EEE96CB"/>
    <w:rsid w:val="7F07841D"/>
    <w:rsid w:val="7F0B4133"/>
    <w:rsid w:val="7F271335"/>
    <w:rsid w:val="7F97A99D"/>
    <w:rsid w:val="7FA8E0A0"/>
    <w:rsid w:val="7FB1D333"/>
    <w:rsid w:val="7FCB3E05"/>
    <w:rsid w:val="7FDB8138"/>
    <w:rsid w:val="7FDC8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667596"/>
  <w15:chartTrackingRefBased/>
  <w15:docId w15:val="{293124A3-08ED-43A6-AC85-1E55E2C0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F09"/>
    <w:pPr>
      <w:spacing w:after="200" w:line="276" w:lineRule="auto"/>
    </w:pPr>
    <w:rPr>
      <w:rFonts w:ascii="Times New Roman" w:eastAsiaTheme="minorHAnsi" w:hAnsi="Times New Roman" w:cs="Times New Roman"/>
      <w:sz w:val="24"/>
      <w:szCs w:val="28"/>
      <w:lang w:eastAsia="en-US"/>
    </w:rPr>
  </w:style>
  <w:style w:type="paragraph" w:styleId="Heading1">
    <w:name w:val="heading 1"/>
    <w:basedOn w:val="Normal"/>
    <w:next w:val="Normal"/>
    <w:link w:val="Heading1Char"/>
    <w:uiPriority w:val="9"/>
    <w:qFormat/>
    <w:rsid w:val="00200CA1"/>
    <w:pPr>
      <w:keepNext/>
      <w:keepLines/>
      <w:numPr>
        <w:numId w:val="2"/>
      </w:numPr>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C48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CA1"/>
    <w:rPr>
      <w:rFonts w:ascii="Times New Roman" w:eastAsiaTheme="majorEastAsia" w:hAnsi="Times New Roman" w:cstheme="majorBidi"/>
      <w:b/>
      <w:sz w:val="24"/>
      <w:szCs w:val="32"/>
      <w:lang w:eastAsia="en-US"/>
    </w:rPr>
  </w:style>
  <w:style w:type="table" w:styleId="TableGrid">
    <w:name w:val="Table Grid"/>
    <w:basedOn w:val="TableNormal"/>
    <w:uiPriority w:val="39"/>
    <w:rsid w:val="00200CA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A151D"/>
    <w:pPr>
      <w:spacing w:after="120" w:line="240" w:lineRule="auto"/>
      <w:jc w:val="both"/>
    </w:pPr>
    <w:rPr>
      <w:rFonts w:eastAsia="SimSun"/>
    </w:rPr>
  </w:style>
  <w:style w:type="character" w:customStyle="1" w:styleId="BodyTextChar">
    <w:name w:val="Body Text Char"/>
    <w:basedOn w:val="DefaultParagraphFont"/>
    <w:link w:val="BodyText"/>
    <w:uiPriority w:val="99"/>
    <w:rsid w:val="003A151D"/>
    <w:rPr>
      <w:rFonts w:ascii="Times New Roman" w:eastAsia="SimSun" w:hAnsi="Times New Roman"/>
      <w:sz w:val="24"/>
      <w:lang w:eastAsia="en-US"/>
    </w:rPr>
  </w:style>
  <w:style w:type="character" w:customStyle="1" w:styleId="MemoBody">
    <w:name w:val="Memo Body"/>
    <w:rsid w:val="003A151D"/>
    <w:rPr>
      <w:rFonts w:ascii="Times New Roman" w:hAnsi="Times New Roman"/>
      <w:sz w:val="24"/>
    </w:rPr>
  </w:style>
  <w:style w:type="character" w:customStyle="1" w:styleId="Heading2Char">
    <w:name w:val="Heading 2 Char"/>
    <w:basedOn w:val="DefaultParagraphFont"/>
    <w:link w:val="Heading2"/>
    <w:uiPriority w:val="9"/>
    <w:rsid w:val="00EC487A"/>
    <w:rPr>
      <w:rFonts w:asciiTheme="majorHAnsi" w:eastAsiaTheme="majorEastAsia" w:hAnsiTheme="majorHAnsi" w:cstheme="majorBidi"/>
      <w:color w:val="2F5496" w:themeColor="accent1" w:themeShade="BF"/>
      <w:sz w:val="26"/>
      <w:szCs w:val="26"/>
      <w:lang w:eastAsia="en-US"/>
    </w:rPr>
  </w:style>
  <w:style w:type="character" w:styleId="PlaceholderText">
    <w:name w:val="Placeholder Text"/>
    <w:basedOn w:val="DefaultParagraphFont"/>
    <w:uiPriority w:val="99"/>
    <w:semiHidden/>
    <w:rsid w:val="00B747D5"/>
    <w:rPr>
      <w:color w:val="808080"/>
    </w:rPr>
  </w:style>
  <w:style w:type="paragraph" w:styleId="BalloonText">
    <w:name w:val="Balloon Text"/>
    <w:basedOn w:val="Normal"/>
    <w:link w:val="BalloonTextChar"/>
    <w:uiPriority w:val="99"/>
    <w:semiHidden/>
    <w:unhideWhenUsed/>
    <w:rsid w:val="00783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1F4"/>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D76B1A"/>
    <w:rPr>
      <w:sz w:val="16"/>
      <w:szCs w:val="16"/>
    </w:rPr>
  </w:style>
  <w:style w:type="paragraph" w:styleId="CommentText">
    <w:name w:val="annotation text"/>
    <w:basedOn w:val="Normal"/>
    <w:link w:val="CommentTextChar"/>
    <w:uiPriority w:val="99"/>
    <w:unhideWhenUsed/>
    <w:rsid w:val="00D76B1A"/>
    <w:pPr>
      <w:spacing w:line="240" w:lineRule="auto"/>
    </w:pPr>
    <w:rPr>
      <w:sz w:val="20"/>
      <w:szCs w:val="20"/>
    </w:rPr>
  </w:style>
  <w:style w:type="character" w:customStyle="1" w:styleId="CommentTextChar">
    <w:name w:val="Comment Text Char"/>
    <w:basedOn w:val="DefaultParagraphFont"/>
    <w:link w:val="CommentText"/>
    <w:uiPriority w:val="99"/>
    <w:rsid w:val="00D76B1A"/>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76B1A"/>
    <w:rPr>
      <w:b/>
      <w:bCs/>
    </w:rPr>
  </w:style>
  <w:style w:type="character" w:customStyle="1" w:styleId="CommentSubjectChar">
    <w:name w:val="Comment Subject Char"/>
    <w:basedOn w:val="CommentTextChar"/>
    <w:link w:val="CommentSubject"/>
    <w:uiPriority w:val="99"/>
    <w:semiHidden/>
    <w:rsid w:val="00D76B1A"/>
    <w:rPr>
      <w:rFonts w:eastAsiaTheme="minorHAnsi"/>
      <w:b/>
      <w:bCs/>
      <w:sz w:val="20"/>
      <w:szCs w:val="20"/>
      <w:lang w:eastAsia="en-US"/>
    </w:rPr>
  </w:style>
  <w:style w:type="paragraph" w:styleId="ListParagraph">
    <w:name w:val="List Paragraph"/>
    <w:basedOn w:val="Normal"/>
    <w:uiPriority w:val="34"/>
    <w:qFormat/>
    <w:rsid w:val="008D61A7"/>
    <w:pPr>
      <w:ind w:left="720"/>
      <w:contextualSpacing/>
    </w:pPr>
  </w:style>
  <w:style w:type="paragraph" w:styleId="Revision">
    <w:name w:val="Revision"/>
    <w:hidden/>
    <w:uiPriority w:val="99"/>
    <w:semiHidden/>
    <w:rsid w:val="000F4516"/>
    <w:pPr>
      <w:spacing w:after="0" w:line="240" w:lineRule="auto"/>
    </w:pPr>
    <w:rPr>
      <w:rFonts w:ascii="Times New Roman" w:eastAsiaTheme="minorHAnsi" w:hAnsi="Times New Roman" w:cs="Times New Roman"/>
      <w:sz w:val="24"/>
      <w:szCs w:val="28"/>
      <w:lang w:eastAsia="en-US"/>
    </w:rPr>
  </w:style>
  <w:style w:type="table" w:customStyle="1" w:styleId="TableGrid1">
    <w:name w:val="Table Grid1"/>
    <w:basedOn w:val="TableNormal"/>
    <w:next w:val="TableGrid"/>
    <w:uiPriority w:val="59"/>
    <w:rsid w:val="00AA673A"/>
    <w:pPr>
      <w:widowControl w:val="0"/>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7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BDE"/>
    <w:rPr>
      <w:rFonts w:ascii="Times New Roman" w:eastAsiaTheme="minorHAnsi" w:hAnsi="Times New Roman" w:cs="Times New Roman"/>
      <w:sz w:val="24"/>
      <w:szCs w:val="28"/>
      <w:lang w:eastAsia="en-US"/>
    </w:rPr>
  </w:style>
  <w:style w:type="paragraph" w:styleId="Footer">
    <w:name w:val="footer"/>
    <w:basedOn w:val="Normal"/>
    <w:link w:val="FooterChar"/>
    <w:uiPriority w:val="99"/>
    <w:unhideWhenUsed/>
    <w:rsid w:val="00857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BDE"/>
    <w:rPr>
      <w:rFonts w:ascii="Times New Roman" w:eastAsiaTheme="minorHAnsi" w:hAnsi="Times New Roman" w:cs="Times New Roman"/>
      <w:sz w:val="24"/>
      <w:szCs w:val="28"/>
      <w:lang w:eastAsia="en-US"/>
    </w:rPr>
  </w:style>
  <w:style w:type="table" w:styleId="PlainTable1">
    <w:name w:val="Plain Table 1"/>
    <w:basedOn w:val="TableNormal"/>
    <w:uiPriority w:val="41"/>
    <w:rsid w:val="006A2F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291947"/>
    <w:pPr>
      <w:numPr>
        <w:numId w:val="0"/>
      </w:numPr>
      <w:spacing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1235D1"/>
    <w:pPr>
      <w:tabs>
        <w:tab w:val="left" w:pos="0"/>
        <w:tab w:val="right" w:leader="dot" w:pos="9360"/>
      </w:tabs>
      <w:spacing w:after="0"/>
      <w:ind w:left="720" w:hanging="720"/>
      <w:jc w:val="center"/>
    </w:pPr>
  </w:style>
  <w:style w:type="character" w:styleId="Hyperlink">
    <w:name w:val="Hyperlink"/>
    <w:basedOn w:val="DefaultParagraphFont"/>
    <w:uiPriority w:val="99"/>
    <w:unhideWhenUsed/>
    <w:rsid w:val="00291947"/>
    <w:rPr>
      <w:color w:val="0563C1" w:themeColor="hyperlink"/>
      <w:u w:val="single"/>
    </w:rPr>
  </w:style>
  <w:style w:type="paragraph" w:customStyle="1" w:styleId="Heading0">
    <w:name w:val="Heading 0"/>
    <w:basedOn w:val="Heading1"/>
    <w:qFormat/>
    <w:rsid w:val="00291947"/>
    <w:pPr>
      <w:keepLines w:val="0"/>
      <w:numPr>
        <w:numId w:val="0"/>
      </w:numPr>
      <w:spacing w:after="240" w:line="240" w:lineRule="auto"/>
      <w:jc w:val="center"/>
    </w:pPr>
    <w:rPr>
      <w:rFonts w:eastAsia="Times New Roman" w:cs="Arial"/>
      <w:bCs/>
      <w:caps/>
      <w:kern w:val="32"/>
      <w:szCs w:val="20"/>
    </w:rPr>
  </w:style>
  <w:style w:type="paragraph" w:styleId="TOC2">
    <w:name w:val="toc 2"/>
    <w:basedOn w:val="Normal"/>
    <w:next w:val="Normal"/>
    <w:autoRedefine/>
    <w:uiPriority w:val="39"/>
    <w:unhideWhenUsed/>
    <w:rsid w:val="00DE653D"/>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DE653D"/>
    <w:pPr>
      <w:spacing w:after="100" w:line="259" w:lineRule="auto"/>
      <w:ind w:left="440"/>
    </w:pPr>
    <w:rPr>
      <w:rFonts w:asciiTheme="minorHAnsi" w:eastAsiaTheme="minorEastAsia" w:hAnsiTheme="minorHAnsi"/>
      <w:sz w:val="22"/>
      <w:szCs w:val="22"/>
    </w:rPr>
  </w:style>
  <w:style w:type="paragraph" w:customStyle="1" w:styleId="paragraph">
    <w:name w:val="paragraph"/>
    <w:basedOn w:val="Normal"/>
    <w:rsid w:val="008A4791"/>
    <w:pPr>
      <w:spacing w:before="100" w:beforeAutospacing="1" w:after="100" w:afterAutospacing="1" w:line="240" w:lineRule="auto"/>
    </w:pPr>
    <w:rPr>
      <w:rFonts w:eastAsia="Times New Roman"/>
      <w:szCs w:val="24"/>
    </w:rPr>
  </w:style>
  <w:style w:type="character" w:customStyle="1" w:styleId="normaltextrun">
    <w:name w:val="normaltextrun"/>
    <w:basedOn w:val="DefaultParagraphFont"/>
    <w:rsid w:val="008A4791"/>
  </w:style>
  <w:style w:type="character" w:customStyle="1" w:styleId="spellingerror">
    <w:name w:val="spellingerror"/>
    <w:basedOn w:val="DefaultParagraphFont"/>
    <w:rsid w:val="008A4791"/>
  </w:style>
  <w:style w:type="character" w:customStyle="1" w:styleId="eop">
    <w:name w:val="eop"/>
    <w:basedOn w:val="DefaultParagraphFont"/>
    <w:rsid w:val="008A4791"/>
  </w:style>
  <w:style w:type="paragraph" w:customStyle="1" w:styleId="BRCTABLE">
    <w:name w:val="BRC TABLE"/>
    <w:basedOn w:val="Normal"/>
    <w:qFormat/>
    <w:rsid w:val="002C2863"/>
    <w:pPr>
      <w:tabs>
        <w:tab w:val="left" w:pos="900"/>
      </w:tabs>
      <w:spacing w:after="0" w:line="240" w:lineRule="auto"/>
      <w:jc w:val="both"/>
    </w:pPr>
    <w:rPr>
      <w:rFonts w:eastAsia="Times New Roman"/>
      <w:b/>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797CDA"/>
    <w:rPr>
      <w:color w:val="605E5C"/>
      <w:shd w:val="clear" w:color="auto" w:fill="E1DFDD"/>
    </w:rPr>
  </w:style>
  <w:style w:type="paragraph" w:customStyle="1" w:styleId="TableParagraph">
    <w:name w:val="Table Paragraph"/>
    <w:basedOn w:val="Normal"/>
    <w:uiPriority w:val="1"/>
    <w:qFormat/>
    <w:rsid w:val="007E6D22"/>
    <w:pPr>
      <w:widowControl w:val="0"/>
      <w:autoSpaceDE w:val="0"/>
      <w:autoSpaceDN w:val="0"/>
      <w:spacing w:after="0" w:line="240" w:lineRule="auto"/>
    </w:pPr>
    <w:rPr>
      <w:rFonts w:eastAsia="Times New Roman"/>
      <w:sz w:val="22"/>
      <w:szCs w:val="22"/>
      <w:lang w:bidi="en-US"/>
    </w:rPr>
  </w:style>
  <w:style w:type="character" w:styleId="FollowedHyperlink">
    <w:name w:val="FollowedHyperlink"/>
    <w:basedOn w:val="DefaultParagraphFont"/>
    <w:uiPriority w:val="99"/>
    <w:semiHidden/>
    <w:unhideWhenUsed/>
    <w:rsid w:val="000E46C7"/>
    <w:rPr>
      <w:color w:val="954F72" w:themeColor="followedHyperlink"/>
      <w:u w:val="single"/>
    </w:rPr>
  </w:style>
  <w:style w:type="character" w:customStyle="1" w:styleId="UnresolvedMention2">
    <w:name w:val="Unresolved Mention2"/>
    <w:basedOn w:val="DefaultParagraphFont"/>
    <w:uiPriority w:val="99"/>
    <w:semiHidden/>
    <w:unhideWhenUsed/>
    <w:rsid w:val="000E4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40462">
      <w:bodyDiv w:val="1"/>
      <w:marLeft w:val="0"/>
      <w:marRight w:val="0"/>
      <w:marTop w:val="0"/>
      <w:marBottom w:val="0"/>
      <w:divBdr>
        <w:top w:val="none" w:sz="0" w:space="0" w:color="auto"/>
        <w:left w:val="none" w:sz="0" w:space="0" w:color="auto"/>
        <w:bottom w:val="none" w:sz="0" w:space="0" w:color="auto"/>
        <w:right w:val="none" w:sz="0" w:space="0" w:color="auto"/>
      </w:divBdr>
    </w:div>
    <w:div w:id="376123306">
      <w:bodyDiv w:val="1"/>
      <w:marLeft w:val="0"/>
      <w:marRight w:val="0"/>
      <w:marTop w:val="0"/>
      <w:marBottom w:val="0"/>
      <w:divBdr>
        <w:top w:val="none" w:sz="0" w:space="0" w:color="auto"/>
        <w:left w:val="none" w:sz="0" w:space="0" w:color="auto"/>
        <w:bottom w:val="none" w:sz="0" w:space="0" w:color="auto"/>
        <w:right w:val="none" w:sz="0" w:space="0" w:color="auto"/>
      </w:divBdr>
      <w:divsChild>
        <w:div w:id="93330409">
          <w:marLeft w:val="0"/>
          <w:marRight w:val="0"/>
          <w:marTop w:val="0"/>
          <w:marBottom w:val="0"/>
          <w:divBdr>
            <w:top w:val="none" w:sz="0" w:space="0" w:color="auto"/>
            <w:left w:val="none" w:sz="0" w:space="0" w:color="auto"/>
            <w:bottom w:val="none" w:sz="0" w:space="0" w:color="auto"/>
            <w:right w:val="none" w:sz="0" w:space="0" w:color="auto"/>
          </w:divBdr>
        </w:div>
        <w:div w:id="1120610818">
          <w:marLeft w:val="0"/>
          <w:marRight w:val="0"/>
          <w:marTop w:val="0"/>
          <w:marBottom w:val="0"/>
          <w:divBdr>
            <w:top w:val="none" w:sz="0" w:space="0" w:color="auto"/>
            <w:left w:val="none" w:sz="0" w:space="0" w:color="auto"/>
            <w:bottom w:val="none" w:sz="0" w:space="0" w:color="auto"/>
            <w:right w:val="none" w:sz="0" w:space="0" w:color="auto"/>
          </w:divBdr>
        </w:div>
      </w:divsChild>
    </w:div>
    <w:div w:id="416437987">
      <w:bodyDiv w:val="1"/>
      <w:marLeft w:val="0"/>
      <w:marRight w:val="0"/>
      <w:marTop w:val="0"/>
      <w:marBottom w:val="0"/>
      <w:divBdr>
        <w:top w:val="none" w:sz="0" w:space="0" w:color="auto"/>
        <w:left w:val="none" w:sz="0" w:space="0" w:color="auto"/>
        <w:bottom w:val="none" w:sz="0" w:space="0" w:color="auto"/>
        <w:right w:val="none" w:sz="0" w:space="0" w:color="auto"/>
      </w:divBdr>
    </w:div>
    <w:div w:id="1073090079">
      <w:bodyDiv w:val="1"/>
      <w:marLeft w:val="0"/>
      <w:marRight w:val="0"/>
      <w:marTop w:val="0"/>
      <w:marBottom w:val="0"/>
      <w:divBdr>
        <w:top w:val="none" w:sz="0" w:space="0" w:color="auto"/>
        <w:left w:val="none" w:sz="0" w:space="0" w:color="auto"/>
        <w:bottom w:val="none" w:sz="0" w:space="0" w:color="auto"/>
        <w:right w:val="none" w:sz="0" w:space="0" w:color="auto"/>
      </w:divBdr>
    </w:div>
    <w:div w:id="1530795212">
      <w:bodyDiv w:val="1"/>
      <w:marLeft w:val="0"/>
      <w:marRight w:val="0"/>
      <w:marTop w:val="0"/>
      <w:marBottom w:val="0"/>
      <w:divBdr>
        <w:top w:val="none" w:sz="0" w:space="0" w:color="auto"/>
        <w:left w:val="none" w:sz="0" w:space="0" w:color="auto"/>
        <w:bottom w:val="none" w:sz="0" w:space="0" w:color="auto"/>
        <w:right w:val="none" w:sz="0" w:space="0" w:color="auto"/>
      </w:divBdr>
    </w:div>
    <w:div w:id="1877310961">
      <w:bodyDiv w:val="1"/>
      <w:marLeft w:val="0"/>
      <w:marRight w:val="0"/>
      <w:marTop w:val="0"/>
      <w:marBottom w:val="0"/>
      <w:divBdr>
        <w:top w:val="none" w:sz="0" w:space="0" w:color="auto"/>
        <w:left w:val="none" w:sz="0" w:space="0" w:color="auto"/>
        <w:bottom w:val="none" w:sz="0" w:space="0" w:color="auto"/>
        <w:right w:val="none" w:sz="0" w:space="0" w:color="auto"/>
      </w:divBdr>
    </w:div>
    <w:div w:id="210337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38/s41586-020-2607-z%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da.gov/Drugs/GuidanceComplianceRegulatoryInformation/Guidances/defaul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searchgate.net/publication/34373760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38/s41586-020-23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9" ma:contentTypeDescription="Create a new document." ma:contentTypeScope="" ma:versionID="f2ace1e3562d913e27ab6c475947f53e">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11317a2fb3a574251f1d06045244c46"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0F9C0-B15E-431C-BFDC-79FDED621671}">
  <ds:schemaRefs>
    <ds:schemaRef ds:uri="http://schemas.openxmlformats.org/officeDocument/2006/bibliography"/>
  </ds:schemaRefs>
</ds:datastoreItem>
</file>

<file path=customXml/itemProps2.xml><?xml version="1.0" encoding="utf-8"?>
<ds:datastoreItem xmlns:ds="http://schemas.openxmlformats.org/officeDocument/2006/customXml" ds:itemID="{172B209A-E1FE-4B2F-BBBE-14595CC3CE13}">
  <ds:schemaRefs>
    <ds:schemaRef ds:uri="http://schemas.microsoft.com/sharepoint/v3/contenttype/forms"/>
  </ds:schemaRefs>
</ds:datastoreItem>
</file>

<file path=customXml/itemProps3.xml><?xml version="1.0" encoding="utf-8"?>
<ds:datastoreItem xmlns:ds="http://schemas.openxmlformats.org/officeDocument/2006/customXml" ds:itemID="{91F05990-61F0-491C-B9A5-3AD367DEC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82385-FFF8-4217-A4BD-020C0B13C8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9722</Words>
  <Characters>55422</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Luan</dc:creator>
  <cp:keywords/>
  <dc:description/>
  <cp:lastModifiedBy>Fay, Michael (NIH/NIAID) [E]</cp:lastModifiedBy>
  <cp:revision>2</cp:revision>
  <cp:lastPrinted>2019-11-20T18:08:00Z</cp:lastPrinted>
  <dcterms:created xsi:type="dcterms:W3CDTF">2023-07-11T13:27:00Z</dcterms:created>
  <dcterms:modified xsi:type="dcterms:W3CDTF">2023-07-11T13:27:00Z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SIP_Label_7b94a7b8-f06c-4dfe-bdcc-9b548fd58c31_Enabled">
    <vt:lpwstr>true</vt:lpwstr>
  </property>
  <property fmtid="{D5CDD505-2E9C-101B-9397-08002B2CF9AE}" pid="4" name="MSIP_Label_7b94a7b8-f06c-4dfe-bdcc-9b548fd58c31_SetDate">
    <vt:lpwstr>2021-01-22T19:32:07Z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2e4d6b9f-09ee-49db-9e17-34181d5782e3</vt:lpwstr>
  </property>
  <property fmtid="{D5CDD505-2E9C-101B-9397-08002B2CF9AE}" pid="9" name="MSIP_Label_7b94a7b8-f06c-4dfe-bdcc-9b548fd58c31_ContentBits">
    <vt:lpwstr>0</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 11th edition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http://www.zotero.org/styles/apa</vt:lpwstr>
  </property>
  <property fmtid="{D5CDD505-2E9C-101B-9397-08002B2CF9AE}" pid="15" name="Mendeley Recent Style Name 2_1">
    <vt:lpwstr>American Psychological Association 7th edition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 6th edition</vt:lpwstr>
  </property>
  <property fmtid="{D5CDD505-2E9C-101B-9397-08002B2CF9AE}" pid="18" name="Mendeley Recent Style Id 4_1">
    <vt:lpwstr>http://www.zotero.org/styles/chicago-author-date</vt:lpwstr>
  </property>
  <property fmtid="{D5CDD505-2E9C-101B-9397-08002B2CF9AE}" pid="19" name="Mendeley Recent Style Name 4_1">
    <vt:lpwstr>Chicago Manual of Style 17th edition (author-date)</vt:lpwstr>
  </property>
  <property fmtid="{D5CDD505-2E9C-101B-9397-08002B2CF9AE}" pid="20" name="Mendeley Recent Style Id 5_1">
    <vt:lpwstr>http://www.zotero.org/styles/harvard-cite-them-right</vt:lpwstr>
  </property>
  <property fmtid="{D5CDD505-2E9C-101B-9397-08002B2CF9AE}" pid="21" name="Mendeley Recent Style Name 5_1">
    <vt:lpwstr>Cite Them Right 10th edition - Harvard</vt:lpwstr>
  </property>
  <property fmtid="{D5CDD505-2E9C-101B-9397-08002B2CF9AE}" pid="22" name="Mendeley Recent Style Id 6_1">
    <vt:lpwstr>http://www.zotero.org/styles/ieee</vt:lpwstr>
  </property>
  <property fmtid="{D5CDD505-2E9C-101B-9397-08002B2CF9AE}" pid="23" name="Mendeley Recent Style Name 6_1">
    <vt:lpwstr>IEEE</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8th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ies>
</file>