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BA54" w14:textId="77777777" w:rsidR="00C31A11" w:rsidRDefault="00C31A11" w:rsidP="00C31A11">
      <w:pPr>
        <w:spacing w:after="60"/>
      </w:pPr>
      <w:r>
        <w:rPr>
          <w:b/>
          <w:sz w:val="22"/>
        </w:rPr>
        <w:t>Table 3. Incremental value, laterality mechanism, and clinical extension</w:t>
      </w:r>
    </w:p>
    <w:p w14:paraId="15F3D7CC" w14:textId="77777777" w:rsidR="00C31A11" w:rsidRDefault="00C31A11" w:rsidP="00C31A11">
      <w:pPr>
        <w:spacing w:after="60"/>
      </w:pPr>
      <w:r>
        <w:rPr>
          <w:b/>
          <w:sz w:val="21"/>
        </w:rPr>
        <w:t>Panel A. Incremental value under the final flagship specification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1008"/>
        <w:gridCol w:w="1440"/>
        <w:gridCol w:w="4176"/>
      </w:tblGrid>
      <w:tr w:rsidR="00C31A11" w14:paraId="73F28464" w14:textId="77777777" w:rsidTr="00CA2339">
        <w:trPr>
          <w:tblHeader/>
          <w:jc w:val="center"/>
        </w:trPr>
        <w:tc>
          <w:tcPr>
            <w:tcW w:w="2736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AA7830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100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D1A36E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n</w:t>
            </w:r>
          </w:p>
        </w:tc>
        <w:tc>
          <w:tcPr>
            <w:tcW w:w="144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776C35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Metric</w:t>
            </w:r>
          </w:p>
        </w:tc>
        <w:tc>
          <w:tcPr>
            <w:tcW w:w="4176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7EFE68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Value / interpretation</w:t>
            </w:r>
          </w:p>
        </w:tc>
      </w:tr>
      <w:tr w:rsidR="00C31A11" w14:paraId="785B77DF" w14:textId="77777777" w:rsidTr="00CA2339">
        <w:trPr>
          <w:jc w:val="center"/>
        </w:trPr>
        <w:tc>
          <w:tcPr>
            <w:tcW w:w="27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CDDB67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Base model (RT0 + 18 covariates)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66C7A0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3124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050A5B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Adjusted R²</w:t>
            </w:r>
          </w:p>
        </w:tc>
        <w:tc>
          <w:tcPr>
            <w:tcW w:w="41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6B3EF7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0.2785</w:t>
            </w:r>
          </w:p>
        </w:tc>
      </w:tr>
      <w:tr w:rsidR="00C31A11" w14:paraId="4DDF7F17" w14:textId="77777777" w:rsidTr="00CA2339">
        <w:trPr>
          <w:jc w:val="center"/>
        </w:trPr>
        <w:tc>
          <w:tcPr>
            <w:tcW w:w="27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12A6A9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Add IMT only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909CF4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3124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E20445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Adjusted R²</w:t>
            </w:r>
          </w:p>
        </w:tc>
        <w:tc>
          <w:tcPr>
            <w:tcW w:w="41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CABDC9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0.2783; βIMT=0.008; p=0.6489</w:t>
            </w:r>
          </w:p>
        </w:tc>
      </w:tr>
      <w:tr w:rsidR="00C31A11" w14:paraId="56711916" w14:textId="77777777" w:rsidTr="00CA2339">
        <w:trPr>
          <w:jc w:val="center"/>
        </w:trPr>
        <w:tc>
          <w:tcPr>
            <w:tcW w:w="27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1B829B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Add ICA ATT only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6E2157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3124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01E6D0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Adjusted R²</w:t>
            </w:r>
          </w:p>
        </w:tc>
        <w:tc>
          <w:tcPr>
            <w:tcW w:w="41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009C17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0.2811; βATT=0.062; p=0.0006252</w:t>
            </w:r>
          </w:p>
        </w:tc>
      </w:tr>
      <w:tr w:rsidR="00C31A11" w14:paraId="72D0DDF5" w14:textId="77777777" w:rsidTr="00CA2339">
        <w:trPr>
          <w:jc w:val="center"/>
        </w:trPr>
        <w:tc>
          <w:tcPr>
            <w:tcW w:w="27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DC4F36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Add both IMT + ICA ATT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D7ABDF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3124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E98160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Adjusted R²</w:t>
            </w:r>
          </w:p>
        </w:tc>
        <w:tc>
          <w:tcPr>
            <w:tcW w:w="41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1500E9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0.2810; ATT over IMT p=0.0004788; ΔR²=0.0027</w:t>
            </w:r>
          </w:p>
        </w:tc>
      </w:tr>
    </w:tbl>
    <w:p w14:paraId="51DFEEBF" w14:textId="77777777" w:rsidR="00C31A11" w:rsidRDefault="00C31A11" w:rsidP="00C31A11">
      <w:pPr>
        <w:spacing w:after="60"/>
      </w:pPr>
      <w:r>
        <w:rPr>
          <w:b/>
          <w:sz w:val="21"/>
        </w:rPr>
        <w:t>Panel B. ICA laterality and asymmetry for reaction time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008"/>
        <w:gridCol w:w="1440"/>
        <w:gridCol w:w="4032"/>
      </w:tblGrid>
      <w:tr w:rsidR="00C31A11" w14:paraId="6B17DB9B" w14:textId="77777777" w:rsidTr="00CA2339">
        <w:trPr>
          <w:tblHeader/>
          <w:jc w:val="center"/>
        </w:trPr>
        <w:tc>
          <w:tcPr>
            <w:tcW w:w="288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D70136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100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636B4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n</w:t>
            </w:r>
          </w:p>
        </w:tc>
        <w:tc>
          <w:tcPr>
            <w:tcW w:w="144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7D792B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Estimate</w:t>
            </w:r>
          </w:p>
        </w:tc>
        <w:tc>
          <w:tcPr>
            <w:tcW w:w="4032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9E6866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Interpretation</w:t>
            </w:r>
          </w:p>
        </w:tc>
      </w:tr>
      <w:tr w:rsidR="00C31A11" w14:paraId="34C7A63E" w14:textId="77777777" w:rsidTr="00CA2339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50BF40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Cross · Right ICA ATT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C5AA20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3254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1C9073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0.059</w:t>
            </w:r>
          </w:p>
        </w:tc>
        <w:tc>
          <w:tcPr>
            <w:tcW w:w="40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DE6B51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p=0.00275; FDR=0.00549</w:t>
            </w:r>
          </w:p>
        </w:tc>
      </w:tr>
      <w:tr w:rsidR="00C31A11" w14:paraId="125D405D" w14:textId="77777777" w:rsidTr="00CA2339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416B9E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Cross · Left ICA ATT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CA7718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3254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47C6BB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0.065</w:t>
            </w:r>
          </w:p>
        </w:tc>
        <w:tc>
          <w:tcPr>
            <w:tcW w:w="40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9FED3F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p=0.00089; FDR=0.00323</w:t>
            </w:r>
          </w:p>
        </w:tc>
      </w:tr>
      <w:tr w:rsidR="00C31A11" w14:paraId="33320B7F" w14:textId="77777777" w:rsidTr="00CA2339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7AE54A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Cross · Mean ATT + asymmetry joint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BAFB05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3254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3CDAAC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βmean=0.064</w:t>
            </w:r>
          </w:p>
        </w:tc>
        <w:tc>
          <w:tcPr>
            <w:tcW w:w="40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9DF7A3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pmean=0.00122; pasym=0.741</w:t>
            </w:r>
          </w:p>
        </w:tc>
      </w:tr>
      <w:tr w:rsidR="00C31A11" w14:paraId="1203122E" w14:textId="77777777" w:rsidTr="00CA2339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EFD477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Follow-up · Mean ATT + asymmetry joint</w:t>
            </w:r>
          </w:p>
        </w:tc>
        <w:tc>
          <w:tcPr>
            <w:tcW w:w="10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B69E18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3248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DBAF6C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βmean=0.059</w:t>
            </w:r>
          </w:p>
        </w:tc>
        <w:tc>
          <w:tcPr>
            <w:tcW w:w="40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E59E9E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pmean=0.000951; pasym=0.288</w:t>
            </w:r>
          </w:p>
        </w:tc>
      </w:tr>
    </w:tbl>
    <w:p w14:paraId="1ADD2F14" w14:textId="77777777" w:rsidR="00C31A11" w:rsidRDefault="00C31A11" w:rsidP="00C31A11">
      <w:pPr>
        <w:spacing w:after="60"/>
      </w:pPr>
      <w:r>
        <w:rPr>
          <w:b/>
          <w:sz w:val="21"/>
        </w:rPr>
        <w:t>Panel C. Post-scan dementia extension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1728"/>
        <w:gridCol w:w="1296"/>
        <w:gridCol w:w="3312"/>
      </w:tblGrid>
      <w:tr w:rsidR="00C31A11" w14:paraId="3284CF5A" w14:textId="77777777" w:rsidTr="00CA2339">
        <w:trPr>
          <w:tblHeader/>
          <w:jc w:val="center"/>
        </w:trPr>
        <w:tc>
          <w:tcPr>
            <w:tcW w:w="302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63C6DE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172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D0F9C2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Value</w:t>
            </w:r>
          </w:p>
        </w:tc>
        <w:tc>
          <w:tcPr>
            <w:tcW w:w="1296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0A496A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Metric</w:t>
            </w:r>
          </w:p>
        </w:tc>
        <w:tc>
          <w:tcPr>
            <w:tcW w:w="3312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AF3B5A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Interpretation</w:t>
            </w:r>
          </w:p>
        </w:tc>
      </w:tr>
      <w:tr w:rsidR="00C31A11" w14:paraId="3BC9C4A9" w14:textId="77777777" w:rsidTr="00CA2339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137980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Participants with imaging date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8FA1F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102,730</w:t>
            </w:r>
          </w:p>
        </w:tc>
        <w:tc>
          <w:tcPr>
            <w:tcW w:w="12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1029D6" w14:textId="77777777" w:rsidR="00C31A11" w:rsidRDefault="00C31A11" w:rsidP="00CA2339">
            <w:pPr>
              <w:spacing w:after="0" w:line="240" w:lineRule="auto"/>
              <w:jc w:val="center"/>
            </w:pPr>
          </w:p>
        </w:tc>
        <w:tc>
          <w:tcPr>
            <w:tcW w:w="33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21E7E2" w14:textId="77777777" w:rsidR="00C31A11" w:rsidRDefault="00C31A11" w:rsidP="00CA2339">
            <w:pPr>
              <w:spacing w:after="0" w:line="240" w:lineRule="auto"/>
              <w:jc w:val="center"/>
            </w:pPr>
          </w:p>
        </w:tc>
      </w:tr>
      <w:tr w:rsidR="00C31A11" w14:paraId="05E13D64" w14:textId="77777777" w:rsidTr="00CA2339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8A4F1A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All-cause dementia events after imaging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096BC4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234</w:t>
            </w:r>
          </w:p>
        </w:tc>
        <w:tc>
          <w:tcPr>
            <w:tcW w:w="12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781771" w14:textId="77777777" w:rsidR="00C31A11" w:rsidRDefault="00C31A11" w:rsidP="00CA2339">
            <w:pPr>
              <w:spacing w:after="0" w:line="240" w:lineRule="auto"/>
              <w:jc w:val="center"/>
            </w:pPr>
          </w:p>
        </w:tc>
        <w:tc>
          <w:tcPr>
            <w:tcW w:w="33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2830B4" w14:textId="77777777" w:rsidR="00C31A11" w:rsidRDefault="00C31A11" w:rsidP="00CA2339">
            <w:pPr>
              <w:spacing w:after="0" w:line="240" w:lineRule="auto"/>
              <w:jc w:val="center"/>
            </w:pPr>
          </w:p>
        </w:tc>
      </w:tr>
      <w:tr w:rsidR="00C31A11" w14:paraId="5A3DE3AA" w14:textId="77777777" w:rsidTr="00CA2339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FCCA32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Vascular dementia events after imaging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E5A1B9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w="12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7A33F0" w14:textId="77777777" w:rsidR="00C31A11" w:rsidRDefault="00C31A11" w:rsidP="00CA2339">
            <w:pPr>
              <w:spacing w:after="0" w:line="240" w:lineRule="auto"/>
              <w:jc w:val="center"/>
            </w:pPr>
          </w:p>
        </w:tc>
        <w:tc>
          <w:tcPr>
            <w:tcW w:w="33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27503D" w14:textId="77777777" w:rsidR="00C31A11" w:rsidRDefault="00C31A11" w:rsidP="00CA2339">
            <w:pPr>
              <w:spacing w:after="0" w:line="240" w:lineRule="auto"/>
              <w:jc w:val="center"/>
            </w:pPr>
          </w:p>
        </w:tc>
      </w:tr>
      <w:tr w:rsidR="00C31A11" w14:paraId="356540DE" w14:textId="77777777" w:rsidTr="00CA2339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53D0BE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Strict haemodynamic-complete branch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7BD6A7" w14:textId="77777777" w:rsidR="00C31A11" w:rsidRDefault="00C31A11" w:rsidP="00CA2339">
            <w:pPr>
              <w:spacing w:after="0" w:line="240" w:lineRule="auto"/>
              <w:jc w:val="center"/>
            </w:pPr>
            <w:r>
              <w:rPr>
                <w:sz w:val="18"/>
              </w:rPr>
              <w:t>0 analysable events</w:t>
            </w:r>
          </w:p>
        </w:tc>
        <w:tc>
          <w:tcPr>
            <w:tcW w:w="12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E67F09" w14:textId="77777777" w:rsidR="00C31A11" w:rsidRDefault="00C31A11" w:rsidP="00CA2339">
            <w:pPr>
              <w:spacing w:after="0" w:line="240" w:lineRule="auto"/>
              <w:jc w:val="center"/>
            </w:pPr>
          </w:p>
        </w:tc>
        <w:tc>
          <w:tcPr>
            <w:tcW w:w="33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A46937" w14:textId="77777777" w:rsidR="00C31A11" w:rsidRDefault="00C31A11" w:rsidP="00CA2339">
            <w:pPr>
              <w:spacing w:after="0" w:line="240" w:lineRule="auto"/>
            </w:pPr>
            <w:r>
              <w:rPr>
                <w:sz w:val="18"/>
              </w:rPr>
              <w:t>Not retained as a main endpoint</w:t>
            </w:r>
          </w:p>
        </w:tc>
      </w:tr>
    </w:tbl>
    <w:p w14:paraId="08764EFB" w14:textId="77777777" w:rsidR="00C31A11" w:rsidRDefault="00C31A11" w:rsidP="00C31A11">
      <w:pPr>
        <w:spacing w:before="60" w:after="120" w:line="252" w:lineRule="auto"/>
      </w:pPr>
      <w:r>
        <w:rPr>
          <w:i/>
          <w:sz w:val="19"/>
        </w:rPr>
        <w:t>The main manuscript headline is supported by ICA ATT rather than IMT alone. Laterality analysis suggests a mildly stronger left-sided effect but no independent contribution from asymmetry metrics.</w:t>
      </w:r>
    </w:p>
    <w:p w14:paraId="419793D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11"/>
    <w:rsid w:val="000C4033"/>
    <w:rsid w:val="00171F3A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C31A1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4798"/>
  <w15:chartTrackingRefBased/>
  <w15:docId w15:val="{1A1C6164-117B-40EA-A58E-B1764F91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11"/>
    <w:pPr>
      <w:spacing w:after="200" w:line="276" w:lineRule="auto"/>
    </w:pPr>
    <w:rPr>
      <w:rFonts w:ascii="Times New Roman" w:eastAsia="Times New Roman" w:hAnsi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A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A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A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A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A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A1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A1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A1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A1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A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A1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1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A1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1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2026-05-19T21:32:00Z</dcterms:created>
  <dcterms:modified xsi:type="dcterms:W3CDTF">2026-05-19T21:32:00Z</dcterms:modified>
</cp:coreProperties>
</file>