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5512DF" w14:textId="77777777" w:rsidR="00272E98" w:rsidRDefault="00272E98" w:rsidP="001E381A">
      <w:pPr>
        <w:spacing w:line="360" w:lineRule="auto"/>
        <w:rPr>
          <w:rFonts w:ascii="Times New Roman" w:hAnsi="Times New Roman" w:cs="Times New Roman"/>
          <w:b/>
          <w:bCs/>
          <w:sz w:val="24"/>
          <w:lang w:val="en-GB"/>
        </w:rPr>
      </w:pPr>
      <w:bookmarkStart w:id="0" w:name="_Hlk33650214"/>
      <w:r w:rsidRPr="00272E98">
        <w:rPr>
          <w:rFonts w:ascii="Times New Roman" w:hAnsi="Times New Roman" w:cs="Times New Roman"/>
          <w:b/>
          <w:bCs/>
          <w:sz w:val="24"/>
          <w:lang w:val="en-GB"/>
        </w:rPr>
        <w:t>Materials and Methods</w:t>
      </w:r>
    </w:p>
    <w:p w14:paraId="11F6DEF4" w14:textId="7966C308" w:rsidR="001E381A" w:rsidRPr="002D52E7" w:rsidRDefault="001E381A" w:rsidP="001E381A">
      <w:pPr>
        <w:spacing w:line="360" w:lineRule="auto"/>
        <w:rPr>
          <w:rFonts w:ascii="Times New Roman" w:hAnsi="Times New Roman" w:cs="Times New Roman"/>
          <w:b/>
          <w:bCs/>
          <w:sz w:val="24"/>
          <w:lang w:val="en-GB"/>
        </w:rPr>
      </w:pPr>
      <w:bookmarkStart w:id="1" w:name="_GoBack"/>
      <w:bookmarkEnd w:id="1"/>
      <w:r w:rsidRPr="002D52E7">
        <w:rPr>
          <w:rFonts w:ascii="Times New Roman" w:hAnsi="Times New Roman" w:cs="Times New Roman"/>
          <w:b/>
          <w:bCs/>
          <w:sz w:val="24"/>
          <w:lang w:val="en-GB"/>
        </w:rPr>
        <w:t>Cell culture and reagents</w:t>
      </w:r>
    </w:p>
    <w:bookmarkEnd w:id="0"/>
    <w:p w14:paraId="46D3E8EB" w14:textId="77777777" w:rsidR="001E381A" w:rsidRPr="002D52E7" w:rsidRDefault="001E381A" w:rsidP="001E381A">
      <w:pPr>
        <w:spacing w:line="360" w:lineRule="auto"/>
        <w:rPr>
          <w:rFonts w:ascii="Times New Roman" w:hAnsi="Times New Roman" w:cs="Times New Roman"/>
          <w:b/>
          <w:bCs/>
          <w:sz w:val="24"/>
          <w:lang w:val="en-GB"/>
        </w:rPr>
      </w:pPr>
      <w:r w:rsidRPr="002D52E7">
        <w:rPr>
          <w:rFonts w:ascii="Times New Roman" w:hAnsi="Times New Roman" w:cs="Times New Roman"/>
          <w:sz w:val="24"/>
          <w:lang w:val="en-GB"/>
        </w:rPr>
        <w:t>Human osteosarcoma cell lines HOS, MG-63, and Saos-2 were obtained from GENECHEM Co., Ltd (Shanghai, China), and the human osteoblast cell line Hfob1.19 was obtained from Zhong Qiao Xin Zhou Biotechnology Co., Ltd (Shanghai, China). All cell lines were cultured in Dulbecco’s modified Eagle’s medium supplemented with 10% foetal bovineserum, streptomycin (100 mg/mL), and penicillin (100 U/mL).</w:t>
      </w:r>
    </w:p>
    <w:p w14:paraId="4A9B54A4" w14:textId="77777777" w:rsidR="001E381A" w:rsidRPr="002D52E7" w:rsidRDefault="001E381A" w:rsidP="001E381A">
      <w:pPr>
        <w:spacing w:line="360" w:lineRule="auto"/>
        <w:rPr>
          <w:rFonts w:ascii="Times New Roman" w:hAnsi="Times New Roman" w:cs="Times New Roman"/>
          <w:sz w:val="24"/>
          <w:lang w:val="en-GB"/>
        </w:rPr>
      </w:pPr>
    </w:p>
    <w:p w14:paraId="440AE62E" w14:textId="77777777" w:rsidR="001E381A" w:rsidRPr="002D52E7" w:rsidRDefault="001E381A" w:rsidP="001E381A">
      <w:pPr>
        <w:widowControl/>
        <w:spacing w:line="360" w:lineRule="auto"/>
        <w:rPr>
          <w:rFonts w:ascii="Times New Roman" w:hAnsi="Times New Roman" w:cs="Times New Roman"/>
          <w:b/>
          <w:bCs/>
          <w:kern w:val="0"/>
          <w:sz w:val="24"/>
          <w:lang w:val="en-GB"/>
        </w:rPr>
      </w:pPr>
      <w:bookmarkStart w:id="2" w:name="_Hlk33650222"/>
      <w:bookmarkStart w:id="3" w:name="_Hlk33646551"/>
      <w:r w:rsidRPr="002D52E7">
        <w:rPr>
          <w:rFonts w:ascii="Times New Roman" w:eastAsia="AdvTTc7583fc6 . B" w:hAnsi="Times New Roman" w:cs="Times New Roman"/>
          <w:b/>
          <w:bCs/>
          <w:kern w:val="0"/>
          <w:sz w:val="24"/>
          <w:lang w:val="en-GB"/>
        </w:rPr>
        <w:t xml:space="preserve">Clinical samples </w:t>
      </w:r>
      <w:r w:rsidRPr="002D52E7">
        <w:rPr>
          <w:rFonts w:ascii="Times New Roman" w:eastAsia="AdvOTc9c0ed35 . B" w:hAnsi="Times New Roman" w:cs="Times New Roman"/>
          <w:b/>
          <w:bCs/>
          <w:kern w:val="0"/>
          <w:sz w:val="24"/>
          <w:lang w:val="en-GB"/>
        </w:rPr>
        <w:t>and survival time analysis</w:t>
      </w:r>
    </w:p>
    <w:bookmarkEnd w:id="2"/>
    <w:p w14:paraId="712D3AF0" w14:textId="77777777" w:rsidR="001E381A" w:rsidRPr="002D52E7" w:rsidRDefault="001E381A" w:rsidP="001E381A">
      <w:pPr>
        <w:widowControl/>
        <w:spacing w:line="360" w:lineRule="auto"/>
        <w:rPr>
          <w:rFonts w:ascii="Times New Roman" w:eastAsia="AdvOTc9c0ed35 . B" w:hAnsi="Times New Roman" w:cs="Times New Roman"/>
          <w:b/>
          <w:bCs/>
          <w:kern w:val="0"/>
          <w:sz w:val="24"/>
          <w:lang w:val="en-GB"/>
        </w:rPr>
      </w:pPr>
      <w:r w:rsidRPr="002D52E7">
        <w:rPr>
          <w:rFonts w:ascii="Times New Roman" w:eastAsia="AdvOTc9c0ed35 . B" w:hAnsi="Times New Roman" w:cs="Times New Roman"/>
          <w:kern w:val="0"/>
          <w:sz w:val="24"/>
          <w:lang w:val="en-GB"/>
        </w:rPr>
        <w:t>O</w:t>
      </w:r>
      <w:r w:rsidRPr="002D52E7">
        <w:rPr>
          <w:rFonts w:ascii="Times New Roman" w:eastAsia="AdvTT9d794523" w:hAnsi="Times New Roman" w:cs="Times New Roman"/>
          <w:kern w:val="0"/>
          <w:sz w:val="24"/>
          <w:lang w:val="en-GB"/>
        </w:rPr>
        <w:t xml:space="preserve">steosarcoma tissue samples, its adjacent tissues, and the corresponding clinical data were obtained from Jinan Central Hospital, Qilu Hospital of Shandong University, and Xi'an Best Biotechnology </w:t>
      </w:r>
      <w:r w:rsidRPr="002D52E7">
        <w:rPr>
          <w:rFonts w:ascii="Times New Roman" w:hAnsi="Times New Roman" w:cs="Times New Roman"/>
          <w:sz w:val="24"/>
          <w:lang w:val="en-GB"/>
        </w:rPr>
        <w:t>Co.,</w:t>
      </w:r>
      <w:r w:rsidRPr="002D52E7">
        <w:rPr>
          <w:rFonts w:ascii="Times New Roman" w:hAnsi="Times New Roman" w:cs="Times New Roman"/>
          <w:sz w:val="24"/>
        </w:rPr>
        <w:t xml:space="preserve"> </w:t>
      </w:r>
      <w:r w:rsidRPr="002D52E7">
        <w:rPr>
          <w:rFonts w:ascii="Times New Roman" w:hAnsi="Times New Roman" w:cs="Times New Roman"/>
          <w:sz w:val="24"/>
          <w:lang w:val="en-GB"/>
        </w:rPr>
        <w:t>Ltd (Xian, China)</w:t>
      </w:r>
      <w:r w:rsidRPr="002D52E7">
        <w:rPr>
          <w:rFonts w:ascii="Times New Roman" w:eastAsia="AdvTT9d794523" w:hAnsi="Times New Roman" w:cs="Times New Roman"/>
          <w:kern w:val="0"/>
          <w:sz w:val="24"/>
          <w:lang w:val="en-GB"/>
        </w:rPr>
        <w:t>. This study and the use of the above clinical ma</w:t>
      </w:r>
      <w:r w:rsidRPr="00986BBC">
        <w:rPr>
          <w:rFonts w:ascii="Times New Roman" w:eastAsia="AdvTT9d794523" w:hAnsi="Times New Roman" w:cs="Times New Roman"/>
          <w:kern w:val="0"/>
          <w:sz w:val="24"/>
          <w:lang w:val="en-GB"/>
        </w:rPr>
        <w:t>terials was approved by the individual institutional ethical committees.</w:t>
      </w:r>
      <w:r w:rsidRPr="00986BBC">
        <w:rPr>
          <w:rFonts w:ascii="Times New Roman" w:eastAsia="宋体" w:hAnsi="Times New Roman" w:cs="Times New Roman"/>
          <w:kern w:val="0"/>
          <w:sz w:val="24"/>
        </w:rPr>
        <w:t xml:space="preserve"> </w:t>
      </w:r>
      <w:r w:rsidRPr="00986BBC">
        <w:rPr>
          <w:rFonts w:ascii="Times New Roman" w:eastAsia="AdvTTb20e5d60" w:hAnsi="Times New Roman" w:cs="Times New Roman"/>
          <w:kern w:val="0"/>
          <w:sz w:val="24"/>
          <w:lang w:val="en-GB"/>
        </w:rPr>
        <w:t>Receiver operating characteristic (ROC) curve was used to analyse the relationship between protein expression and survival time. The values of ROC curves with the maximized sum of sensitivity and specificity was used as the threshold value to separate the high and lowexpression of DEPDC1, EEF1A1, and FOXO3a, and the survival time of each group was compared.</w:t>
      </w:r>
    </w:p>
    <w:bookmarkEnd w:id="3"/>
    <w:p w14:paraId="6F3B0D49" w14:textId="77777777" w:rsidR="001E381A" w:rsidRPr="002D52E7" w:rsidRDefault="001E381A" w:rsidP="001E381A">
      <w:pPr>
        <w:spacing w:line="360" w:lineRule="auto"/>
        <w:rPr>
          <w:rFonts w:ascii="Times New Roman" w:hAnsi="Times New Roman" w:cs="Times New Roman"/>
          <w:sz w:val="24"/>
          <w:lang w:val="en-GB"/>
        </w:rPr>
      </w:pPr>
    </w:p>
    <w:p w14:paraId="47798C5A" w14:textId="77777777" w:rsidR="001E381A" w:rsidRPr="002D52E7" w:rsidRDefault="001E381A" w:rsidP="001E381A">
      <w:pPr>
        <w:spacing w:line="360" w:lineRule="auto"/>
        <w:rPr>
          <w:rFonts w:ascii="Times New Roman" w:hAnsi="Times New Roman" w:cs="Times New Roman"/>
          <w:b/>
          <w:bCs/>
          <w:sz w:val="24"/>
          <w:lang w:val="en-GB"/>
        </w:rPr>
      </w:pPr>
      <w:bookmarkStart w:id="4" w:name="_Hlk33650250"/>
      <w:bookmarkStart w:id="5" w:name="_Hlk33646833"/>
      <w:r w:rsidRPr="002D52E7">
        <w:rPr>
          <w:rFonts w:ascii="Times New Roman" w:hAnsi="Times New Roman" w:cs="Times New Roman"/>
          <w:b/>
          <w:bCs/>
          <w:sz w:val="24"/>
          <w:lang w:val="en-GB"/>
        </w:rPr>
        <w:t>Gene Expression Omnibus data analysis of differential gene expression in human osteosarcoma</w:t>
      </w:r>
    </w:p>
    <w:bookmarkEnd w:id="4"/>
    <w:p w14:paraId="1D0A22A7" w14:textId="77777777" w:rsidR="001E381A" w:rsidRPr="002D52E7" w:rsidRDefault="001E381A" w:rsidP="001E381A">
      <w:pPr>
        <w:spacing w:line="360" w:lineRule="auto"/>
        <w:rPr>
          <w:rFonts w:ascii="Times New Roman" w:hAnsi="Times New Roman" w:cs="Times New Roman"/>
          <w:b/>
          <w:bCs/>
          <w:sz w:val="24"/>
          <w:lang w:val="en-GB"/>
        </w:rPr>
      </w:pPr>
      <w:r w:rsidRPr="002D52E7">
        <w:rPr>
          <w:rFonts w:ascii="Times New Roman" w:eastAsia="AGaramond-Regular" w:hAnsi="Times New Roman" w:cs="Times New Roman"/>
          <w:kern w:val="0"/>
          <w:sz w:val="24"/>
          <w:lang w:val="en-GB"/>
        </w:rPr>
        <w:t xml:space="preserve">Eight datasets (species: </w:t>
      </w:r>
      <w:r w:rsidRPr="002D52E7">
        <w:rPr>
          <w:rFonts w:ascii="Times New Roman" w:eastAsia="AGaramond-Italic" w:hAnsi="Times New Roman" w:cs="Times New Roman"/>
          <w:i/>
          <w:kern w:val="0"/>
          <w:sz w:val="24"/>
          <w:lang w:val="en-GB"/>
        </w:rPr>
        <w:t>Homo sapiens</w:t>
      </w:r>
      <w:r w:rsidRPr="002D52E7">
        <w:rPr>
          <w:rFonts w:ascii="Times New Roman" w:eastAsia="AGaramond-Regular" w:hAnsi="Times New Roman" w:cs="Times New Roman"/>
          <w:kern w:val="0"/>
          <w:sz w:val="24"/>
          <w:lang w:val="en-GB"/>
        </w:rPr>
        <w:t xml:space="preserve">) were downloaded from the NCBI Gene Expression Omnibus (GEO) database including GSE11414, GSE12865, GSE14359, GSE16088, GSE19276, GSE28424, GSE36001, and GSE9508. </w:t>
      </w:r>
      <w:r w:rsidRPr="002D52E7">
        <w:rPr>
          <w:rFonts w:ascii="Times New Roman" w:hAnsi="Times New Roman" w:cs="Times New Roman"/>
          <w:sz w:val="24"/>
          <w:lang w:val="en-GB"/>
        </w:rPr>
        <w:t xml:space="preserve">We used the limma software </w:t>
      </w:r>
      <w:r w:rsidRPr="002D52E7">
        <w:rPr>
          <w:rFonts w:ascii="Times New Roman" w:eastAsia="AGaramond-Regular" w:hAnsi="Times New Roman" w:cs="Times New Roman"/>
          <w:kern w:val="0"/>
          <w:sz w:val="24"/>
          <w:lang w:val="en-GB"/>
        </w:rPr>
        <w:t>package (v. 3.10.3)</w:t>
      </w:r>
      <w:r w:rsidRPr="002D52E7">
        <w:rPr>
          <w:rFonts w:ascii="Times New Roman" w:hAnsi="Times New Roman" w:cs="Times New Roman"/>
          <w:sz w:val="24"/>
          <w:lang w:val="en-GB"/>
        </w:rPr>
        <w:t xml:space="preserve"> to analyse the differences in gene expression between the osteosarco</w:t>
      </w:r>
      <w:r w:rsidRPr="00986BBC">
        <w:rPr>
          <w:rFonts w:ascii="Times New Roman" w:hAnsi="Times New Roman" w:cs="Times New Roman"/>
          <w:sz w:val="24"/>
          <w:lang w:val="en-GB"/>
        </w:rPr>
        <w:t xml:space="preserve">ma group and normal group, and obtained the corresponding </w:t>
      </w:r>
      <w:r w:rsidRPr="00986BBC">
        <w:rPr>
          <w:rFonts w:ascii="Times New Roman" w:hAnsi="Times New Roman" w:cs="Times New Roman"/>
          <w:i/>
          <w:iCs/>
          <w:sz w:val="24"/>
          <w:lang w:val="en-GB"/>
        </w:rPr>
        <w:t>P</w:t>
      </w:r>
      <w:r w:rsidRPr="00986BBC">
        <w:rPr>
          <w:rFonts w:ascii="Times New Roman" w:hAnsi="Times New Roman" w:cs="Times New Roman"/>
          <w:sz w:val="24"/>
          <w:lang w:val="en-GB"/>
        </w:rPr>
        <w:t>- and logFC values. The method of Benjamini</w:t>
      </w:r>
      <w:r w:rsidRPr="00986BBC">
        <w:rPr>
          <w:rFonts w:ascii="Times New Roman" w:hAnsi="Times New Roman" w:cs="Times New Roman"/>
          <w:sz w:val="24"/>
        </w:rPr>
        <w:t>–</w:t>
      </w:r>
      <w:r w:rsidRPr="00986BBC">
        <w:rPr>
          <w:rFonts w:ascii="Times New Roman" w:hAnsi="Times New Roman" w:cs="Times New Roman"/>
          <w:sz w:val="24"/>
          <w:lang w:val="en-GB"/>
        </w:rPr>
        <w:t xml:space="preserve">Hochbergwas used to perform multiple tests and corrections, and the corrected </w:t>
      </w:r>
      <w:r w:rsidRPr="00986BBC">
        <w:rPr>
          <w:rFonts w:ascii="Times New Roman" w:hAnsi="Times New Roman" w:cs="Times New Roman"/>
          <w:i/>
          <w:iCs/>
          <w:sz w:val="24"/>
          <w:lang w:val="en-GB"/>
        </w:rPr>
        <w:t>P</w:t>
      </w:r>
      <w:r w:rsidRPr="00986BBC">
        <w:rPr>
          <w:rFonts w:ascii="Times New Roman" w:hAnsi="Times New Roman" w:cs="Times New Roman"/>
          <w:sz w:val="24"/>
          <w:lang w:val="en-GB"/>
        </w:rPr>
        <w:t xml:space="preserve">-value, namely the adjusted </w:t>
      </w:r>
      <w:r w:rsidRPr="00986BBC">
        <w:rPr>
          <w:rFonts w:ascii="Times New Roman" w:hAnsi="Times New Roman" w:cs="Times New Roman"/>
          <w:i/>
          <w:iCs/>
          <w:sz w:val="24"/>
          <w:lang w:val="en-GB"/>
        </w:rPr>
        <w:t>P</w:t>
      </w:r>
      <w:r w:rsidRPr="00986BBC">
        <w:rPr>
          <w:rFonts w:ascii="Times New Roman" w:hAnsi="Times New Roman" w:cs="Times New Roman"/>
          <w:sz w:val="24"/>
          <w:lang w:val="en-GB"/>
        </w:rPr>
        <w:t xml:space="preserve">-value, was obtained. The differential genes were screened out from the eight data sets by integrating the adjusted </w:t>
      </w:r>
      <w:r w:rsidRPr="00986BBC">
        <w:rPr>
          <w:rFonts w:ascii="Times New Roman" w:hAnsi="Times New Roman" w:cs="Times New Roman"/>
          <w:i/>
          <w:iCs/>
          <w:sz w:val="24"/>
          <w:lang w:val="en-GB"/>
        </w:rPr>
        <w:t>P</w:t>
      </w:r>
      <w:r w:rsidRPr="00986BBC">
        <w:rPr>
          <w:rFonts w:ascii="Times New Roman" w:hAnsi="Times New Roman" w:cs="Times New Roman"/>
          <w:sz w:val="24"/>
          <w:lang w:val="en-GB"/>
        </w:rPr>
        <w:t>-value and logF</w:t>
      </w:r>
      <w:r w:rsidRPr="00986BBC">
        <w:rPr>
          <w:rFonts w:ascii="Times New Roman" w:eastAsia="AdvTTb20e5d60" w:hAnsi="Times New Roman" w:cs="Times New Roman"/>
          <w:kern w:val="0"/>
          <w:sz w:val="24"/>
          <w:lang w:val="en-GB"/>
        </w:rPr>
        <w:t>.</w:t>
      </w:r>
    </w:p>
    <w:bookmarkEnd w:id="5"/>
    <w:p w14:paraId="28E01EDC" w14:textId="77777777" w:rsidR="001E381A" w:rsidRPr="002D52E7" w:rsidRDefault="001E381A" w:rsidP="001E381A">
      <w:pPr>
        <w:spacing w:line="360" w:lineRule="auto"/>
        <w:rPr>
          <w:rFonts w:ascii="Times New Roman" w:hAnsi="Times New Roman" w:cs="Times New Roman"/>
          <w:b/>
          <w:bCs/>
          <w:sz w:val="24"/>
          <w:lang w:val="en-GB"/>
        </w:rPr>
      </w:pPr>
    </w:p>
    <w:p w14:paraId="390CAE9F" w14:textId="77777777" w:rsidR="001E381A" w:rsidRPr="002D52E7" w:rsidRDefault="001E381A" w:rsidP="001E381A">
      <w:pPr>
        <w:spacing w:line="360" w:lineRule="auto"/>
        <w:rPr>
          <w:rFonts w:ascii="Times New Roman" w:hAnsi="Times New Roman" w:cs="Times New Roman"/>
          <w:b/>
          <w:bCs/>
          <w:sz w:val="24"/>
          <w:lang w:val="en-GB"/>
        </w:rPr>
      </w:pPr>
      <w:bookmarkStart w:id="6" w:name="_Hlk33650261"/>
      <w:bookmarkStart w:id="7" w:name="_Hlk33647434"/>
      <w:r w:rsidRPr="002D52E7">
        <w:rPr>
          <w:rFonts w:ascii="Times New Roman" w:hAnsi="Times New Roman" w:cs="Times New Roman"/>
          <w:b/>
          <w:bCs/>
          <w:sz w:val="24"/>
          <w:lang w:val="en-GB"/>
        </w:rPr>
        <w:t>Lentiviral constructs and cell infection</w:t>
      </w:r>
    </w:p>
    <w:bookmarkEnd w:id="6"/>
    <w:p w14:paraId="3693D54A" w14:textId="77777777" w:rsidR="00986BBC" w:rsidRPr="007D5B85" w:rsidRDefault="001E381A" w:rsidP="00986BBC">
      <w:pPr>
        <w:spacing w:line="360" w:lineRule="auto"/>
        <w:rPr>
          <w:rFonts w:ascii="Times New Roman" w:hAnsi="Times New Roman" w:cs="Times New Roman"/>
          <w:sz w:val="24"/>
          <w:lang w:val="en-GB"/>
        </w:rPr>
      </w:pPr>
      <w:r w:rsidRPr="00986BBC">
        <w:rPr>
          <w:rFonts w:ascii="Times New Roman" w:hAnsi="Times New Roman" w:cs="Times New Roman"/>
          <w:sz w:val="24"/>
          <w:lang w:val="en-GB"/>
        </w:rPr>
        <w:t>Overexpression or downregulation of DEPDC1 was induced with a GV-based lentiviral vector system. The packaged lentiviruses are referred to as lenti-DEPDC1/shDEPDC1 and lenti-Ctrl/shCtrl. They were</w:t>
      </w:r>
      <w:r w:rsidRPr="002D52E7">
        <w:rPr>
          <w:rFonts w:ascii="Times New Roman" w:hAnsi="Times New Roman" w:cs="Times New Roman"/>
          <w:sz w:val="24"/>
          <w:lang w:val="en-GB"/>
        </w:rPr>
        <w:t xml:space="preserve"> used to infect osteosarcoma cells at a multiplicity of infection. The core sequences of target gene fragments in each group are shown in </w:t>
      </w:r>
      <w:r w:rsidR="00986BBC" w:rsidRPr="00986BBC">
        <w:rPr>
          <w:rFonts w:ascii="Times New Roman" w:eastAsia="AdvTT9d794523" w:hAnsi="Times New Roman" w:cs="Times New Roman"/>
          <w:kern w:val="0"/>
          <w:sz w:val="24"/>
          <w:lang w:val="en-GB"/>
        </w:rPr>
        <w:t xml:space="preserve">Additional file 3: </w:t>
      </w:r>
      <w:r w:rsidR="00986BBC" w:rsidRPr="00986BBC">
        <w:rPr>
          <w:rFonts w:ascii="Times New Roman" w:hAnsi="Times New Roman" w:cs="Times New Roman"/>
          <w:sz w:val="24"/>
          <w:lang w:val="en-GB"/>
        </w:rPr>
        <w:t>Supplementary Table. S1</w:t>
      </w:r>
      <w:r w:rsidR="00986BBC" w:rsidRPr="007D5B85">
        <w:rPr>
          <w:rFonts w:ascii="Times New Roman" w:hAnsi="Times New Roman" w:cs="Times New Roman"/>
          <w:sz w:val="24"/>
          <w:lang w:val="en-GB"/>
        </w:rPr>
        <w:t>.</w:t>
      </w:r>
    </w:p>
    <w:bookmarkEnd w:id="7"/>
    <w:p w14:paraId="606A5551" w14:textId="77777777" w:rsidR="001E381A" w:rsidRPr="00986BBC" w:rsidRDefault="001E381A" w:rsidP="001E381A">
      <w:pPr>
        <w:spacing w:line="360" w:lineRule="auto"/>
        <w:rPr>
          <w:rFonts w:ascii="Times New Roman" w:hAnsi="Times New Roman" w:cs="Times New Roman"/>
          <w:b/>
          <w:bCs/>
          <w:sz w:val="24"/>
          <w:lang w:val="en-GB"/>
        </w:rPr>
      </w:pPr>
    </w:p>
    <w:p w14:paraId="6A57F1AB" w14:textId="77777777" w:rsidR="001E381A" w:rsidRPr="002D52E7" w:rsidRDefault="001E381A" w:rsidP="001E381A">
      <w:pPr>
        <w:widowControl/>
        <w:spacing w:line="360" w:lineRule="auto"/>
        <w:rPr>
          <w:rFonts w:ascii="Times New Roman" w:hAnsi="Times New Roman" w:cs="Times New Roman"/>
          <w:b/>
          <w:bCs/>
          <w:kern w:val="0"/>
          <w:sz w:val="24"/>
          <w:lang w:val="en-GB"/>
        </w:rPr>
      </w:pPr>
      <w:bookmarkStart w:id="8" w:name="_Hlk33650288"/>
      <w:r w:rsidRPr="002D52E7">
        <w:rPr>
          <w:rFonts w:ascii="Times New Roman" w:eastAsia="AdvOT1ef757c0" w:hAnsi="Times New Roman" w:cs="Times New Roman"/>
          <w:b/>
          <w:bCs/>
          <w:kern w:val="0"/>
          <w:sz w:val="24"/>
          <w:lang w:val="en-GB"/>
        </w:rPr>
        <w:t>Quantitative real-time PCR</w:t>
      </w:r>
    </w:p>
    <w:bookmarkEnd w:id="8"/>
    <w:p w14:paraId="4ADF26E1" w14:textId="77777777" w:rsidR="001E381A" w:rsidRPr="002D52E7" w:rsidRDefault="001E381A" w:rsidP="001E381A">
      <w:pPr>
        <w:widowControl/>
        <w:spacing w:line="360" w:lineRule="auto"/>
        <w:rPr>
          <w:rFonts w:ascii="Times New Roman" w:eastAsia="AdvOT1ef757c0" w:hAnsi="Times New Roman" w:cs="Times New Roman"/>
          <w:b/>
          <w:bCs/>
          <w:kern w:val="0"/>
          <w:sz w:val="24"/>
          <w:lang w:val="en-GB"/>
        </w:rPr>
      </w:pPr>
      <w:r w:rsidRPr="002D52E7">
        <w:rPr>
          <w:rFonts w:ascii="Times New Roman" w:eastAsia="AdvTTb20e5d60" w:hAnsi="Times New Roman" w:cs="Times New Roman"/>
          <w:kern w:val="0"/>
          <w:sz w:val="24"/>
          <w:lang w:val="en-GB"/>
        </w:rPr>
        <w:t xml:space="preserve">mRNA expression was examined by quantitative real-time PCR (qRT-PCR) using </w:t>
      </w:r>
      <w:r w:rsidRPr="002D52E7">
        <w:rPr>
          <w:rFonts w:ascii="Times New Roman" w:eastAsia="AdvOT1ef757c0" w:hAnsi="Times New Roman" w:cs="Times New Roman"/>
          <w:kern w:val="0"/>
          <w:sz w:val="24"/>
          <w:lang w:val="en-GB"/>
        </w:rPr>
        <w:t>SYBR Green PCR Master Mix (Takara Bio</w:t>
      </w:r>
      <w:r w:rsidRPr="002D52E7">
        <w:rPr>
          <w:rStyle w:val="a3"/>
          <w:rFonts w:ascii="Times New Roman" w:hAnsi="Times New Roman" w:cs="Times New Roman"/>
        </w:rPr>
        <w:t xml:space="preserve">, </w:t>
      </w:r>
      <w:r w:rsidRPr="002D52E7">
        <w:rPr>
          <w:rFonts w:ascii="Times New Roman" w:eastAsia="宋体" w:hAnsi="Times New Roman" w:cs="Times New Roman"/>
          <w:kern w:val="0"/>
          <w:sz w:val="24"/>
        </w:rPr>
        <w:t>Shanghai</w:t>
      </w:r>
      <w:r w:rsidRPr="002D52E7">
        <w:rPr>
          <w:rFonts w:ascii="Times New Roman" w:eastAsia="AGaramond-Regular" w:hAnsi="Times New Roman" w:cs="Times New Roman"/>
          <w:kern w:val="0"/>
          <w:sz w:val="24"/>
          <w:lang w:val="en-GB"/>
        </w:rPr>
        <w:t>, China</w:t>
      </w:r>
      <w:r w:rsidRPr="002D52E7">
        <w:rPr>
          <w:rFonts w:ascii="Times New Roman" w:eastAsia="AdvOT1ef757c0" w:hAnsi="Times New Roman" w:cs="Times New Roman"/>
          <w:kern w:val="0"/>
          <w:sz w:val="24"/>
          <w:lang w:val="en-GB"/>
        </w:rPr>
        <w:t>)</w:t>
      </w:r>
      <w:r w:rsidRPr="002D52E7">
        <w:rPr>
          <w:rFonts w:ascii="Times New Roman" w:eastAsia="AdvTTb20e5d60" w:hAnsi="Times New Roman" w:cs="Times New Roman"/>
          <w:kern w:val="0"/>
          <w:sz w:val="24"/>
          <w:lang w:val="en-GB"/>
        </w:rPr>
        <w:t xml:space="preserve">. The results were normalized to human </w:t>
      </w:r>
      <w:r w:rsidRPr="002D52E7">
        <w:rPr>
          <w:rFonts w:ascii="Times New Roman" w:eastAsia="AdvTTb20e5d60" w:hAnsi="Times New Roman" w:cs="Times New Roman"/>
          <w:i/>
          <w:iCs/>
          <w:kern w:val="0"/>
          <w:sz w:val="24"/>
          <w:lang w:val="en-GB"/>
        </w:rPr>
        <w:t>GAPDH</w:t>
      </w:r>
      <w:r w:rsidRPr="002D52E7">
        <w:rPr>
          <w:rFonts w:ascii="Times New Roman" w:eastAsia="AdvTTb20e5d60" w:hAnsi="Times New Roman" w:cs="Times New Roman"/>
          <w:kern w:val="0"/>
          <w:sz w:val="24"/>
          <w:lang w:val="en-GB"/>
        </w:rPr>
        <w:t xml:space="preserve"> mRNA expression. Three independent experiments were performed for each test.</w:t>
      </w:r>
    </w:p>
    <w:p w14:paraId="6DE365F2" w14:textId="77777777" w:rsidR="001E381A" w:rsidRPr="002D52E7" w:rsidRDefault="001E381A" w:rsidP="001E381A">
      <w:pPr>
        <w:widowControl/>
        <w:spacing w:line="360" w:lineRule="auto"/>
        <w:rPr>
          <w:rFonts w:ascii="Times New Roman" w:eastAsia="AdvTTb20e5d60" w:hAnsi="Times New Roman" w:cs="Times New Roman"/>
          <w:kern w:val="0"/>
          <w:sz w:val="24"/>
          <w:lang w:val="en-GB"/>
        </w:rPr>
      </w:pPr>
    </w:p>
    <w:p w14:paraId="47CAD772" w14:textId="77777777" w:rsidR="001E381A" w:rsidRPr="002D52E7" w:rsidRDefault="001E381A" w:rsidP="001E381A">
      <w:pPr>
        <w:widowControl/>
        <w:spacing w:line="360" w:lineRule="auto"/>
        <w:rPr>
          <w:rFonts w:ascii="Times New Roman" w:hAnsi="Times New Roman" w:cs="Times New Roman"/>
          <w:b/>
          <w:bCs/>
          <w:kern w:val="0"/>
          <w:sz w:val="24"/>
          <w:lang w:val="en-GB"/>
        </w:rPr>
      </w:pPr>
      <w:bookmarkStart w:id="9" w:name="_Hlk33650297"/>
      <w:r w:rsidRPr="002D52E7">
        <w:rPr>
          <w:rFonts w:ascii="Times New Roman" w:eastAsia="AdvOTc9c0ed35 . B" w:hAnsi="Times New Roman" w:cs="Times New Roman"/>
          <w:b/>
          <w:bCs/>
          <w:kern w:val="0"/>
          <w:sz w:val="24"/>
          <w:lang w:val="en-GB"/>
        </w:rPr>
        <w:t>Western blotting</w:t>
      </w:r>
    </w:p>
    <w:bookmarkEnd w:id="9"/>
    <w:p w14:paraId="4BB804DC" w14:textId="6B6557B3" w:rsidR="001E381A" w:rsidRPr="002D52E7" w:rsidRDefault="001E381A" w:rsidP="001E381A">
      <w:pPr>
        <w:widowControl/>
        <w:spacing w:line="360" w:lineRule="auto"/>
        <w:rPr>
          <w:rFonts w:ascii="Times New Roman" w:eastAsia="AdvOTc9c0ed35 . B" w:hAnsi="Times New Roman" w:cs="Times New Roman"/>
          <w:b/>
          <w:bCs/>
          <w:kern w:val="0"/>
          <w:sz w:val="24"/>
          <w:lang w:val="en-GB"/>
        </w:rPr>
      </w:pPr>
      <w:r w:rsidRPr="002D52E7">
        <w:rPr>
          <w:rFonts w:ascii="Times New Roman" w:eastAsia="AdvTT9d794523" w:hAnsi="Times New Roman" w:cs="Times New Roman"/>
          <w:kern w:val="0"/>
          <w:sz w:val="24"/>
          <w:lang w:val="en-GB"/>
        </w:rPr>
        <w:t>Western blotting analyses was performed as described previously. After SDS-PAGE, membranes blotted with proteins were incubated with anti-DEPDC1 (1:500, polyclonal; Abcam), anti-FOXO3a (1:1000, polyclonal; Cell Signalling Technology), anti-phospho-FOXO3a (1:1000, polyclonal; Cell Signalling Technology), anti-EEF1A1 (1:2000, monoclonal; Abcam), anti-cyclin D1 (1:1000, monoclonal; Cell Signalling Technology), and</w:t>
      </w:r>
      <w:r w:rsidRPr="002D52E7">
        <w:rPr>
          <w:rFonts w:ascii="Times New Roman" w:eastAsia="宋体" w:hAnsi="Times New Roman" w:cs="Times New Roman"/>
          <w:kern w:val="0"/>
          <w:sz w:val="24"/>
        </w:rPr>
        <w:t xml:space="preserve"> </w:t>
      </w:r>
      <w:r w:rsidRPr="002D52E7">
        <w:rPr>
          <w:rFonts w:ascii="Times New Roman" w:eastAsia="AdvTT9d794523 + 03" w:hAnsi="Times New Roman" w:cs="Times New Roman"/>
          <w:kern w:val="0"/>
          <w:sz w:val="24"/>
          <w:lang w:val="en-GB"/>
        </w:rPr>
        <w:t>β</w:t>
      </w:r>
      <w:r w:rsidRPr="002D52E7">
        <w:rPr>
          <w:rFonts w:ascii="Times New Roman" w:eastAsia="AdvTT9d794523" w:hAnsi="Times New Roman" w:cs="Times New Roman"/>
          <w:kern w:val="0"/>
          <w:sz w:val="24"/>
          <w:lang w:val="en-GB"/>
        </w:rPr>
        <w:t>-actin (ACTB; Santa Cruz Biotechnology) antibodies using standard procedures.</w:t>
      </w:r>
    </w:p>
    <w:p w14:paraId="6D9F3A98" w14:textId="77777777" w:rsidR="001E381A" w:rsidRPr="002D52E7" w:rsidRDefault="001E381A" w:rsidP="001E381A">
      <w:pPr>
        <w:widowControl/>
        <w:spacing w:line="360" w:lineRule="auto"/>
        <w:rPr>
          <w:rFonts w:ascii="Times New Roman" w:eastAsia="宋体" w:hAnsi="Times New Roman" w:cs="Times New Roman"/>
          <w:sz w:val="24"/>
          <w:lang w:val="en-GB"/>
        </w:rPr>
      </w:pPr>
    </w:p>
    <w:p w14:paraId="1097CEC9" w14:textId="77777777" w:rsidR="001E381A" w:rsidRPr="002D52E7" w:rsidRDefault="001E381A" w:rsidP="001E381A">
      <w:pPr>
        <w:widowControl/>
        <w:spacing w:line="360" w:lineRule="auto"/>
        <w:rPr>
          <w:rFonts w:ascii="Times New Roman" w:eastAsia="宋体" w:hAnsi="Times New Roman" w:cs="Times New Roman"/>
          <w:b/>
          <w:bCs/>
          <w:sz w:val="24"/>
          <w:lang w:val="en-GB"/>
        </w:rPr>
      </w:pPr>
      <w:bookmarkStart w:id="10" w:name="_Hlk33650308"/>
      <w:r w:rsidRPr="002D52E7">
        <w:rPr>
          <w:rFonts w:ascii="Times New Roman" w:eastAsia="宋体" w:hAnsi="Times New Roman" w:cs="Times New Roman"/>
          <w:b/>
          <w:bCs/>
          <w:sz w:val="24"/>
          <w:lang w:val="en-GB"/>
        </w:rPr>
        <w:t>Immunohistochemical staining and scoring</w:t>
      </w:r>
    </w:p>
    <w:bookmarkEnd w:id="10"/>
    <w:p w14:paraId="2AE4A859" w14:textId="77777777" w:rsidR="001E381A" w:rsidRPr="002D52E7" w:rsidRDefault="001E381A" w:rsidP="001E381A">
      <w:pPr>
        <w:widowControl/>
        <w:spacing w:line="360" w:lineRule="auto"/>
        <w:rPr>
          <w:rFonts w:ascii="Times New Roman" w:eastAsia="宋体" w:hAnsi="Times New Roman" w:cs="Times New Roman"/>
          <w:b/>
          <w:bCs/>
          <w:sz w:val="24"/>
          <w:lang w:val="en-GB"/>
        </w:rPr>
      </w:pPr>
      <w:r w:rsidRPr="002D52E7">
        <w:rPr>
          <w:rFonts w:ascii="Times New Roman" w:eastAsia="宋体" w:hAnsi="Times New Roman" w:cs="Times New Roman"/>
          <w:sz w:val="24"/>
          <w:lang w:val="en-GB"/>
        </w:rPr>
        <w:t>Immunohistochemical staining and analysis were performed with antibodies against human DEPDC1 (1:100;</w:t>
      </w:r>
      <w:r w:rsidRPr="002D52E7">
        <w:rPr>
          <w:rFonts w:ascii="Times New Roman" w:eastAsia="AdvTT9d794523" w:hAnsi="Times New Roman" w:cs="Times New Roman"/>
          <w:kern w:val="0"/>
          <w:sz w:val="24"/>
          <w:lang w:val="en-GB"/>
        </w:rPr>
        <w:t xml:space="preserve"> Abcam</w:t>
      </w:r>
      <w:r w:rsidRPr="002D52E7">
        <w:rPr>
          <w:rFonts w:ascii="Times New Roman" w:eastAsia="宋体" w:hAnsi="Times New Roman" w:cs="Times New Roman"/>
          <w:sz w:val="24"/>
          <w:lang w:val="en-GB"/>
        </w:rPr>
        <w:t xml:space="preserve">), EEF1A1 (1:100; </w:t>
      </w:r>
      <w:r w:rsidRPr="002D52E7">
        <w:rPr>
          <w:rFonts w:ascii="Times New Roman" w:eastAsia="AdvTT9d794523" w:hAnsi="Times New Roman" w:cs="Times New Roman"/>
          <w:kern w:val="0"/>
          <w:sz w:val="24"/>
          <w:lang w:val="en-GB"/>
        </w:rPr>
        <w:t>Abcam</w:t>
      </w:r>
      <w:r w:rsidRPr="002D52E7">
        <w:rPr>
          <w:rFonts w:ascii="Times New Roman" w:eastAsia="宋体" w:hAnsi="Times New Roman" w:cs="Times New Roman"/>
          <w:sz w:val="24"/>
          <w:lang w:val="en-GB"/>
        </w:rPr>
        <w:t xml:space="preserve">), and FOXO3a (1:3000; </w:t>
      </w:r>
      <w:r w:rsidRPr="002D52E7">
        <w:rPr>
          <w:rFonts w:ascii="Times New Roman" w:eastAsia="AdvTT9d794523" w:hAnsi="Times New Roman" w:cs="Times New Roman"/>
          <w:kern w:val="0"/>
          <w:sz w:val="24"/>
          <w:lang w:val="en-GB"/>
        </w:rPr>
        <w:t>Cell Signalling Technology</w:t>
      </w:r>
      <w:r w:rsidRPr="002D52E7">
        <w:rPr>
          <w:rFonts w:ascii="Times New Roman" w:eastAsia="宋体" w:hAnsi="Times New Roman" w:cs="Times New Roman"/>
          <w:sz w:val="24"/>
          <w:lang w:val="en-GB"/>
        </w:rPr>
        <w:t xml:space="preserve">). Immunohistochemical analysis of the specimens was performed with antibodies against human hTERT (dilution 1:50; Affinity, California, USA), FOXO3a (dilution 1:50; Affinity), and ITGB1 (1:50; Affinity). </w:t>
      </w:r>
      <w:r w:rsidRPr="002D52E7">
        <w:rPr>
          <w:rFonts w:ascii="Times New Roman" w:eastAsia="AdvTTb20e5d60" w:hAnsi="Times New Roman" w:cs="Times New Roman"/>
          <w:kern w:val="0"/>
          <w:sz w:val="24"/>
          <w:lang w:val="en-GB"/>
        </w:rPr>
        <w:t xml:space="preserve">We used </w:t>
      </w:r>
      <w:r w:rsidRPr="002D52E7">
        <w:rPr>
          <w:rFonts w:ascii="Times New Roman" w:eastAsia="宋体" w:hAnsi="Times New Roman" w:cs="Times New Roman"/>
          <w:sz w:val="24"/>
          <w:lang w:val="en-GB"/>
        </w:rPr>
        <w:t xml:space="preserve">QuantCenter </w:t>
      </w:r>
      <w:r w:rsidRPr="002D52E7">
        <w:rPr>
          <w:rFonts w:ascii="Times New Roman" w:eastAsia="AdvTTb20e5d60" w:hAnsi="Times New Roman" w:cs="Times New Roman"/>
          <w:kern w:val="0"/>
          <w:sz w:val="24"/>
          <w:lang w:val="en-GB"/>
        </w:rPr>
        <w:t xml:space="preserve">software </w:t>
      </w:r>
      <w:r w:rsidRPr="002D52E7">
        <w:rPr>
          <w:rFonts w:ascii="Times New Roman" w:eastAsia="宋体" w:hAnsi="Times New Roman" w:cs="Times New Roman"/>
          <w:sz w:val="24"/>
          <w:lang w:val="en-GB"/>
        </w:rPr>
        <w:t xml:space="preserve">(v 2.0, Hungary) </w:t>
      </w:r>
      <w:r w:rsidRPr="002D52E7">
        <w:rPr>
          <w:rFonts w:ascii="Times New Roman" w:eastAsia="AdvTTb20e5d60" w:hAnsi="Times New Roman" w:cs="Times New Roman"/>
          <w:kern w:val="0"/>
          <w:sz w:val="24"/>
          <w:lang w:val="en-GB"/>
        </w:rPr>
        <w:t xml:space="preserve">and </w:t>
      </w:r>
      <w:r w:rsidRPr="002D52E7">
        <w:rPr>
          <w:rFonts w:ascii="Times New Roman" w:eastAsia="宋体" w:hAnsi="Times New Roman" w:cs="Times New Roman"/>
          <w:sz w:val="24"/>
          <w:lang w:val="en-GB"/>
        </w:rPr>
        <w:t xml:space="preserve">Pannoramic Viewer </w:t>
      </w:r>
      <w:r w:rsidRPr="002D52E7">
        <w:rPr>
          <w:rFonts w:ascii="Times New Roman" w:eastAsia="AdvTTb20e5d60" w:hAnsi="Times New Roman" w:cs="Times New Roman"/>
          <w:kern w:val="0"/>
          <w:sz w:val="24"/>
          <w:lang w:val="en-GB"/>
        </w:rPr>
        <w:t>software (</w:t>
      </w:r>
      <w:r w:rsidRPr="002D52E7">
        <w:rPr>
          <w:rFonts w:ascii="Times New Roman" w:eastAsia="宋体" w:hAnsi="Times New Roman" w:cs="Times New Roman"/>
          <w:sz w:val="24"/>
          <w:lang w:val="en-GB"/>
        </w:rPr>
        <w:t>v</w:t>
      </w:r>
      <w:r w:rsidRPr="002D52E7">
        <w:rPr>
          <w:rFonts w:ascii="Times New Roman" w:eastAsia="AdvTTb20e5d60" w:hAnsi="Times New Roman" w:cs="Times New Roman"/>
          <w:kern w:val="0"/>
          <w:sz w:val="24"/>
          <w:lang w:val="en-GB"/>
        </w:rPr>
        <w:t>1.15.4</w:t>
      </w:r>
      <w:r w:rsidRPr="002D52E7">
        <w:rPr>
          <w:rFonts w:ascii="Times New Roman" w:eastAsia="宋体" w:hAnsi="Times New Roman" w:cs="Times New Roman"/>
          <w:sz w:val="24"/>
          <w:lang w:val="en-GB"/>
        </w:rPr>
        <w:t xml:space="preserve">, </w:t>
      </w:r>
      <w:r w:rsidRPr="002D52E7">
        <w:rPr>
          <w:rFonts w:ascii="Times New Roman" w:eastAsia="宋体" w:hAnsi="Times New Roman" w:cs="Times New Roman"/>
          <w:sz w:val="24"/>
          <w:lang w:val="en-GB"/>
        </w:rPr>
        <w:lastRenderedPageBreak/>
        <w:t>Hungary</w:t>
      </w:r>
      <w:r w:rsidRPr="002D52E7">
        <w:rPr>
          <w:rFonts w:ascii="Times New Roman" w:eastAsia="AdvTTb20e5d60" w:hAnsi="Times New Roman" w:cs="Times New Roman"/>
          <w:kern w:val="0"/>
          <w:sz w:val="24"/>
          <w:lang w:val="en-GB"/>
        </w:rPr>
        <w:t xml:space="preserve">) to quantitatively score tissue slices. </w:t>
      </w:r>
      <w:r w:rsidRPr="002D52E7">
        <w:rPr>
          <w:rFonts w:ascii="Times New Roman" w:eastAsia="宋体" w:hAnsi="Times New Roman" w:cs="Times New Roman"/>
          <w:sz w:val="24"/>
          <w:lang w:val="en-GB"/>
        </w:rPr>
        <w:t>H-score (histochemistry score) is a histological scoring method for immunohistochemistry results. The number of positive cells and their staining intensity in each section were transformed into corresponding values to achieve the purpose of semi-quantitative staining. H-SCORE=∑(PI×I)=(percentage of cells of weak intensity×1)+(percentage of cells of moderate intensity×2)+ (percentage of cells of strong intensity×3). PI represents the percentage of positive cells in all cells in the section; I represents the staining intensity.</w:t>
      </w:r>
    </w:p>
    <w:p w14:paraId="211B2212" w14:textId="77777777" w:rsidR="001E381A" w:rsidRPr="002D52E7" w:rsidRDefault="001E381A" w:rsidP="001E381A">
      <w:pPr>
        <w:widowControl/>
        <w:spacing w:line="360" w:lineRule="auto"/>
        <w:rPr>
          <w:rFonts w:ascii="Times New Roman" w:eastAsia="宋体" w:hAnsi="Times New Roman" w:cs="Times New Roman"/>
          <w:b/>
          <w:bCs/>
          <w:sz w:val="24"/>
          <w:lang w:val="en-GB"/>
        </w:rPr>
      </w:pPr>
    </w:p>
    <w:p w14:paraId="28F6C7CF" w14:textId="77777777" w:rsidR="001E381A" w:rsidRPr="002D52E7" w:rsidRDefault="001E381A" w:rsidP="001E381A">
      <w:pPr>
        <w:widowControl/>
        <w:spacing w:line="360" w:lineRule="auto"/>
        <w:rPr>
          <w:rFonts w:ascii="Times New Roman" w:eastAsia="宋体" w:hAnsi="Times New Roman" w:cs="Times New Roman"/>
          <w:b/>
          <w:bCs/>
          <w:sz w:val="24"/>
          <w:lang w:val="en-GB"/>
        </w:rPr>
      </w:pPr>
      <w:bookmarkStart w:id="11" w:name="_Hlk33650319"/>
      <w:r w:rsidRPr="002D52E7">
        <w:rPr>
          <w:rFonts w:ascii="Times New Roman" w:eastAsia="宋体" w:hAnsi="Times New Roman" w:cs="Times New Roman"/>
          <w:b/>
          <w:bCs/>
          <w:sz w:val="24"/>
          <w:lang w:val="en-GB"/>
        </w:rPr>
        <w:t>Cell proliferation assay</w:t>
      </w:r>
    </w:p>
    <w:bookmarkEnd w:id="11"/>
    <w:p w14:paraId="1E5C1DAD" w14:textId="77777777" w:rsidR="001E381A" w:rsidRPr="002D52E7" w:rsidRDefault="001E381A" w:rsidP="001E381A">
      <w:pPr>
        <w:widowControl/>
        <w:spacing w:line="360" w:lineRule="auto"/>
        <w:rPr>
          <w:rFonts w:ascii="Times New Roman" w:eastAsia="宋体" w:hAnsi="Times New Roman" w:cs="Times New Roman"/>
          <w:b/>
          <w:bCs/>
          <w:sz w:val="24"/>
          <w:lang w:val="en-GB"/>
        </w:rPr>
      </w:pPr>
      <w:r w:rsidRPr="002D52E7">
        <w:rPr>
          <w:rFonts w:ascii="Times New Roman" w:eastAsia="宋体" w:hAnsi="Times New Roman" w:cs="Times New Roman"/>
          <w:sz w:val="24"/>
          <w:lang w:val="en-GB"/>
        </w:rPr>
        <w:t>Cell proliferation was measured by adherent Celigo cell cytometry detection and MTT assay. Briefly, HOS cells infected with either shCtrl or DEPDC1-siRNA lentivirus were tested according to standard procedures.</w:t>
      </w:r>
    </w:p>
    <w:p w14:paraId="4EEB48A5" w14:textId="77777777" w:rsidR="001E381A" w:rsidRPr="002D52E7" w:rsidRDefault="001E381A" w:rsidP="001E381A">
      <w:pPr>
        <w:widowControl/>
        <w:spacing w:line="360" w:lineRule="auto"/>
        <w:rPr>
          <w:rFonts w:ascii="Times New Roman" w:eastAsia="宋体" w:hAnsi="Times New Roman" w:cs="Times New Roman"/>
          <w:sz w:val="24"/>
          <w:lang w:val="en-GB"/>
        </w:rPr>
      </w:pPr>
    </w:p>
    <w:p w14:paraId="334EB0C4" w14:textId="77777777" w:rsidR="001E381A" w:rsidRPr="002D52E7" w:rsidRDefault="001E381A" w:rsidP="001E381A">
      <w:pPr>
        <w:widowControl/>
        <w:spacing w:line="360" w:lineRule="auto"/>
        <w:rPr>
          <w:rFonts w:ascii="Times New Roman" w:eastAsia="宋体" w:hAnsi="Times New Roman" w:cs="Times New Roman"/>
          <w:b/>
          <w:bCs/>
          <w:sz w:val="24"/>
          <w:lang w:val="en-GB"/>
        </w:rPr>
      </w:pPr>
      <w:bookmarkStart w:id="12" w:name="_Hlk33650330"/>
      <w:r w:rsidRPr="002D52E7">
        <w:rPr>
          <w:rFonts w:ascii="Times New Roman" w:eastAsia="宋体" w:hAnsi="Times New Roman" w:cs="Times New Roman"/>
          <w:b/>
          <w:bCs/>
          <w:sz w:val="24"/>
          <w:lang w:val="en-GB"/>
        </w:rPr>
        <w:t>Clonogenic survival assay</w:t>
      </w:r>
    </w:p>
    <w:bookmarkEnd w:id="12"/>
    <w:p w14:paraId="6CE02C56" w14:textId="77777777" w:rsidR="001E381A" w:rsidRPr="002D52E7" w:rsidRDefault="001E381A" w:rsidP="001E381A">
      <w:pPr>
        <w:widowControl/>
        <w:spacing w:line="360" w:lineRule="auto"/>
        <w:rPr>
          <w:rFonts w:ascii="Times New Roman" w:eastAsia="宋体" w:hAnsi="Times New Roman" w:cs="Times New Roman"/>
          <w:b/>
          <w:bCs/>
          <w:sz w:val="24"/>
          <w:lang w:val="en-GB"/>
        </w:rPr>
      </w:pPr>
      <w:r w:rsidRPr="002D52E7">
        <w:rPr>
          <w:rFonts w:ascii="Times New Roman" w:eastAsia="宋体" w:hAnsi="Times New Roman" w:cs="Times New Roman"/>
          <w:sz w:val="24"/>
          <w:lang w:val="en-GB"/>
        </w:rPr>
        <w:t>A total of</w:t>
      </w:r>
      <w:r w:rsidRPr="002D52E7">
        <w:rPr>
          <w:rFonts w:ascii="Times New Roman" w:eastAsia="AGaramond-Regular" w:hAnsi="Times New Roman" w:cs="Times New Roman"/>
          <w:kern w:val="0"/>
          <w:sz w:val="24"/>
          <w:lang w:val="en-GB"/>
        </w:rPr>
        <w:t>1×10</w:t>
      </w:r>
      <w:r w:rsidRPr="002D52E7">
        <w:rPr>
          <w:rFonts w:ascii="Times New Roman" w:eastAsia="AGaramond-Regular" w:hAnsi="Times New Roman" w:cs="Times New Roman"/>
          <w:kern w:val="0"/>
          <w:sz w:val="24"/>
          <w:vertAlign w:val="superscript"/>
          <w:lang w:val="en-GB"/>
        </w:rPr>
        <w:t>3</w:t>
      </w:r>
      <w:r w:rsidRPr="002D52E7">
        <w:rPr>
          <w:rFonts w:ascii="Times New Roman" w:eastAsia="AGaramond-Regular" w:hAnsi="Times New Roman" w:cs="Times New Roman"/>
          <w:kern w:val="0"/>
          <w:sz w:val="24"/>
          <w:lang w:val="en-GB"/>
        </w:rPr>
        <w:t xml:space="preserve"> HOS and MG-63 cells infected with shDEPDC1 or shCtrl lentivirus (or DEPDC1, Ctrl, and DEPDC1+siEEF1A1) were inoculated into each well of six-well tissue culture plates. The cells were incubated at 37°C and 5% CO</w:t>
      </w:r>
      <w:r w:rsidRPr="002D52E7">
        <w:rPr>
          <w:rFonts w:ascii="Times New Roman" w:eastAsia="AGaramond-Regular" w:hAnsi="Times New Roman" w:cs="Times New Roman"/>
          <w:kern w:val="0"/>
          <w:sz w:val="24"/>
          <w:vertAlign w:val="subscript"/>
          <w:lang w:val="en-GB"/>
        </w:rPr>
        <w:t>2</w:t>
      </w:r>
      <w:r w:rsidRPr="002D52E7">
        <w:rPr>
          <w:rFonts w:ascii="Times New Roman" w:eastAsia="AGaramond-Regular" w:hAnsi="Times New Roman" w:cs="Times New Roman"/>
          <w:kern w:val="0"/>
          <w:sz w:val="24"/>
          <w:lang w:val="en-GB"/>
        </w:rPr>
        <w:t xml:space="preserve"> for 14 days and the colonies were fixed with 4% paraformaldehyde and stained with Giemsa. Colonies consisting of </w:t>
      </w:r>
      <w:r w:rsidRPr="002D52E7">
        <w:rPr>
          <w:rFonts w:ascii="Times New Roman" w:eastAsia="RMTMI" w:hAnsi="Times New Roman" w:cs="Times New Roman"/>
          <w:i/>
          <w:kern w:val="0"/>
          <w:sz w:val="24"/>
          <w:lang w:val="en-GB"/>
        </w:rPr>
        <w:t>&gt;</w:t>
      </w:r>
      <w:r w:rsidRPr="002D52E7">
        <w:rPr>
          <w:rFonts w:ascii="Times New Roman" w:eastAsia="AGaramond-Regular" w:hAnsi="Times New Roman" w:cs="Times New Roman"/>
          <w:kern w:val="0"/>
          <w:sz w:val="24"/>
          <w:lang w:val="en-GB"/>
        </w:rPr>
        <w:t xml:space="preserve">50 cells were counted. </w:t>
      </w:r>
    </w:p>
    <w:p w14:paraId="6F11D6FA" w14:textId="77777777" w:rsidR="001E381A" w:rsidRPr="002D52E7" w:rsidRDefault="001E381A" w:rsidP="001E381A">
      <w:pPr>
        <w:widowControl/>
        <w:spacing w:line="360" w:lineRule="auto"/>
        <w:rPr>
          <w:rFonts w:ascii="Times New Roman" w:eastAsia="AGaramond-Regular" w:hAnsi="Times New Roman" w:cs="Times New Roman"/>
          <w:kern w:val="0"/>
          <w:sz w:val="24"/>
          <w:lang w:val="en-GB"/>
        </w:rPr>
      </w:pPr>
    </w:p>
    <w:p w14:paraId="1A7118DA" w14:textId="77777777" w:rsidR="001E381A" w:rsidRPr="002D52E7" w:rsidRDefault="001E381A" w:rsidP="001E381A">
      <w:pPr>
        <w:widowControl/>
        <w:spacing w:line="360" w:lineRule="auto"/>
        <w:rPr>
          <w:rFonts w:ascii="Times New Roman" w:hAnsi="Times New Roman" w:cs="Times New Roman"/>
          <w:b/>
          <w:bCs/>
          <w:kern w:val="0"/>
          <w:sz w:val="24"/>
          <w:lang w:val="en-GB"/>
        </w:rPr>
      </w:pPr>
      <w:bookmarkStart w:id="13" w:name="_Hlk33650340"/>
      <w:r w:rsidRPr="002D52E7">
        <w:rPr>
          <w:rFonts w:ascii="Times New Roman" w:eastAsia="AGaramond-Regular" w:hAnsi="Times New Roman" w:cs="Times New Roman"/>
          <w:b/>
          <w:bCs/>
          <w:kern w:val="0"/>
          <w:sz w:val="24"/>
          <w:lang w:val="en-GB"/>
        </w:rPr>
        <w:t>Apoptosis analysis</w:t>
      </w:r>
    </w:p>
    <w:bookmarkEnd w:id="13"/>
    <w:p w14:paraId="7FD3298D" w14:textId="77777777" w:rsidR="001E381A" w:rsidRPr="002D52E7" w:rsidRDefault="001E381A" w:rsidP="001E381A">
      <w:pPr>
        <w:widowControl/>
        <w:spacing w:line="360" w:lineRule="auto"/>
        <w:rPr>
          <w:rFonts w:ascii="Times New Roman" w:eastAsia="AGaramond-Regular" w:hAnsi="Times New Roman" w:cs="Times New Roman"/>
          <w:b/>
          <w:bCs/>
          <w:kern w:val="0"/>
          <w:sz w:val="24"/>
          <w:lang w:val="en-GB"/>
        </w:rPr>
      </w:pPr>
      <w:r w:rsidRPr="002D52E7">
        <w:rPr>
          <w:rFonts w:ascii="Times New Roman" w:eastAsia="AGaramond-Regular" w:hAnsi="Times New Roman" w:cs="Times New Roman"/>
          <w:kern w:val="0"/>
          <w:sz w:val="24"/>
          <w:lang w:val="en-GB"/>
        </w:rPr>
        <w:t>HOS or MG-63 cells were seeded into six-well plates at a density of 1.5×10</w:t>
      </w:r>
      <w:r w:rsidRPr="002D52E7">
        <w:rPr>
          <w:rFonts w:ascii="Times New Roman" w:eastAsia="AGaramond-Regular" w:hAnsi="Times New Roman" w:cs="Times New Roman"/>
          <w:kern w:val="0"/>
          <w:sz w:val="24"/>
          <w:vertAlign w:val="superscript"/>
          <w:lang w:val="en-GB"/>
        </w:rPr>
        <w:t>5</w:t>
      </w:r>
      <w:r w:rsidRPr="002D52E7">
        <w:rPr>
          <w:rFonts w:ascii="Times New Roman" w:eastAsia="AGaramond-Regular" w:hAnsi="Times New Roman" w:cs="Times New Roman"/>
          <w:kern w:val="0"/>
          <w:sz w:val="24"/>
          <w:lang w:val="en-GB"/>
        </w:rPr>
        <w:t xml:space="preserve">cells/well, incubated for 24 h, and divided into shCtrl, shDEPDC1, and shDEPDC1+siFOXO3a groups. After 24 h, the cells from all groups were harvested and washed twice with cold PBS. Apoptotic cells were distinguished by Annexin V-7AAD/PI dual staining and an apoptosis detection kit from Keygen Biotech (Nanjing, China). Flow cytometry was also performed to detect apoptotic cells (FCM, BD FACSCalibur; BD Biosciences). All experiments were performed in triplicate. </w:t>
      </w:r>
    </w:p>
    <w:p w14:paraId="62EDF590" w14:textId="77777777" w:rsidR="001E381A" w:rsidRPr="002D52E7" w:rsidRDefault="001E381A" w:rsidP="001E381A">
      <w:pPr>
        <w:widowControl/>
        <w:spacing w:line="360" w:lineRule="auto"/>
        <w:rPr>
          <w:rFonts w:ascii="Times New Roman" w:eastAsia="宋体" w:hAnsi="Times New Roman" w:cs="Times New Roman"/>
          <w:sz w:val="24"/>
          <w:lang w:val="en-GB"/>
        </w:rPr>
      </w:pPr>
    </w:p>
    <w:p w14:paraId="5DF29284" w14:textId="77777777" w:rsidR="001E381A" w:rsidRPr="002D52E7" w:rsidRDefault="001E381A" w:rsidP="001E381A">
      <w:pPr>
        <w:widowControl/>
        <w:spacing w:line="360" w:lineRule="auto"/>
        <w:rPr>
          <w:rFonts w:ascii="Times New Roman" w:hAnsi="Times New Roman" w:cs="Times New Roman"/>
          <w:b/>
          <w:bCs/>
          <w:kern w:val="0"/>
          <w:sz w:val="24"/>
          <w:lang w:val="en-GB"/>
        </w:rPr>
      </w:pPr>
      <w:bookmarkStart w:id="14" w:name="_Hlk33650349"/>
      <w:r w:rsidRPr="002D52E7">
        <w:rPr>
          <w:rFonts w:ascii="Times New Roman" w:eastAsia="AdvOTcb88df00" w:hAnsi="Times New Roman" w:cs="Times New Roman"/>
          <w:b/>
          <w:bCs/>
          <w:kern w:val="0"/>
          <w:sz w:val="24"/>
          <w:lang w:val="en-GB"/>
        </w:rPr>
        <w:t>Wound healing assay</w:t>
      </w:r>
    </w:p>
    <w:bookmarkEnd w:id="14"/>
    <w:p w14:paraId="3DEBBFCC" w14:textId="77777777" w:rsidR="001E381A" w:rsidRPr="002D52E7" w:rsidRDefault="001E381A" w:rsidP="001E381A">
      <w:pPr>
        <w:widowControl/>
        <w:spacing w:line="360" w:lineRule="auto"/>
        <w:rPr>
          <w:rFonts w:ascii="Times New Roman" w:eastAsia="宋体" w:hAnsi="Times New Roman" w:cs="Times New Roman"/>
          <w:sz w:val="24"/>
          <w:lang w:val="en-GB"/>
        </w:rPr>
      </w:pPr>
      <w:r w:rsidRPr="002D52E7">
        <w:rPr>
          <w:rFonts w:ascii="Times New Roman" w:hAnsi="Times New Roman" w:cs="Times New Roman"/>
          <w:kern w:val="0"/>
          <w:sz w:val="24"/>
          <w:lang w:val="en-GB"/>
        </w:rPr>
        <w:lastRenderedPageBreak/>
        <w:t>A total of</w:t>
      </w:r>
      <w:r w:rsidRPr="002D52E7">
        <w:rPr>
          <w:rFonts w:ascii="Times New Roman" w:eastAsia="AGaramond-Regular" w:hAnsi="Times New Roman" w:cs="Times New Roman"/>
          <w:kern w:val="0"/>
          <w:sz w:val="24"/>
          <w:lang w:val="en-GB"/>
        </w:rPr>
        <w:t>1.5</w:t>
      </w:r>
      <w:r w:rsidRPr="002D52E7">
        <w:rPr>
          <w:rFonts w:ascii="Times New Roman" w:eastAsia="MTSY" w:hAnsi="Times New Roman" w:cs="Times New Roman"/>
          <w:kern w:val="0"/>
          <w:sz w:val="24"/>
          <w:lang w:val="en-GB"/>
        </w:rPr>
        <w:t>×</w:t>
      </w:r>
      <w:r w:rsidRPr="002D52E7">
        <w:rPr>
          <w:rFonts w:ascii="Times New Roman" w:eastAsia="AGaramond-Regular" w:hAnsi="Times New Roman" w:cs="Times New Roman"/>
          <w:kern w:val="0"/>
          <w:sz w:val="24"/>
          <w:lang w:val="en-GB"/>
        </w:rPr>
        <w:t>10</w:t>
      </w:r>
      <w:r w:rsidRPr="002D52E7">
        <w:rPr>
          <w:rFonts w:ascii="Times New Roman" w:eastAsia="AGaramond-Regular" w:hAnsi="Times New Roman" w:cs="Times New Roman"/>
          <w:kern w:val="0"/>
          <w:sz w:val="24"/>
          <w:vertAlign w:val="superscript"/>
          <w:lang w:val="en-GB"/>
        </w:rPr>
        <w:t>6</w:t>
      </w:r>
      <w:r w:rsidRPr="002D52E7">
        <w:rPr>
          <w:rFonts w:ascii="Times New Roman" w:eastAsia="AGaramond-Regular" w:hAnsi="Times New Roman" w:cs="Times New Roman"/>
          <w:kern w:val="0"/>
          <w:sz w:val="24"/>
          <w:lang w:val="en-GB"/>
        </w:rPr>
        <w:t xml:space="preserve"> HOS or MG-63 cells in log phase were seeded into each well of a </w:t>
      </w:r>
      <w:r w:rsidRPr="002D52E7">
        <w:rPr>
          <w:rFonts w:ascii="Times New Roman" w:eastAsia="AdvOT1ef757c0" w:hAnsi="Times New Roman" w:cs="Times New Roman"/>
          <w:kern w:val="0"/>
          <w:sz w:val="24"/>
          <w:lang w:val="en-GB"/>
        </w:rPr>
        <w:t>six-well plate</w:t>
      </w:r>
      <w:r w:rsidRPr="002D52E7">
        <w:rPr>
          <w:rFonts w:ascii="Times New Roman" w:eastAsia="AGaramond-Regular" w:hAnsi="Times New Roman" w:cs="Times New Roman"/>
          <w:kern w:val="0"/>
          <w:sz w:val="24"/>
          <w:lang w:val="en-GB"/>
        </w:rPr>
        <w:t xml:space="preserve"> and divided into shCtrl, shDEPDC1, shDEPDC1+ siFOXO3a, DEPDC1, Ctrl, and DEPDC1+ siEEF1A1 groups. When the cell density reached approximately 80%, cells from all four groups were rinsed twice with phosphate-buffered saline</w:t>
      </w:r>
      <w:r w:rsidRPr="002D52E7">
        <w:rPr>
          <w:rFonts w:ascii="Times New Roman" w:eastAsia="宋体" w:hAnsi="Times New Roman" w:cs="Times New Roman"/>
          <w:kern w:val="0"/>
          <w:sz w:val="24"/>
        </w:rPr>
        <w:t xml:space="preserve"> (</w:t>
      </w:r>
      <w:r w:rsidRPr="002D52E7">
        <w:rPr>
          <w:rFonts w:ascii="Times New Roman" w:eastAsia="AGaramond-Regular" w:hAnsi="Times New Roman" w:cs="Times New Roman"/>
          <w:kern w:val="0"/>
          <w:sz w:val="24"/>
          <w:lang w:val="en-GB"/>
        </w:rPr>
        <w:t>PBS</w:t>
      </w:r>
      <w:r w:rsidRPr="002D52E7">
        <w:rPr>
          <w:rStyle w:val="a3"/>
          <w:rFonts w:ascii="Times New Roman" w:hAnsi="Times New Roman" w:cs="Times New Roman"/>
        </w:rPr>
        <w:t>)</w:t>
      </w:r>
      <w:r w:rsidRPr="002D52E7">
        <w:rPr>
          <w:rFonts w:ascii="Times New Roman" w:eastAsia="AGaramond-Regular" w:hAnsi="Times New Roman" w:cs="Times New Roman"/>
          <w:kern w:val="0"/>
          <w:sz w:val="24"/>
          <w:lang w:val="en-GB"/>
        </w:rPr>
        <w:t xml:space="preserve"> and wounded (scratched) with a pipette tip. The cells were imaged and the total initial wounded area, S0h, was calculated using ImageJ software (NIH, MS, USA). Cells were cultured in serum-free medium for 48h. The cells were imaged and the total final wounded area, S48h, and the percentage of wound closure (1-[S0h–S48h]</w:t>
      </w:r>
      <w:r w:rsidRPr="002D52E7">
        <w:rPr>
          <w:rFonts w:ascii="Times New Roman" w:eastAsia="RMTMI" w:hAnsi="Times New Roman" w:cs="Times New Roman"/>
          <w:i/>
          <w:kern w:val="0"/>
          <w:sz w:val="24"/>
          <w:lang w:val="en-GB"/>
        </w:rPr>
        <w:t xml:space="preserve">/ </w:t>
      </w:r>
      <w:r w:rsidRPr="002D52E7">
        <w:rPr>
          <w:rFonts w:ascii="Times New Roman" w:eastAsia="AGaramond-Regular" w:hAnsi="Times New Roman" w:cs="Times New Roman"/>
          <w:kern w:val="0"/>
          <w:sz w:val="24"/>
          <w:lang w:val="en-GB"/>
        </w:rPr>
        <w:t>S0h) were calculated.</w:t>
      </w:r>
    </w:p>
    <w:p w14:paraId="1829D9E4" w14:textId="77777777" w:rsidR="001E381A" w:rsidRPr="002D52E7" w:rsidRDefault="001E381A" w:rsidP="001E381A">
      <w:pPr>
        <w:widowControl/>
        <w:spacing w:line="360" w:lineRule="auto"/>
        <w:rPr>
          <w:rFonts w:ascii="Times New Roman" w:eastAsia="NndpsgAdvTTa351d857 . B" w:hAnsi="Times New Roman" w:cs="Times New Roman"/>
          <w:b/>
          <w:bCs/>
          <w:kern w:val="0"/>
          <w:sz w:val="24"/>
          <w:lang w:val="en-GB"/>
        </w:rPr>
      </w:pPr>
    </w:p>
    <w:p w14:paraId="1898BF12" w14:textId="77777777" w:rsidR="001E381A" w:rsidRPr="002D52E7" w:rsidRDefault="001E381A" w:rsidP="001E381A">
      <w:pPr>
        <w:widowControl/>
        <w:spacing w:line="360" w:lineRule="auto"/>
        <w:rPr>
          <w:rFonts w:ascii="Times New Roman" w:hAnsi="Times New Roman" w:cs="Times New Roman"/>
          <w:b/>
          <w:bCs/>
          <w:kern w:val="0"/>
          <w:sz w:val="24"/>
          <w:lang w:val="en-GB"/>
        </w:rPr>
      </w:pPr>
      <w:bookmarkStart w:id="15" w:name="_Hlk33650358"/>
      <w:bookmarkStart w:id="16" w:name="_Hlk33647442"/>
      <w:r w:rsidRPr="002D52E7">
        <w:rPr>
          <w:rFonts w:ascii="Times New Roman" w:eastAsia="AdvOTcb88df00" w:hAnsi="Times New Roman" w:cs="Times New Roman"/>
          <w:b/>
          <w:bCs/>
          <w:kern w:val="0"/>
          <w:sz w:val="24"/>
          <w:lang w:val="en-GB"/>
        </w:rPr>
        <w:t>Plasmids</w:t>
      </w:r>
    </w:p>
    <w:bookmarkEnd w:id="15"/>
    <w:p w14:paraId="36E6D4B4" w14:textId="77777777" w:rsidR="001E381A" w:rsidRPr="002D52E7" w:rsidRDefault="001E381A" w:rsidP="001E381A">
      <w:pPr>
        <w:widowControl/>
        <w:spacing w:line="360" w:lineRule="auto"/>
        <w:rPr>
          <w:rFonts w:ascii="Times New Roman" w:eastAsia="AdvOT1ef757c0" w:hAnsi="Times New Roman" w:cs="Times New Roman"/>
          <w:b/>
          <w:bCs/>
          <w:kern w:val="0"/>
          <w:sz w:val="24"/>
          <w:lang w:val="en-GB"/>
        </w:rPr>
      </w:pPr>
      <w:r w:rsidRPr="002D52E7">
        <w:rPr>
          <w:rFonts w:ascii="Times New Roman" w:eastAsia="AdvOTc9c0ed35 . B" w:hAnsi="Times New Roman" w:cs="Times New Roman"/>
          <w:kern w:val="0"/>
          <w:sz w:val="24"/>
          <w:lang w:val="en-GB"/>
        </w:rPr>
        <w:t xml:space="preserve">The construction of </w:t>
      </w:r>
      <w:r w:rsidRPr="002D52E7">
        <w:rPr>
          <w:rFonts w:ascii="Times New Roman" w:eastAsia="AdvOTc9c0ed35 . B" w:hAnsi="Times New Roman" w:cs="Times New Roman"/>
          <w:i/>
          <w:iCs/>
          <w:kern w:val="0"/>
          <w:sz w:val="24"/>
          <w:lang w:val="en-GB"/>
        </w:rPr>
        <w:t>DEPDC1</w:t>
      </w:r>
      <w:r w:rsidRPr="002D52E7">
        <w:rPr>
          <w:rFonts w:ascii="Times New Roman" w:eastAsia="AdvOTc9c0ed35 . B" w:hAnsi="Times New Roman" w:cs="Times New Roman"/>
          <w:kern w:val="0"/>
          <w:sz w:val="24"/>
          <w:lang w:val="en-GB"/>
        </w:rPr>
        <w:t xml:space="preserve"> plasmid and four segments of its full-length sequence (15–106, 107–180, 181–406, 407–527) are listed in</w:t>
      </w:r>
      <w:r w:rsidRPr="00986BBC">
        <w:rPr>
          <w:rFonts w:ascii="Times New Roman" w:eastAsia="宋体" w:hAnsi="Times New Roman" w:cs="Times New Roman"/>
          <w:kern w:val="0"/>
          <w:sz w:val="24"/>
        </w:rPr>
        <w:t xml:space="preserve"> </w:t>
      </w:r>
      <w:r w:rsidR="00986BBC" w:rsidRPr="00986BBC">
        <w:rPr>
          <w:rFonts w:ascii="Times New Roman" w:eastAsia="AdvTT9d794523" w:hAnsi="Times New Roman" w:cs="Times New Roman"/>
          <w:kern w:val="0"/>
          <w:sz w:val="24"/>
          <w:lang w:val="en-GB"/>
        </w:rPr>
        <w:t xml:space="preserve">Additional file 3: </w:t>
      </w:r>
      <w:r w:rsidR="00986BBC" w:rsidRPr="00986BBC">
        <w:rPr>
          <w:rFonts w:ascii="Times New Roman" w:hAnsi="Times New Roman" w:cs="Times New Roman"/>
          <w:sz w:val="24"/>
          <w:lang w:val="en-GB"/>
        </w:rPr>
        <w:t>Supplementary Table S1</w:t>
      </w:r>
      <w:r w:rsidRPr="00986BBC">
        <w:rPr>
          <w:rFonts w:ascii="Times New Roman" w:eastAsia="AdvOTc9c0ed35 . B" w:hAnsi="Times New Roman" w:cs="Times New Roman"/>
          <w:kern w:val="0"/>
          <w:sz w:val="24"/>
          <w:lang w:val="en-GB"/>
        </w:rPr>
        <w:t>.</w:t>
      </w:r>
      <w:r w:rsidRPr="002D52E7">
        <w:rPr>
          <w:rFonts w:ascii="Times New Roman" w:eastAsia="AdvOTc9c0ed35 . B" w:hAnsi="Times New Roman" w:cs="Times New Roman"/>
          <w:kern w:val="0"/>
          <w:sz w:val="24"/>
          <w:lang w:val="en-GB"/>
        </w:rPr>
        <w:t xml:space="preserve"> </w:t>
      </w:r>
      <w:r w:rsidRPr="002D52E7">
        <w:rPr>
          <w:rFonts w:ascii="Times New Roman" w:eastAsia="ThjlhlAdvTT3713a231" w:hAnsi="Times New Roman" w:cs="Times New Roman"/>
          <w:kern w:val="0"/>
          <w:sz w:val="24"/>
          <w:lang w:val="en-GB"/>
        </w:rPr>
        <w:t>The construction of plasmids containing EEF1A1/siEEF1A1/siFOXO3a is also listed in</w:t>
      </w:r>
      <w:r w:rsidR="00B530FA">
        <w:rPr>
          <w:rFonts w:ascii="Times New Roman" w:eastAsia="宋体" w:hAnsi="Times New Roman" w:cs="Times New Roman"/>
          <w:kern w:val="0"/>
          <w:sz w:val="24"/>
        </w:rPr>
        <w:t xml:space="preserve"> </w:t>
      </w:r>
      <w:r w:rsidR="00B530FA" w:rsidRPr="00B530FA">
        <w:rPr>
          <w:rFonts w:ascii="Times New Roman" w:hAnsi="Times New Roman" w:cs="Times New Roman"/>
          <w:sz w:val="24"/>
          <w:lang w:val="en-GB"/>
        </w:rPr>
        <w:t>Additional file 3: Supplementary Table S1 and Additional file 4: Supplementary Fig. S3b.</w:t>
      </w:r>
    </w:p>
    <w:bookmarkEnd w:id="16"/>
    <w:p w14:paraId="507ADBF3" w14:textId="77777777" w:rsidR="001E381A" w:rsidRPr="002D52E7" w:rsidRDefault="001E381A" w:rsidP="001E381A">
      <w:pPr>
        <w:widowControl/>
        <w:spacing w:line="360" w:lineRule="auto"/>
        <w:rPr>
          <w:rFonts w:ascii="Times New Roman" w:eastAsia="NndpsgAdvTTa351d857 . B" w:hAnsi="Times New Roman" w:cs="Times New Roman"/>
          <w:b/>
          <w:bCs/>
          <w:kern w:val="0"/>
          <w:sz w:val="24"/>
          <w:lang w:val="en-GB"/>
        </w:rPr>
      </w:pPr>
    </w:p>
    <w:p w14:paraId="1454DBF6" w14:textId="77777777" w:rsidR="001E381A" w:rsidRPr="002D52E7" w:rsidRDefault="001E381A" w:rsidP="001E381A">
      <w:pPr>
        <w:widowControl/>
        <w:spacing w:line="360" w:lineRule="auto"/>
        <w:rPr>
          <w:rFonts w:ascii="Times New Roman" w:hAnsi="Times New Roman" w:cs="Times New Roman"/>
          <w:kern w:val="0"/>
          <w:sz w:val="24"/>
          <w:lang w:val="en-GB"/>
        </w:rPr>
      </w:pPr>
      <w:bookmarkStart w:id="17" w:name="_Hlk33650379"/>
      <w:r w:rsidRPr="002D52E7">
        <w:rPr>
          <w:rFonts w:ascii="Times New Roman" w:eastAsia="NndpsgAdvTTa351d857 . B" w:hAnsi="Times New Roman" w:cs="Times New Roman"/>
          <w:b/>
          <w:bCs/>
          <w:kern w:val="0"/>
          <w:sz w:val="24"/>
          <w:lang w:val="en-GB"/>
        </w:rPr>
        <w:t>Immunoprecipitation</w:t>
      </w:r>
    </w:p>
    <w:bookmarkEnd w:id="17"/>
    <w:p w14:paraId="16872850" w14:textId="77777777" w:rsidR="001E381A" w:rsidRPr="002D52E7" w:rsidRDefault="001E381A" w:rsidP="001E381A">
      <w:pPr>
        <w:widowControl/>
        <w:spacing w:line="360" w:lineRule="auto"/>
        <w:rPr>
          <w:rFonts w:ascii="Times New Roman" w:eastAsia="AdvTT9d794523" w:hAnsi="Times New Roman" w:cs="Times New Roman"/>
          <w:kern w:val="0"/>
          <w:sz w:val="24"/>
          <w:lang w:val="en-GB"/>
        </w:rPr>
      </w:pPr>
      <w:r w:rsidRPr="002D52E7">
        <w:rPr>
          <w:rFonts w:ascii="Times New Roman" w:eastAsia="AdvTT9d794523" w:hAnsi="Times New Roman" w:cs="Times New Roman"/>
          <w:kern w:val="0"/>
          <w:sz w:val="24"/>
          <w:lang w:val="en-GB"/>
        </w:rPr>
        <w:t xml:space="preserve">293T and HOS cells were co-transfected with </w:t>
      </w:r>
      <w:r w:rsidRPr="002D52E7">
        <w:rPr>
          <w:rFonts w:ascii="Times New Roman" w:eastAsia="ThjlhlAdvTT3713a231" w:hAnsi="Times New Roman" w:cs="Times New Roman"/>
          <w:kern w:val="0"/>
          <w:sz w:val="24"/>
          <w:lang w:val="en-GB"/>
        </w:rPr>
        <w:t>FLAG-tagged-</w:t>
      </w:r>
      <w:r w:rsidRPr="002D52E7">
        <w:rPr>
          <w:rFonts w:ascii="Times New Roman" w:eastAsia="ThjlhlAdvTT3713a231" w:hAnsi="Times New Roman" w:cs="Times New Roman"/>
          <w:i/>
          <w:iCs/>
          <w:kern w:val="0"/>
          <w:sz w:val="24"/>
          <w:lang w:val="en-GB"/>
        </w:rPr>
        <w:t>DEPDC1</w:t>
      </w:r>
      <w:r w:rsidRPr="002D52E7">
        <w:rPr>
          <w:rFonts w:ascii="Times New Roman" w:eastAsia="ThjlhlAdvTT3713a231" w:hAnsi="Times New Roman" w:cs="Times New Roman"/>
          <w:kern w:val="0"/>
          <w:sz w:val="24"/>
          <w:lang w:val="en-GB"/>
        </w:rPr>
        <w:t>, its four segments (</w:t>
      </w:r>
      <w:r w:rsidRPr="002D52E7">
        <w:rPr>
          <w:rFonts w:ascii="Times New Roman" w:eastAsia="AdvOTc9c0ed35 . B" w:hAnsi="Times New Roman" w:cs="Times New Roman"/>
          <w:kern w:val="0"/>
          <w:sz w:val="24"/>
          <w:lang w:val="en-GB"/>
        </w:rPr>
        <w:t>15–106, 107–180, 181–406, 407–527</w:t>
      </w:r>
      <w:r w:rsidRPr="002D52E7">
        <w:rPr>
          <w:rFonts w:ascii="Times New Roman" w:eastAsia="ThjlhlAdvTT3713a231" w:hAnsi="Times New Roman" w:cs="Times New Roman"/>
          <w:kern w:val="0"/>
          <w:sz w:val="24"/>
          <w:lang w:val="en-GB"/>
        </w:rPr>
        <w:t>),</w:t>
      </w:r>
      <w:r w:rsidRPr="002D52E7">
        <w:rPr>
          <w:rFonts w:ascii="Times New Roman" w:eastAsia="AdvTT9d794523" w:hAnsi="Times New Roman" w:cs="Times New Roman"/>
          <w:kern w:val="0"/>
          <w:sz w:val="24"/>
          <w:lang w:val="en-GB"/>
        </w:rPr>
        <w:t xml:space="preserve"> and HIS</w:t>
      </w:r>
      <w:r w:rsidRPr="002D52E7">
        <w:rPr>
          <w:rFonts w:ascii="Times New Roman" w:eastAsia="ThjlhlAdvTT3713a231" w:hAnsi="Times New Roman" w:cs="Times New Roman"/>
          <w:kern w:val="0"/>
          <w:sz w:val="24"/>
          <w:lang w:val="en-GB"/>
        </w:rPr>
        <w:t>-tagged-</w:t>
      </w:r>
      <w:r w:rsidRPr="002D52E7">
        <w:rPr>
          <w:rFonts w:ascii="Times New Roman" w:eastAsia="ThjlhlAdvTT3713a231" w:hAnsi="Times New Roman" w:cs="Times New Roman"/>
          <w:i/>
          <w:iCs/>
          <w:kern w:val="0"/>
          <w:sz w:val="24"/>
          <w:lang w:val="en-GB"/>
        </w:rPr>
        <w:t>EEF1A1</w:t>
      </w:r>
      <w:r w:rsidRPr="002D52E7">
        <w:rPr>
          <w:rFonts w:ascii="Times New Roman" w:eastAsia="AdvTT9d794523" w:hAnsi="Times New Roman" w:cs="Times New Roman"/>
          <w:kern w:val="0"/>
          <w:sz w:val="24"/>
          <w:lang w:val="en-GB"/>
        </w:rPr>
        <w:t xml:space="preserve"> plasmids for 24 h. The cells were lysed with RIPA and 1 mg of extracted protein was then co-immunoprecipitated. Finally, anti-FLAG-antibody (1:1000; Millipore</w:t>
      </w:r>
      <w:r w:rsidRPr="002D52E7">
        <w:rPr>
          <w:rFonts w:ascii="Times New Roman" w:eastAsia="宋体" w:hAnsi="Times New Roman" w:cs="Times New Roman"/>
          <w:kern w:val="0"/>
          <w:sz w:val="24"/>
        </w:rPr>
        <w:t xml:space="preserve"> </w:t>
      </w:r>
      <w:r w:rsidRPr="002D52E7">
        <w:rPr>
          <w:rFonts w:ascii="Times New Roman" w:eastAsia="AdvTT9d794523" w:hAnsi="Times New Roman" w:cs="Times New Roman"/>
          <w:kern w:val="0"/>
          <w:sz w:val="24"/>
          <w:lang w:val="en-GB"/>
        </w:rPr>
        <w:t>Sigma) was used for immunoprecipitation and anti-</w:t>
      </w:r>
      <w:r w:rsidRPr="002D52E7">
        <w:rPr>
          <w:rFonts w:ascii="Times New Roman" w:eastAsia="ThjlhlAdvTT3713a231" w:hAnsi="Times New Roman" w:cs="Times New Roman"/>
          <w:kern w:val="0"/>
          <w:sz w:val="24"/>
          <w:lang w:val="en-GB"/>
        </w:rPr>
        <w:t xml:space="preserve">HIS-antibody </w:t>
      </w:r>
      <w:r w:rsidRPr="002D52E7">
        <w:rPr>
          <w:rFonts w:ascii="Times New Roman" w:eastAsia="AdvTT9d794523" w:hAnsi="Times New Roman" w:cs="Times New Roman"/>
          <w:kern w:val="0"/>
          <w:sz w:val="24"/>
          <w:lang w:val="en-GB"/>
        </w:rPr>
        <w:t xml:space="preserve">(1:300; Santa Cruz Biotechnology) </w:t>
      </w:r>
      <w:r w:rsidRPr="002D52E7">
        <w:rPr>
          <w:rFonts w:ascii="Times New Roman" w:eastAsia="ThjlhlAdvTT3713a231" w:hAnsi="Times New Roman" w:cs="Times New Roman"/>
          <w:kern w:val="0"/>
          <w:sz w:val="24"/>
          <w:lang w:val="en-GB"/>
        </w:rPr>
        <w:t>was used to probe the protein complex.</w:t>
      </w:r>
    </w:p>
    <w:p w14:paraId="5A224487" w14:textId="77777777" w:rsidR="001E381A" w:rsidRPr="002D52E7" w:rsidRDefault="001E381A" w:rsidP="001E381A">
      <w:pPr>
        <w:widowControl/>
        <w:spacing w:line="360" w:lineRule="auto"/>
        <w:rPr>
          <w:rFonts w:ascii="Times New Roman" w:eastAsia="ThjlhlAdvTT3713a231" w:hAnsi="Times New Roman" w:cs="Times New Roman"/>
          <w:kern w:val="0"/>
          <w:sz w:val="24"/>
          <w:lang w:val="en-GB"/>
        </w:rPr>
      </w:pPr>
    </w:p>
    <w:p w14:paraId="6FABC31C" w14:textId="77777777" w:rsidR="001E381A" w:rsidRPr="002D52E7" w:rsidRDefault="001E381A" w:rsidP="001E381A">
      <w:pPr>
        <w:widowControl/>
        <w:spacing w:line="360" w:lineRule="auto"/>
        <w:rPr>
          <w:rFonts w:ascii="Times New Roman" w:hAnsi="Times New Roman" w:cs="Times New Roman"/>
          <w:b/>
          <w:bCs/>
          <w:kern w:val="0"/>
          <w:sz w:val="24"/>
          <w:lang w:val="en-GB"/>
        </w:rPr>
      </w:pPr>
      <w:bookmarkStart w:id="18" w:name="_Hlk33650406"/>
      <w:bookmarkStart w:id="19" w:name="_Hlk33647545"/>
      <w:r w:rsidRPr="002D52E7">
        <w:rPr>
          <w:rFonts w:ascii="Times New Roman" w:eastAsia="ThjlhlAdvTT3713a231" w:hAnsi="Times New Roman" w:cs="Times New Roman"/>
          <w:b/>
          <w:bCs/>
          <w:kern w:val="0"/>
          <w:sz w:val="24"/>
          <w:lang w:val="en-GB"/>
        </w:rPr>
        <w:t>Immunofluorescentstaining</w:t>
      </w:r>
    </w:p>
    <w:bookmarkEnd w:id="18"/>
    <w:p w14:paraId="2B6901BC" w14:textId="77777777" w:rsidR="001E381A" w:rsidRPr="002D52E7" w:rsidRDefault="001E381A" w:rsidP="001E381A">
      <w:pPr>
        <w:widowControl/>
        <w:spacing w:line="360" w:lineRule="auto"/>
        <w:rPr>
          <w:rFonts w:ascii="Times New Roman" w:eastAsia="ThjlhlAdvTT3713a231" w:hAnsi="Times New Roman" w:cs="Times New Roman"/>
          <w:b/>
          <w:bCs/>
          <w:kern w:val="0"/>
          <w:sz w:val="24"/>
          <w:lang w:val="en-GB"/>
        </w:rPr>
      </w:pPr>
      <w:r w:rsidRPr="002D52E7">
        <w:rPr>
          <w:rFonts w:ascii="Times New Roman" w:eastAsia="宋体" w:hAnsi="Times New Roman" w:cs="Times New Roman"/>
          <w:sz w:val="24"/>
          <w:lang w:val="en-GB"/>
        </w:rPr>
        <w:t xml:space="preserve">Cells were cultured to 60%–80% density on glass coverslips placed in culture dishes. After the culture medium was aspirated, the cells were rinsed twice with PBS, fixed with 3.7% paraformaldehyde at 25°C for 10 min, and permeabilized with 0.2% Triton X-100 in PBS at 25°C for 10 min. After discarding the culture medium, the cells were </w:t>
      </w:r>
      <w:r w:rsidRPr="002D52E7">
        <w:rPr>
          <w:rFonts w:ascii="Times New Roman" w:eastAsia="宋体" w:hAnsi="Times New Roman" w:cs="Times New Roman"/>
          <w:sz w:val="24"/>
          <w:lang w:val="en-GB"/>
        </w:rPr>
        <w:lastRenderedPageBreak/>
        <w:t xml:space="preserve">washed three times with PBS, fixed with 4% paraformaldehyde at 25°C for 2h, and permeabilized with 0.2% Triton X-100 at 25°C for 10min. After washing with PBS, cells were incubated with primary antibody at 8°C overnight. The cells were next washed with PBS three times and incubated with a fluorescent dye-conjugated secondary antibody and phalloidin at 37°C for 2 h. After washing with PBS three times, fluorescent staining of the cells was observed using a Zeiss LSM710 confocal microscope (Carl Zeiss AG, Oberkochen, Germany). </w:t>
      </w:r>
      <w:r w:rsidRPr="002D52E7">
        <w:rPr>
          <w:rFonts w:ascii="Times New Roman" w:eastAsia="TimesNewRomanPS" w:hAnsi="Times New Roman" w:cs="Times New Roman"/>
          <w:kern w:val="0"/>
          <w:sz w:val="24"/>
          <w:lang w:val="en-GB"/>
        </w:rPr>
        <w:t xml:space="preserve">Biopsies taken from osteosarcoma resection specimens were snap frozen in liquid nitrogen and stored at −80°C until further processing. For a detailed description of tissue </w:t>
      </w:r>
      <w:r w:rsidRPr="002D52E7">
        <w:rPr>
          <w:rFonts w:ascii="Times New Roman" w:eastAsia="宋体" w:hAnsi="Times New Roman" w:cs="Times New Roman"/>
          <w:kern w:val="0"/>
          <w:sz w:val="24"/>
          <w:lang w:val="en-GB"/>
        </w:rPr>
        <w:t>i</w:t>
      </w:r>
      <w:r w:rsidRPr="002D52E7">
        <w:rPr>
          <w:rFonts w:ascii="Times New Roman" w:eastAsia="TimesNewRomanPS" w:hAnsi="Times New Roman" w:cs="Times New Roman"/>
          <w:kern w:val="0"/>
          <w:sz w:val="24"/>
          <w:lang w:val="en-GB"/>
        </w:rPr>
        <w:t>mmunofluorescent staining,</w:t>
      </w:r>
      <w:r w:rsidRPr="002D52E7">
        <w:rPr>
          <w:rFonts w:ascii="Times New Roman" w:eastAsia="宋体" w:hAnsi="Times New Roman" w:cs="Times New Roman"/>
          <w:kern w:val="0"/>
          <w:sz w:val="24"/>
          <w:lang w:val="en-GB"/>
        </w:rPr>
        <w:t xml:space="preserve"> see </w:t>
      </w:r>
      <w:r w:rsidRPr="002D52E7">
        <w:rPr>
          <w:rFonts w:ascii="Times New Roman" w:eastAsia="TimesNewRomanPS" w:hAnsi="Times New Roman" w:cs="Times New Roman"/>
          <w:kern w:val="0"/>
          <w:sz w:val="24"/>
          <w:lang w:val="en-GB"/>
        </w:rPr>
        <w:t>the</w:t>
      </w:r>
      <w:r w:rsidRPr="00B530FA">
        <w:rPr>
          <w:rFonts w:ascii="Times New Roman" w:eastAsia="TimesNewRomanPS" w:hAnsi="Times New Roman" w:cs="Times New Roman"/>
          <w:kern w:val="0"/>
          <w:sz w:val="24"/>
          <w:lang w:val="en-GB"/>
        </w:rPr>
        <w:t xml:space="preserve"> </w:t>
      </w:r>
      <w:r w:rsidR="00B530FA" w:rsidRPr="00B530FA">
        <w:rPr>
          <w:rFonts w:ascii="Times New Roman" w:eastAsia="AdvTT9d794523" w:hAnsi="Times New Roman" w:cs="Times New Roman"/>
          <w:kern w:val="0"/>
          <w:sz w:val="24"/>
          <w:lang w:val="en-GB"/>
        </w:rPr>
        <w:t>Additional file 2</w:t>
      </w:r>
      <w:r w:rsidR="00B530FA" w:rsidRPr="00B530FA">
        <w:rPr>
          <w:rFonts w:ascii="宋体" w:eastAsia="宋体" w:hAnsi="宋体" w:cs="宋体"/>
          <w:kern w:val="0"/>
          <w:sz w:val="24"/>
          <w:lang w:val="en-GB"/>
        </w:rPr>
        <w:t>:</w:t>
      </w:r>
      <w:r w:rsidR="00B530FA">
        <w:rPr>
          <w:rFonts w:ascii="宋体" w:eastAsia="宋体" w:hAnsi="宋体" w:cs="宋体"/>
          <w:kern w:val="0"/>
          <w:sz w:val="24"/>
          <w:lang w:val="en-GB"/>
        </w:rPr>
        <w:t xml:space="preserve"> </w:t>
      </w:r>
      <w:r w:rsidR="00B530FA" w:rsidRPr="00B530FA">
        <w:rPr>
          <w:rFonts w:ascii="Times New Roman" w:eastAsia="AdvOTc9c0ed35 . B" w:hAnsi="Times New Roman" w:cs="Times New Roman"/>
          <w:kern w:val="0"/>
          <w:sz w:val="24"/>
          <w:lang w:val="en-GB"/>
        </w:rPr>
        <w:t>Supplementary Method 1</w:t>
      </w:r>
      <w:r w:rsidRPr="002D52E7">
        <w:rPr>
          <w:rFonts w:ascii="Times New Roman" w:eastAsia="TimesNewRomanPS" w:hAnsi="Times New Roman" w:cs="Times New Roman"/>
          <w:kern w:val="0"/>
          <w:sz w:val="24"/>
          <w:lang w:val="en-GB"/>
        </w:rPr>
        <w:t>.</w:t>
      </w:r>
      <w:bookmarkEnd w:id="19"/>
      <w:r w:rsidRPr="002D52E7">
        <w:rPr>
          <w:rFonts w:ascii="Times New Roman" w:eastAsia="TimesNewRomanPS" w:hAnsi="Times New Roman" w:cs="Times New Roman"/>
          <w:kern w:val="0"/>
          <w:sz w:val="24"/>
          <w:lang w:val="en-GB"/>
        </w:rPr>
        <w:t xml:space="preserve"> </w:t>
      </w:r>
    </w:p>
    <w:p w14:paraId="767446CF" w14:textId="77777777" w:rsidR="001E381A" w:rsidRPr="002D52E7" w:rsidRDefault="001E381A" w:rsidP="001E381A">
      <w:pPr>
        <w:widowControl/>
        <w:spacing w:line="360" w:lineRule="auto"/>
        <w:rPr>
          <w:rFonts w:ascii="Times New Roman" w:eastAsia="TimesNewRomanPS" w:hAnsi="Times New Roman" w:cs="Times New Roman"/>
          <w:b/>
          <w:bCs/>
          <w:kern w:val="0"/>
          <w:sz w:val="24"/>
          <w:lang w:val="en-GB"/>
        </w:rPr>
      </w:pPr>
    </w:p>
    <w:p w14:paraId="65CD7845" w14:textId="77777777" w:rsidR="001E381A" w:rsidRPr="002D52E7" w:rsidRDefault="001E381A" w:rsidP="001E381A">
      <w:pPr>
        <w:widowControl/>
        <w:spacing w:line="360" w:lineRule="auto"/>
        <w:rPr>
          <w:rFonts w:ascii="Times New Roman" w:hAnsi="Times New Roman" w:cs="Times New Roman"/>
          <w:b/>
          <w:bCs/>
          <w:kern w:val="0"/>
          <w:sz w:val="24"/>
          <w:lang w:val="en-GB"/>
        </w:rPr>
      </w:pPr>
      <w:bookmarkStart w:id="20" w:name="_Hlk33650420"/>
      <w:r w:rsidRPr="002D52E7">
        <w:rPr>
          <w:rFonts w:ascii="Times New Roman" w:eastAsia="TimesNewRomanPS" w:hAnsi="Times New Roman" w:cs="Times New Roman"/>
          <w:b/>
          <w:bCs/>
          <w:kern w:val="0"/>
          <w:sz w:val="24"/>
          <w:lang w:val="en-GB"/>
        </w:rPr>
        <w:t>Animal xenograft tumorigenesis assay</w:t>
      </w:r>
    </w:p>
    <w:bookmarkEnd w:id="20"/>
    <w:p w14:paraId="168BDFB0" w14:textId="77777777" w:rsidR="001E381A" w:rsidRPr="002D52E7" w:rsidRDefault="001E381A" w:rsidP="001E381A">
      <w:pPr>
        <w:widowControl/>
        <w:spacing w:line="360" w:lineRule="auto"/>
        <w:rPr>
          <w:rFonts w:ascii="Times New Roman" w:eastAsia="AdvOTcb88df00" w:hAnsi="Times New Roman" w:cs="Times New Roman"/>
          <w:kern w:val="0"/>
          <w:sz w:val="24"/>
          <w:lang w:val="en-GB"/>
        </w:rPr>
      </w:pPr>
      <w:r w:rsidRPr="002D52E7">
        <w:rPr>
          <w:rFonts w:ascii="Times New Roman" w:eastAsia="AdvOTcb88df00" w:hAnsi="Times New Roman" w:cs="Times New Roman"/>
          <w:kern w:val="0"/>
          <w:sz w:val="24"/>
          <w:lang w:val="en-GB"/>
        </w:rPr>
        <w:t>All animal experimentation protocols were approved by the Ethics Committee of Shandong University. Four- week-old female BALB/C nude mice (Beijing Vital River Laboratory Animal Technology Co. Ltd., Beijing, China) were injected in the right subaxilla either with a suspension’ of 6×10</w:t>
      </w:r>
      <w:r w:rsidRPr="002D52E7">
        <w:rPr>
          <w:rFonts w:ascii="Times New Roman" w:eastAsia="AdvOTcb88df00" w:hAnsi="Times New Roman" w:cs="Times New Roman"/>
          <w:kern w:val="0"/>
          <w:sz w:val="24"/>
          <w:vertAlign w:val="superscript"/>
          <w:lang w:val="en-GB"/>
        </w:rPr>
        <w:t>7</w:t>
      </w:r>
      <w:r w:rsidRPr="002D52E7">
        <w:rPr>
          <w:rFonts w:ascii="Times New Roman" w:eastAsia="AdvOTcb88df00" w:hAnsi="Times New Roman" w:cs="Times New Roman"/>
          <w:kern w:val="0"/>
          <w:sz w:val="24"/>
          <w:lang w:val="en-GB"/>
        </w:rPr>
        <w:t xml:space="preserve"> MG-63 cells or siRNA-</w:t>
      </w:r>
      <w:r w:rsidRPr="002D52E7">
        <w:rPr>
          <w:rFonts w:ascii="Times New Roman" w:eastAsia="AdvOTcb88df00" w:hAnsi="Times New Roman" w:cs="Times New Roman"/>
          <w:i/>
          <w:iCs/>
          <w:kern w:val="0"/>
          <w:sz w:val="24"/>
          <w:lang w:val="en-GB"/>
        </w:rPr>
        <w:t>DEPDC1</w:t>
      </w:r>
      <w:r w:rsidRPr="002D52E7">
        <w:rPr>
          <w:rFonts w:ascii="Times New Roman" w:eastAsia="AdvOTcb88df00" w:hAnsi="Times New Roman" w:cs="Times New Roman"/>
          <w:kern w:val="0"/>
          <w:sz w:val="24"/>
          <w:lang w:val="en-GB"/>
        </w:rPr>
        <w:t>-infected MG-63 cells in 0.1 ml PBS. Twenty-six nude mice with established tumors (approximately 60 mm</w:t>
      </w:r>
      <w:r w:rsidRPr="002D52E7">
        <w:rPr>
          <w:rFonts w:ascii="Times New Roman" w:eastAsia="AdvOTcb88df00" w:hAnsi="Times New Roman" w:cs="Times New Roman"/>
          <w:kern w:val="0"/>
          <w:sz w:val="24"/>
          <w:vertAlign w:val="superscript"/>
          <w:lang w:val="en-GB"/>
        </w:rPr>
        <w:t>3</w:t>
      </w:r>
      <w:r w:rsidRPr="002D52E7">
        <w:rPr>
          <w:rFonts w:ascii="Times New Roman" w:eastAsia="AdvOTcb88df00" w:hAnsi="Times New Roman" w:cs="Times New Roman"/>
          <w:kern w:val="0"/>
          <w:sz w:val="24"/>
          <w:lang w:val="en-GB"/>
        </w:rPr>
        <w:t>) were divided into NC and shDEPDC</w:t>
      </w:r>
      <w:r>
        <w:rPr>
          <w:rFonts w:ascii="Times New Roman" w:eastAsia="AdvOTcb88df00" w:hAnsi="Times New Roman" w:cs="Times New Roman"/>
          <w:kern w:val="0"/>
          <w:sz w:val="24"/>
          <w:lang w:val="en-GB"/>
        </w:rPr>
        <w:t>1</w:t>
      </w:r>
      <w:r w:rsidRPr="002D52E7">
        <w:rPr>
          <w:rFonts w:ascii="Times New Roman" w:eastAsia="AdvOTcb88df00" w:hAnsi="Times New Roman" w:cs="Times New Roman"/>
          <w:kern w:val="0"/>
          <w:sz w:val="24"/>
          <w:lang w:val="en-GB"/>
        </w:rPr>
        <w:t xml:space="preserve"> groups. Body weight and tumor diameter were measured every second day. Tumor volume was calculated according to the formula (length [L] × width [W]2)/2. After 37days of observation, tumors were collected, weighed, fixed in 10% formalin, embedded in paraffin (FFPE), cut into 5-μm-thick sections, and mounted onto glass slides for haematoxylin and eosin (H&amp;E) staining and IHC. No tumor volume was &gt;2000 mm</w:t>
      </w:r>
      <w:r w:rsidRPr="002D52E7">
        <w:rPr>
          <w:rFonts w:ascii="Times New Roman" w:eastAsia="AdvOTcb88df00" w:hAnsi="Times New Roman" w:cs="Times New Roman"/>
          <w:kern w:val="0"/>
          <w:sz w:val="24"/>
          <w:vertAlign w:val="superscript"/>
          <w:lang w:val="en-GB"/>
        </w:rPr>
        <w:t>3</w:t>
      </w:r>
      <w:r w:rsidRPr="002D52E7">
        <w:rPr>
          <w:rFonts w:ascii="Times New Roman" w:eastAsia="AdvOTcb88df00" w:hAnsi="Times New Roman" w:cs="Times New Roman"/>
          <w:kern w:val="0"/>
          <w:sz w:val="24"/>
          <w:lang w:val="en-GB"/>
        </w:rPr>
        <w:t>.</w:t>
      </w:r>
    </w:p>
    <w:p w14:paraId="0F1116A4" w14:textId="77777777" w:rsidR="001E381A" w:rsidRPr="002D52E7" w:rsidRDefault="001E381A" w:rsidP="001E381A">
      <w:pPr>
        <w:spacing w:line="360" w:lineRule="auto"/>
        <w:rPr>
          <w:rFonts w:ascii="Times New Roman" w:eastAsia="AdvOTcb88df00" w:hAnsi="Times New Roman" w:cs="Times New Roman"/>
          <w:b/>
          <w:bCs/>
          <w:kern w:val="0"/>
          <w:sz w:val="24"/>
          <w:lang w:val="en-GB"/>
        </w:rPr>
      </w:pPr>
    </w:p>
    <w:p w14:paraId="1D9E51CB" w14:textId="77777777" w:rsidR="001E381A" w:rsidRPr="002D52E7" w:rsidRDefault="001E381A" w:rsidP="001E381A">
      <w:pPr>
        <w:spacing w:line="360" w:lineRule="auto"/>
        <w:rPr>
          <w:rFonts w:ascii="Times New Roman" w:hAnsi="Times New Roman" w:cs="Times New Roman"/>
          <w:b/>
          <w:bCs/>
          <w:kern w:val="0"/>
          <w:sz w:val="24"/>
          <w:lang w:val="en-GB"/>
        </w:rPr>
      </w:pPr>
      <w:bookmarkStart w:id="21" w:name="_Hlk33650430"/>
      <w:r w:rsidRPr="002D52E7">
        <w:rPr>
          <w:rFonts w:ascii="Times New Roman" w:eastAsia="AdvOTcb88df00" w:hAnsi="Times New Roman" w:cs="Times New Roman"/>
          <w:b/>
          <w:bCs/>
          <w:kern w:val="0"/>
          <w:sz w:val="24"/>
          <w:lang w:val="en-GB"/>
        </w:rPr>
        <w:t>RNA sequencing</w:t>
      </w:r>
    </w:p>
    <w:bookmarkEnd w:id="21"/>
    <w:p w14:paraId="5DB4A5C5" w14:textId="77777777" w:rsidR="001E381A" w:rsidRPr="002D52E7" w:rsidRDefault="001E381A" w:rsidP="001E381A">
      <w:pPr>
        <w:spacing w:line="360" w:lineRule="auto"/>
        <w:rPr>
          <w:rFonts w:ascii="Times New Roman" w:hAnsi="Times New Roman" w:cs="Times New Roman"/>
          <w:sz w:val="24"/>
          <w:lang w:val="en-GB"/>
        </w:rPr>
      </w:pPr>
      <w:r w:rsidRPr="002D52E7">
        <w:rPr>
          <w:rFonts w:ascii="Times New Roman" w:eastAsia="微软雅黑" w:hAnsi="Times New Roman" w:cs="Times New Roman"/>
          <w:sz w:val="24"/>
          <w:shd w:val="clear" w:color="auto" w:fill="FFFFFF"/>
          <w:lang w:val="en-GB"/>
        </w:rPr>
        <w:t xml:space="preserve">Total RNA was extracted using Trizol reagent (Invitrogen). Total RNA was quantified by NanoDrop ND-2000 (Thermo Scientific) and detected using an Agilent Bioanalyzer 2100 (Agilent Technologies). Feature Extraction software (version 12.0.3.1, Agilent Technologies) was used to process the original images and extract the original data. Then we used Genespring software (version 14.8, Agilent Technologies) to standardize </w:t>
      </w:r>
      <w:r w:rsidRPr="002D52E7">
        <w:rPr>
          <w:rFonts w:ascii="Times New Roman" w:eastAsia="微软雅黑" w:hAnsi="Times New Roman" w:cs="Times New Roman"/>
          <w:sz w:val="24"/>
          <w:shd w:val="clear" w:color="auto" w:fill="FFFFFF"/>
          <w:lang w:val="en-GB"/>
        </w:rPr>
        <w:lastRenderedPageBreak/>
        <w:t xml:space="preserve">the data. After the standardized data were filtered, at least one group of 100% labelled probes detected in each group of samples for comparison were left for subsequent analysis. The </w:t>
      </w:r>
      <w:r w:rsidRPr="002D52E7">
        <w:rPr>
          <w:rFonts w:ascii="Times New Roman" w:eastAsia="微软雅黑" w:hAnsi="Times New Roman" w:cs="Times New Roman"/>
          <w:i/>
          <w:iCs/>
          <w:sz w:val="24"/>
          <w:shd w:val="clear" w:color="auto" w:fill="FFFFFF"/>
          <w:lang w:val="en-GB"/>
        </w:rPr>
        <w:t>P</w:t>
      </w:r>
      <w:r w:rsidRPr="002D52E7">
        <w:rPr>
          <w:rFonts w:ascii="Times New Roman" w:eastAsia="微软雅黑" w:hAnsi="Times New Roman" w:cs="Times New Roman"/>
          <w:sz w:val="24"/>
          <w:shd w:val="clear" w:color="auto" w:fill="FFFFFF"/>
          <w:lang w:val="en-GB"/>
        </w:rPr>
        <w:t xml:space="preserve">-values of t-tests were used to screen the differential genes, and the standard of screening was </w:t>
      </w:r>
      <w:r w:rsidRPr="002D52E7">
        <w:rPr>
          <w:rFonts w:ascii="Times New Roman" w:eastAsia="微软雅黑" w:hAnsi="Times New Roman" w:cs="Times New Roman"/>
          <w:i/>
          <w:iCs/>
          <w:sz w:val="24"/>
          <w:shd w:val="clear" w:color="auto" w:fill="FFFFFF"/>
          <w:lang w:val="en-GB"/>
        </w:rPr>
        <w:t>P</w:t>
      </w:r>
      <w:r w:rsidRPr="002D52E7">
        <w:rPr>
          <w:rFonts w:ascii="Times New Roman" w:eastAsia="微软雅黑" w:hAnsi="Times New Roman" w:cs="Times New Roman"/>
          <w:sz w:val="24"/>
          <w:shd w:val="clear" w:color="auto" w:fill="FFFFFF"/>
          <w:lang w:val="en-GB"/>
        </w:rPr>
        <w:t xml:space="preserve">≤0.05. Then, GO and KEGG enrichment analyses were performed to determine the biological functions or pathways that were mainly affected by the differentially expressed genes. </w:t>
      </w:r>
      <w:r w:rsidRPr="002D52E7">
        <w:rPr>
          <w:rFonts w:ascii="Times New Roman" w:hAnsi="Times New Roman" w:cs="Times New Roman"/>
          <w:sz w:val="24"/>
          <w:lang w:val="en-GB"/>
        </w:rPr>
        <w:t>Finally, the expression patterns of differential genes in different samples were displayed in the form of a thermogram.</w:t>
      </w:r>
    </w:p>
    <w:p w14:paraId="76486C47" w14:textId="77777777" w:rsidR="001E381A" w:rsidRPr="002D52E7" w:rsidRDefault="001E381A" w:rsidP="001E381A">
      <w:pPr>
        <w:widowControl/>
        <w:spacing w:line="360" w:lineRule="auto"/>
        <w:rPr>
          <w:rFonts w:ascii="Times New Roman" w:hAnsi="Times New Roman" w:cs="Times New Roman"/>
          <w:sz w:val="24"/>
          <w:lang w:val="en-GB"/>
        </w:rPr>
      </w:pPr>
    </w:p>
    <w:p w14:paraId="536EC758" w14:textId="77777777" w:rsidR="001E381A" w:rsidRPr="002D52E7" w:rsidRDefault="001E381A" w:rsidP="001E381A">
      <w:pPr>
        <w:spacing w:line="360" w:lineRule="auto"/>
        <w:rPr>
          <w:rFonts w:ascii="Times New Roman" w:hAnsi="Times New Roman" w:cs="Times New Roman"/>
          <w:b/>
          <w:bCs/>
          <w:kern w:val="0"/>
          <w:sz w:val="24"/>
          <w:lang w:val="en-GB"/>
        </w:rPr>
      </w:pPr>
      <w:bookmarkStart w:id="22" w:name="_Hlk33650438"/>
      <w:bookmarkStart w:id="23" w:name="_Hlk33647564"/>
      <w:r w:rsidRPr="002D52E7">
        <w:rPr>
          <w:rFonts w:ascii="Times New Roman" w:hAnsi="Times New Roman" w:cs="Times New Roman"/>
          <w:b/>
          <w:bCs/>
          <w:sz w:val="24"/>
          <w:lang w:val="en-GB"/>
        </w:rPr>
        <w:t xml:space="preserve">Construction of </w:t>
      </w:r>
      <w:r w:rsidRPr="002D52E7">
        <w:rPr>
          <w:rFonts w:ascii="Times New Roman" w:eastAsia="AdvTTb20e5d60" w:hAnsi="Times New Roman" w:cs="Times New Roman"/>
          <w:b/>
          <w:bCs/>
          <w:kern w:val="0"/>
          <w:sz w:val="24"/>
          <w:lang w:val="en-GB"/>
        </w:rPr>
        <w:t>FOXO3-GFP reporter plasmid</w:t>
      </w:r>
    </w:p>
    <w:bookmarkEnd w:id="22"/>
    <w:p w14:paraId="5BE25601" w14:textId="77777777" w:rsidR="001E381A" w:rsidRPr="002D52E7" w:rsidRDefault="001E381A" w:rsidP="001E381A">
      <w:pPr>
        <w:spacing w:line="360" w:lineRule="auto"/>
        <w:rPr>
          <w:rFonts w:ascii="Times New Roman" w:eastAsia="AdvTTb20e5d60" w:hAnsi="Times New Roman" w:cs="Times New Roman"/>
          <w:b/>
          <w:bCs/>
          <w:kern w:val="0"/>
          <w:sz w:val="24"/>
          <w:lang w:val="en-GB"/>
        </w:rPr>
      </w:pPr>
      <w:r w:rsidRPr="002D52E7">
        <w:rPr>
          <w:rFonts w:ascii="Times New Roman" w:hAnsi="Times New Roman" w:cs="Times New Roman"/>
          <w:kern w:val="0"/>
          <w:sz w:val="24"/>
          <w:lang w:val="en-GB"/>
        </w:rPr>
        <w:t>The</w:t>
      </w:r>
      <w:r w:rsidRPr="002D52E7">
        <w:rPr>
          <w:rFonts w:ascii="Times New Roman" w:eastAsia="AdvTTb20e5d60" w:hAnsi="Times New Roman" w:cs="Times New Roman"/>
          <w:kern w:val="0"/>
          <w:sz w:val="24"/>
          <w:lang w:val="en-GB"/>
        </w:rPr>
        <w:t xml:space="preserve"> sequence of the FOXO3-GFP reporter plasmid </w:t>
      </w:r>
      <w:r w:rsidRPr="002D52E7">
        <w:rPr>
          <w:rFonts w:ascii="Times New Roman" w:eastAsia="宋体" w:hAnsi="Times New Roman" w:cs="Times New Roman"/>
          <w:kern w:val="0"/>
          <w:sz w:val="24"/>
          <w:lang w:val="en-GB"/>
        </w:rPr>
        <w:t xml:space="preserve">is listed </w:t>
      </w:r>
      <w:r w:rsidRPr="002D52E7">
        <w:rPr>
          <w:rFonts w:ascii="Times New Roman" w:eastAsia="AdvTTb20e5d60" w:hAnsi="Times New Roman" w:cs="Times New Roman"/>
          <w:kern w:val="0"/>
          <w:sz w:val="24"/>
          <w:lang w:val="en-GB"/>
        </w:rPr>
        <w:t xml:space="preserve">in </w:t>
      </w:r>
      <w:r w:rsidR="00B530FA" w:rsidRPr="00B530FA">
        <w:rPr>
          <w:rFonts w:ascii="Times New Roman" w:eastAsia="AdvTT9d794523" w:hAnsi="Times New Roman" w:cs="Times New Roman"/>
          <w:kern w:val="0"/>
          <w:sz w:val="24"/>
          <w:lang w:val="en-GB"/>
        </w:rPr>
        <w:t xml:space="preserve">Additional file 4: </w:t>
      </w:r>
      <w:r w:rsidR="00B530FA" w:rsidRPr="00B530FA">
        <w:rPr>
          <w:rFonts w:ascii="Times New Roman" w:hAnsi="Times New Roman" w:cs="Times New Roman"/>
          <w:sz w:val="24"/>
          <w:lang w:val="en-GB"/>
        </w:rPr>
        <w:t>Supplementary Fig. S2I</w:t>
      </w:r>
      <w:r w:rsidR="00B530FA">
        <w:rPr>
          <w:rFonts w:ascii="Times New Roman" w:hAnsi="Times New Roman" w:cs="Times New Roman"/>
          <w:sz w:val="24"/>
          <w:lang w:val="en-GB"/>
        </w:rPr>
        <w:t xml:space="preserve"> </w:t>
      </w:r>
      <w:r w:rsidRPr="002D52E7">
        <w:rPr>
          <w:rFonts w:ascii="Times New Roman" w:hAnsi="Times New Roman" w:cs="Times New Roman"/>
          <w:sz w:val="24"/>
          <w:lang w:val="en-GB"/>
        </w:rPr>
        <w:t xml:space="preserve">and </w:t>
      </w:r>
      <w:r w:rsidRPr="002D52E7">
        <w:rPr>
          <w:rFonts w:ascii="Times New Roman" w:eastAsia="TimesNewRomanPS" w:hAnsi="Times New Roman" w:cs="Times New Roman"/>
          <w:kern w:val="0"/>
          <w:sz w:val="24"/>
          <w:lang w:val="en-GB"/>
        </w:rPr>
        <w:t>online</w:t>
      </w:r>
      <w:r w:rsidRPr="002D52E7">
        <w:rPr>
          <w:rFonts w:ascii="Times New Roman" w:eastAsia="宋体" w:hAnsi="Times New Roman" w:cs="Times New Roman"/>
          <w:kern w:val="0"/>
          <w:sz w:val="24"/>
        </w:rPr>
        <w:t xml:space="preserve"> </w:t>
      </w:r>
      <w:r w:rsidR="00B530FA" w:rsidRPr="00B530FA">
        <w:rPr>
          <w:rFonts w:ascii="Times New Roman" w:eastAsia="AdvTT9d794523" w:hAnsi="Times New Roman" w:cs="Times New Roman"/>
          <w:kern w:val="0"/>
          <w:sz w:val="24"/>
          <w:lang w:val="en-GB"/>
        </w:rPr>
        <w:t>Additional file 2</w:t>
      </w:r>
      <w:r w:rsidR="00B530FA" w:rsidRPr="00B530FA">
        <w:rPr>
          <w:rFonts w:ascii="宋体" w:eastAsia="宋体" w:hAnsi="宋体" w:cs="宋体"/>
          <w:kern w:val="0"/>
          <w:sz w:val="24"/>
          <w:lang w:val="en-GB"/>
        </w:rPr>
        <w:t>:</w:t>
      </w:r>
      <w:r w:rsidR="00B530FA">
        <w:rPr>
          <w:rFonts w:ascii="宋体" w:eastAsia="宋体" w:hAnsi="宋体" w:cs="宋体"/>
          <w:kern w:val="0"/>
          <w:sz w:val="24"/>
          <w:lang w:val="en-GB"/>
        </w:rPr>
        <w:t xml:space="preserve"> </w:t>
      </w:r>
      <w:r w:rsidR="00B530FA" w:rsidRPr="00B530FA">
        <w:rPr>
          <w:rFonts w:ascii="Times New Roman" w:eastAsia="宋体" w:hAnsi="Times New Roman" w:cs="Times New Roman"/>
          <w:kern w:val="0"/>
          <w:sz w:val="24"/>
          <w:lang w:val="en-GB"/>
        </w:rPr>
        <w:t>S</w:t>
      </w:r>
      <w:r w:rsidR="00B530FA" w:rsidRPr="00B530FA">
        <w:rPr>
          <w:rFonts w:ascii="Times New Roman" w:eastAsia="TimesNewRomanPS" w:hAnsi="Times New Roman" w:cs="Times New Roman"/>
          <w:kern w:val="0"/>
          <w:sz w:val="24"/>
          <w:lang w:val="en-GB"/>
        </w:rPr>
        <w:t>upplementary</w:t>
      </w:r>
      <w:r w:rsidR="00B530FA" w:rsidRPr="00B530FA">
        <w:rPr>
          <w:rFonts w:ascii="Times New Roman" w:eastAsia="宋体" w:hAnsi="Times New Roman" w:cs="Times New Roman"/>
          <w:kern w:val="0"/>
          <w:sz w:val="24"/>
          <w:lang w:val="en-GB"/>
        </w:rPr>
        <w:t xml:space="preserve"> M</w:t>
      </w:r>
      <w:r w:rsidR="00B530FA" w:rsidRPr="00B530FA">
        <w:rPr>
          <w:rFonts w:ascii="Times New Roman" w:eastAsia="TimesNewRomanPS" w:hAnsi="Times New Roman" w:cs="Times New Roman"/>
          <w:kern w:val="0"/>
          <w:sz w:val="24"/>
          <w:lang w:val="en-GB"/>
        </w:rPr>
        <w:t>ethod</w:t>
      </w:r>
      <w:r w:rsidR="00B530FA" w:rsidRPr="00B530FA">
        <w:rPr>
          <w:rFonts w:ascii="Times New Roman" w:eastAsia="宋体" w:hAnsi="Times New Roman" w:cs="Times New Roman"/>
          <w:kern w:val="0"/>
          <w:sz w:val="24"/>
          <w:lang w:val="en-GB"/>
        </w:rPr>
        <w:t xml:space="preserve"> 2</w:t>
      </w:r>
      <w:r w:rsidRPr="002D52E7">
        <w:rPr>
          <w:rFonts w:ascii="Times New Roman" w:eastAsia="AdvTTb20e5d60" w:hAnsi="Times New Roman" w:cs="Times New Roman"/>
          <w:kern w:val="0"/>
          <w:sz w:val="24"/>
          <w:lang w:val="en-GB"/>
        </w:rPr>
        <w:t xml:space="preserve">. The FOXO3-GFP reporter plasmid was co-transfected with siEEF1A1 plasmid into stable DEPDC1-overexpressing osteosarcoma cell lines for 48 h (similarly, the FOXO3-GFP reporter plasmid and EEF1A1 overexpression plasmid were co-transfected into </w:t>
      </w:r>
      <w:r w:rsidRPr="002D52E7">
        <w:rPr>
          <w:rFonts w:ascii="Times New Roman" w:eastAsia="AdvTTb20e5d60" w:hAnsi="Times New Roman" w:cs="Times New Roman"/>
          <w:i/>
          <w:iCs/>
          <w:kern w:val="0"/>
          <w:sz w:val="24"/>
          <w:lang w:val="en-GB"/>
        </w:rPr>
        <w:t>DEPDC1</w:t>
      </w:r>
      <w:r w:rsidRPr="002D52E7">
        <w:rPr>
          <w:rFonts w:ascii="Times New Roman" w:eastAsia="AdvTTb20e5d60" w:hAnsi="Times New Roman" w:cs="Times New Roman"/>
          <w:kern w:val="0"/>
          <w:sz w:val="24"/>
          <w:lang w:val="en-GB"/>
        </w:rPr>
        <w:t xml:space="preserve">-knockdown stable cell lines), and GFP fluorescence intensity was next detected in each group. </w:t>
      </w:r>
      <w:r w:rsidRPr="002D52E7">
        <w:rPr>
          <w:rFonts w:ascii="Times New Roman" w:eastAsia="宋体" w:hAnsi="Times New Roman" w:cs="Times New Roman"/>
          <w:kern w:val="0"/>
          <w:sz w:val="24"/>
          <w:lang w:val="en-GB"/>
        </w:rPr>
        <w:t xml:space="preserve">Then </w:t>
      </w:r>
      <w:r w:rsidRPr="002D52E7">
        <w:rPr>
          <w:rFonts w:ascii="Times New Roman" w:eastAsia="宋体" w:hAnsi="Times New Roman" w:cs="Times New Roman"/>
          <w:sz w:val="24"/>
          <w:lang w:val="en-GB"/>
        </w:rPr>
        <w:t>the cells were observed using a Zeiss LSM710 confocal microscope (Carl Zeiss AG, Oberkochen, Germany) and analysed by ImageJ software (v1.47, NIH, MS, USA).</w:t>
      </w:r>
    </w:p>
    <w:bookmarkEnd w:id="23"/>
    <w:p w14:paraId="150A58CE" w14:textId="77777777" w:rsidR="001E381A" w:rsidRPr="002D52E7" w:rsidRDefault="001E381A" w:rsidP="001E381A">
      <w:pPr>
        <w:spacing w:line="360" w:lineRule="auto"/>
        <w:rPr>
          <w:rFonts w:ascii="Times New Roman" w:eastAsia="宋体" w:hAnsi="Times New Roman" w:cs="Times New Roman"/>
          <w:sz w:val="24"/>
          <w:lang w:val="en-GB"/>
        </w:rPr>
      </w:pPr>
    </w:p>
    <w:p w14:paraId="48FD94A7" w14:textId="77777777" w:rsidR="001E381A" w:rsidRPr="002D52E7" w:rsidRDefault="001E381A" w:rsidP="001E381A">
      <w:pPr>
        <w:spacing w:line="360" w:lineRule="auto"/>
        <w:rPr>
          <w:rFonts w:ascii="Times New Roman" w:hAnsi="Times New Roman" w:cs="Times New Roman"/>
          <w:b/>
          <w:bCs/>
          <w:kern w:val="0"/>
          <w:sz w:val="24"/>
          <w:lang w:val="en-GB"/>
        </w:rPr>
      </w:pPr>
      <w:bookmarkStart w:id="24" w:name="_Hlk33650497"/>
      <w:r w:rsidRPr="002D52E7">
        <w:rPr>
          <w:rFonts w:ascii="Times New Roman" w:eastAsia="AdvTTb20e5d60" w:hAnsi="Times New Roman" w:cs="Times New Roman"/>
          <w:b/>
          <w:bCs/>
          <w:kern w:val="0"/>
          <w:sz w:val="24"/>
          <w:lang w:val="en-GB"/>
        </w:rPr>
        <w:t>H</w:t>
      </w:r>
      <w:r w:rsidRPr="002D52E7">
        <w:rPr>
          <w:rFonts w:ascii="Times New Roman" w:eastAsia="宋体" w:hAnsi="Times New Roman" w:cs="Times New Roman"/>
          <w:b/>
          <w:bCs/>
          <w:kern w:val="0"/>
          <w:sz w:val="24"/>
        </w:rPr>
        <w:t>&amp;</w:t>
      </w:r>
      <w:r w:rsidRPr="002D52E7">
        <w:rPr>
          <w:rFonts w:ascii="Times New Roman" w:eastAsia="AdvTTb20e5d60" w:hAnsi="Times New Roman" w:cs="Times New Roman"/>
          <w:b/>
          <w:bCs/>
          <w:kern w:val="0"/>
          <w:sz w:val="24"/>
          <w:lang w:val="en-GB"/>
        </w:rPr>
        <w:t>E staining</w:t>
      </w:r>
    </w:p>
    <w:bookmarkEnd w:id="24"/>
    <w:p w14:paraId="433C9EE3" w14:textId="77777777" w:rsidR="001E381A" w:rsidRPr="002D52E7" w:rsidRDefault="001E381A" w:rsidP="001E381A">
      <w:pPr>
        <w:spacing w:line="360" w:lineRule="auto"/>
        <w:rPr>
          <w:rFonts w:ascii="Times New Roman" w:eastAsia="AdvTTb20e5d60" w:hAnsi="Times New Roman" w:cs="Times New Roman"/>
          <w:b/>
          <w:bCs/>
          <w:kern w:val="0"/>
          <w:sz w:val="24"/>
          <w:lang w:val="en-GB"/>
        </w:rPr>
      </w:pPr>
      <w:r w:rsidRPr="002D52E7">
        <w:rPr>
          <w:rFonts w:ascii="Times New Roman" w:eastAsia="AdvTTb20e5d60" w:hAnsi="Times New Roman" w:cs="Times New Roman"/>
          <w:kern w:val="0"/>
          <w:sz w:val="24"/>
          <w:lang w:val="en-GB"/>
        </w:rPr>
        <w:t>Tumors obtained from xenograft BALB/C nude mice were fixed in 10% paraformaldehyde for 48 h, dehydrated, permeabilized, embedded in wax, sliced into 5-μm-thick sections, and stained with H&amp;E. Histopathological changes</w:t>
      </w:r>
      <w:r w:rsidRPr="002D52E7">
        <w:rPr>
          <w:rFonts w:ascii="Times New Roman" w:eastAsia="宋体" w:hAnsi="Times New Roman" w:cs="Times New Roman"/>
          <w:kern w:val="0"/>
          <w:sz w:val="24"/>
        </w:rPr>
        <w:t xml:space="preserve"> </w:t>
      </w:r>
      <w:r w:rsidRPr="002D52E7">
        <w:rPr>
          <w:rFonts w:ascii="Times New Roman" w:eastAsia="AdvTTb20e5d60" w:hAnsi="Times New Roman" w:cs="Times New Roman"/>
          <w:kern w:val="0"/>
          <w:sz w:val="24"/>
          <w:lang w:val="en-GB"/>
        </w:rPr>
        <w:t>were analysed using an Olympus microscope (Olympus Corporation, Tokyo, Japan).</w:t>
      </w:r>
    </w:p>
    <w:p w14:paraId="07A84A9A" w14:textId="77777777" w:rsidR="001E381A" w:rsidRPr="002D52E7" w:rsidRDefault="001E381A" w:rsidP="001E381A">
      <w:pPr>
        <w:spacing w:line="360" w:lineRule="auto"/>
        <w:rPr>
          <w:rFonts w:ascii="Times New Roman" w:hAnsi="Times New Roman" w:cs="Times New Roman"/>
          <w:sz w:val="24"/>
          <w:lang w:val="en-GB"/>
        </w:rPr>
      </w:pPr>
    </w:p>
    <w:p w14:paraId="5E42AB25" w14:textId="77777777" w:rsidR="001E381A" w:rsidRPr="002D52E7" w:rsidRDefault="001E381A" w:rsidP="001E381A">
      <w:pPr>
        <w:spacing w:line="360" w:lineRule="auto"/>
        <w:rPr>
          <w:rFonts w:ascii="Times New Roman" w:hAnsi="Times New Roman" w:cs="Times New Roman"/>
          <w:sz w:val="24"/>
          <w:lang w:val="en-GB"/>
        </w:rPr>
      </w:pPr>
      <w:bookmarkStart w:id="25" w:name="_Hlk33650515"/>
      <w:bookmarkStart w:id="26" w:name="_Hlk33647576"/>
      <w:r w:rsidRPr="002D52E7">
        <w:rPr>
          <w:rFonts w:ascii="Times New Roman" w:hAnsi="Times New Roman" w:cs="Times New Roman"/>
          <w:b/>
          <w:bCs/>
          <w:sz w:val="24"/>
          <w:lang w:val="en-GB"/>
        </w:rPr>
        <w:t>Statistical analysis</w:t>
      </w:r>
    </w:p>
    <w:bookmarkEnd w:id="25"/>
    <w:p w14:paraId="3EAC82EF" w14:textId="77777777" w:rsidR="001E381A" w:rsidRPr="002D52E7" w:rsidRDefault="001E381A" w:rsidP="001E381A">
      <w:pPr>
        <w:spacing w:line="360" w:lineRule="auto"/>
        <w:rPr>
          <w:rFonts w:ascii="Times New Roman" w:hAnsi="Times New Roman" w:cs="Times New Roman"/>
          <w:sz w:val="24"/>
          <w:lang w:val="en-GB"/>
        </w:rPr>
      </w:pPr>
      <w:r w:rsidRPr="002D52E7">
        <w:rPr>
          <w:rFonts w:ascii="Times New Roman" w:hAnsi="Times New Roman" w:cs="Times New Roman"/>
          <w:sz w:val="24"/>
          <w:lang w:val="en-GB"/>
        </w:rPr>
        <w:t xml:space="preserve">Data were processed in GraphPad Prism 6.0 (GraphPad Software, CA, USA) and SPSS v. 20.0 (IBM Corp., NY, USA). The Kaplan–Meier method was used for survival analysis. For comparisons of two groups, Student’s t-test was applied if no significantly different variances were present; otherwise, the Mann–Whitney test was used. One-way </w:t>
      </w:r>
      <w:r w:rsidRPr="002D52E7">
        <w:rPr>
          <w:rFonts w:ascii="Times New Roman" w:hAnsi="Times New Roman" w:cs="Times New Roman"/>
          <w:sz w:val="24"/>
          <w:lang w:val="en-GB"/>
        </w:rPr>
        <w:lastRenderedPageBreak/>
        <w:t xml:space="preserve">ANOVA with Bonferroni’s test was used to compare &gt;2 group means. Data are expressed as means ± SD. Differences were considered statistically significant at </w:t>
      </w:r>
      <w:r w:rsidRPr="002D52E7">
        <w:rPr>
          <w:rFonts w:ascii="Times New Roman" w:hAnsi="Times New Roman" w:cs="Times New Roman"/>
          <w:i/>
          <w:iCs/>
          <w:sz w:val="24"/>
          <w:lang w:val="en-GB"/>
        </w:rPr>
        <w:t>P</w:t>
      </w:r>
      <w:r w:rsidRPr="002D52E7">
        <w:rPr>
          <w:rFonts w:ascii="Times New Roman" w:hAnsi="Times New Roman" w:cs="Times New Roman"/>
          <w:sz w:val="24"/>
          <w:lang w:val="en-GB"/>
        </w:rPr>
        <w:t>&lt;0.05.</w:t>
      </w:r>
    </w:p>
    <w:bookmarkEnd w:id="26"/>
    <w:p w14:paraId="7B27D227" w14:textId="77777777" w:rsidR="003B6AD8" w:rsidRPr="001E381A" w:rsidRDefault="003B6AD8">
      <w:pPr>
        <w:rPr>
          <w:lang w:val="en-GB"/>
        </w:rPr>
      </w:pPr>
    </w:p>
    <w:sectPr w:rsidR="003B6AD8" w:rsidRPr="001E381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OT1ef757c0">
    <w:altName w:val="Times New Roman"/>
    <w:charset w:val="00"/>
    <w:family w:val="roman"/>
    <w:pitch w:val="default"/>
  </w:font>
  <w:font w:name="AdvOT1ef757c0+20">
    <w:altName w:val="Times New Roman"/>
    <w:charset w:val="00"/>
    <w:family w:val="roman"/>
    <w:pitch w:val="default"/>
  </w:font>
  <w:font w:name="AdvOT1ef757c0+fb">
    <w:altName w:val="Times New Roman"/>
    <w:charset w:val="00"/>
    <w:family w:val="roman"/>
    <w:pitch w:val="default"/>
  </w:font>
  <w:font w:name="AdvTTc7583fc6 . B">
    <w:altName w:val="Segoe Print"/>
    <w:charset w:val="00"/>
    <w:family w:val="auto"/>
    <w:pitch w:val="default"/>
  </w:font>
  <w:font w:name="AdvOTc9c0ed35 . B">
    <w:altName w:val="Segoe Print"/>
    <w:charset w:val="00"/>
    <w:family w:val="auto"/>
    <w:pitch w:val="default"/>
  </w:font>
  <w:font w:name="AdvTT9d794523">
    <w:altName w:val="Segoe Print"/>
    <w:charset w:val="00"/>
    <w:family w:val="auto"/>
    <w:pitch w:val="default"/>
  </w:font>
  <w:font w:name="宋体">
    <w:altName w:val="SimSun"/>
    <w:panose1 w:val="02010600030101010101"/>
    <w:charset w:val="86"/>
    <w:family w:val="auto"/>
    <w:pitch w:val="variable"/>
    <w:sig w:usb0="00000003" w:usb1="288F0000" w:usb2="00000016" w:usb3="00000000" w:csb0="00040001" w:csb1="00000000"/>
  </w:font>
  <w:font w:name="AdvTTb20e5d60">
    <w:altName w:val="Times New Roman"/>
    <w:charset w:val="00"/>
    <w:family w:val="auto"/>
    <w:pitch w:val="default"/>
  </w:font>
  <w:font w:name="AGaramond-Regular">
    <w:altName w:val="Segoe Print"/>
    <w:charset w:val="00"/>
    <w:family w:val="auto"/>
    <w:pitch w:val="default"/>
  </w:font>
  <w:font w:name="AGaramond-Italic">
    <w:altName w:val="Segoe Print"/>
    <w:charset w:val="00"/>
    <w:family w:val="auto"/>
    <w:pitch w:val="default"/>
  </w:font>
  <w:font w:name="AdvTT9d794523 + 03">
    <w:altName w:val="Segoe Print"/>
    <w:charset w:val="00"/>
    <w:family w:val="auto"/>
    <w:pitch w:val="default"/>
  </w:font>
  <w:font w:name="RMTMI">
    <w:altName w:val="Segoe Print"/>
    <w:charset w:val="00"/>
    <w:family w:val="auto"/>
    <w:pitch w:val="default"/>
  </w:font>
  <w:font w:name="AdvOTcb88df00">
    <w:altName w:val="Times New Roman"/>
    <w:panose1 w:val="00000000000000000000"/>
    <w:charset w:val="00"/>
    <w:family w:val="roman"/>
    <w:notTrueType/>
    <w:pitch w:val="default"/>
  </w:font>
  <w:font w:name="MTSY">
    <w:altName w:val="Segoe Print"/>
    <w:charset w:val="00"/>
    <w:family w:val="auto"/>
    <w:pitch w:val="default"/>
  </w:font>
  <w:font w:name="NndpsgAdvTTa351d857 . B">
    <w:altName w:val="Segoe Print"/>
    <w:charset w:val="00"/>
    <w:family w:val="auto"/>
    <w:pitch w:val="default"/>
  </w:font>
  <w:font w:name="ThjlhlAdvTT3713a231">
    <w:altName w:val="Times New Roman"/>
    <w:charset w:val="00"/>
    <w:family w:val="auto"/>
    <w:pitch w:val="default"/>
  </w:font>
  <w:font w:name="TimesNewRomanPS">
    <w:altName w:val="Times New Roman"/>
    <w:charset w:val="00"/>
    <w:family w:val="auto"/>
    <w:pitch w:val="default"/>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81A"/>
    <w:rsid w:val="001E381A"/>
    <w:rsid w:val="00272E98"/>
    <w:rsid w:val="002E5CE3"/>
    <w:rsid w:val="003B6AD8"/>
    <w:rsid w:val="00590BE6"/>
    <w:rsid w:val="006847BA"/>
    <w:rsid w:val="00921388"/>
    <w:rsid w:val="00986BBC"/>
    <w:rsid w:val="00A42777"/>
    <w:rsid w:val="00B530FA"/>
    <w:rsid w:val="00D24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E6D70"/>
  <w15:chartTrackingRefBased/>
  <w15:docId w15:val="{3C6E0F16-CE25-47C8-A6FC-86A8AF1FE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381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sid w:val="001E381A"/>
    <w:rPr>
      <w:sz w:val="16"/>
      <w:szCs w:val="16"/>
    </w:rPr>
  </w:style>
  <w:style w:type="character" w:customStyle="1" w:styleId="fontstyle21">
    <w:name w:val="fontstyle21"/>
    <w:basedOn w:val="a0"/>
    <w:qFormat/>
    <w:rsid w:val="001E381A"/>
    <w:rPr>
      <w:rFonts w:ascii="AdvOT1ef757c0" w:hAnsi="AdvOT1ef757c0" w:hint="default"/>
      <w:color w:val="000000"/>
      <w:sz w:val="14"/>
      <w:szCs w:val="14"/>
    </w:rPr>
  </w:style>
  <w:style w:type="character" w:customStyle="1" w:styleId="fontstyle31">
    <w:name w:val="fontstyle31"/>
    <w:basedOn w:val="a0"/>
    <w:qFormat/>
    <w:rsid w:val="001E381A"/>
    <w:rPr>
      <w:rFonts w:ascii="AdvOT1ef757c0+20" w:hAnsi="AdvOT1ef757c0+20" w:hint="default"/>
      <w:color w:val="000000"/>
      <w:sz w:val="14"/>
      <w:szCs w:val="14"/>
    </w:rPr>
  </w:style>
  <w:style w:type="character" w:customStyle="1" w:styleId="fontstyle41">
    <w:name w:val="fontstyle41"/>
    <w:basedOn w:val="a0"/>
    <w:qFormat/>
    <w:rsid w:val="001E381A"/>
    <w:rPr>
      <w:rFonts w:ascii="AdvOT1ef757c0+fb" w:hAnsi="AdvOT1ef757c0+fb" w:hint="default"/>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C97572-CF13-4345-B237-3F1E7C5239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1721</Words>
  <Characters>9814</Characters>
  <Application>Microsoft Office Word</Application>
  <DocSecurity>0</DocSecurity>
  <Lines>81</Lines>
  <Paragraphs>23</Paragraphs>
  <ScaleCrop>false</ScaleCrop>
  <Company/>
  <LinksUpToDate>false</LinksUpToDate>
  <CharactersWithSpaces>11512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 </cp:lastModifiedBy>
  <cp:revision>5</cp:revision>
  <dcterms:created xsi:type="dcterms:W3CDTF">2020-02-26T15:21:00Z</dcterms:created>
  <dcterms:modified xsi:type="dcterms:W3CDTF">2020-02-27T04:24:00Z</dcterms:modified>
</cp:coreProperties>
</file>