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F7736" w:rsidRDefault="00431323">
      <w:r w:rsidRPr="00431323">
        <w:drawing>
          <wp:inline distT="0" distB="0" distL="0" distR="0" wp14:anchorId="09566A18" wp14:editId="4837099E">
            <wp:extent cx="5270500" cy="164782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1323" w:rsidRPr="00431323" w:rsidRDefault="00431323">
      <w:pPr>
        <w:rPr>
          <w:rFonts w:ascii="Times New Roman" w:hAnsi="Times New Roman" w:cs="Times New Roman"/>
          <w:b/>
          <w:bCs/>
          <w:sz w:val="24"/>
        </w:rPr>
      </w:pPr>
      <w:r w:rsidRPr="00431323">
        <w:rPr>
          <w:rFonts w:ascii="Times New Roman" w:hAnsi="Times New Roman" w:cs="Times New Roman"/>
          <w:b/>
          <w:bCs/>
          <w:sz w:val="24"/>
        </w:rPr>
        <w:t>Supplementary Table 4.</w:t>
      </w:r>
      <w:r>
        <w:rPr>
          <w:rFonts w:ascii="Times New Roman" w:hAnsi="Times New Roman" w:cs="Times New Roman"/>
          <w:b/>
          <w:bCs/>
          <w:sz w:val="24"/>
        </w:rPr>
        <w:t xml:space="preserve"> The overview about significant correlation between inflammatory cell types with pan-cancer.</w:t>
      </w:r>
    </w:p>
    <w:sectPr w:rsidR="00431323" w:rsidRPr="00431323" w:rsidSect="00B20395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323"/>
    <w:rsid w:val="00040EBB"/>
    <w:rsid w:val="003E4924"/>
    <w:rsid w:val="00431323"/>
    <w:rsid w:val="0046202E"/>
    <w:rsid w:val="004D423F"/>
    <w:rsid w:val="005B1E85"/>
    <w:rsid w:val="007F3FF6"/>
    <w:rsid w:val="008D5761"/>
    <w:rsid w:val="00B13942"/>
    <w:rsid w:val="00B20395"/>
    <w:rsid w:val="00CF7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78D323"/>
  <w15:chartTrackingRefBased/>
  <w15:docId w15:val="{0AADE8CA-DBA9-7B4E-91FC-964B49864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13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323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31323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06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2020-10-13T14:04:00Z</dcterms:created>
  <dcterms:modified xsi:type="dcterms:W3CDTF">2020-10-13T14:08:00Z</dcterms:modified>
</cp:coreProperties>
</file>