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4133" w:rsidRPr="007D75FC" w:rsidRDefault="00265531" w:rsidP="007D75FC">
      <w:pPr>
        <w:jc w:val="center"/>
        <w:rPr>
          <w:rFonts w:hint="eastAsia"/>
          <w:b/>
          <w:sz w:val="32"/>
        </w:rPr>
      </w:pPr>
      <w:r w:rsidRPr="0025369F">
        <w:rPr>
          <w:rFonts w:hint="eastAsia"/>
          <w:b/>
          <w:sz w:val="32"/>
        </w:rPr>
        <w:t>Additional file 2</w:t>
      </w:r>
    </w:p>
    <w:p w:rsidR="00DA4133" w:rsidRPr="00B035CD" w:rsidRDefault="00DA4133" w:rsidP="00DA4133">
      <w:pPr>
        <w:spacing w:line="360" w:lineRule="auto"/>
        <w:rPr>
          <w:b/>
          <w:sz w:val="24"/>
          <w:szCs w:val="24"/>
        </w:rPr>
      </w:pPr>
      <w:r w:rsidRPr="00B035CD">
        <w:rPr>
          <w:b/>
          <w:sz w:val="24"/>
          <w:szCs w:val="24"/>
        </w:rPr>
        <w:t>Supplementary</w:t>
      </w:r>
      <w:r w:rsidRPr="00B035CD">
        <w:rPr>
          <w:rFonts w:hint="eastAsia"/>
          <w:b/>
          <w:sz w:val="24"/>
          <w:szCs w:val="24"/>
        </w:rPr>
        <w:t xml:space="preserve"> Figure 1</w:t>
      </w:r>
    </w:p>
    <w:p w:rsidR="00DA4133" w:rsidRPr="00B035CD" w:rsidRDefault="00DA4133" w:rsidP="00DA4133">
      <w:pPr>
        <w:spacing w:line="360" w:lineRule="auto"/>
        <w:rPr>
          <w:b/>
          <w:sz w:val="24"/>
          <w:szCs w:val="24"/>
        </w:rPr>
      </w:pPr>
      <w:r w:rsidRPr="00B035CD">
        <w:rPr>
          <w:b/>
          <w:noProof/>
          <w:sz w:val="24"/>
          <w:szCs w:val="24"/>
        </w:rPr>
        <w:drawing>
          <wp:inline distT="0" distB="0" distL="0" distR="0" wp14:anchorId="0E834BC1" wp14:editId="5DFDD226">
            <wp:extent cx="5274310" cy="5577363"/>
            <wp:effectExtent l="0" t="0" r="2540" b="4445"/>
            <wp:docPr id="26" name="图片 26" descr="E:\工作\研究生工作\虞姣姣\白鲜碱\CANCER LETTERS\投稿\DIC实验结果整理\附件 图\Fig.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工作\研究生工作\虞姣姣\白鲜碱\CANCER LETTERS\投稿\DIC实验结果整理\附件 图\Fig. S1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77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4133" w:rsidRPr="00DA4133" w:rsidRDefault="00DA4133" w:rsidP="00DA4133">
      <w:pPr>
        <w:spacing w:line="360" w:lineRule="auto"/>
        <w:rPr>
          <w:sz w:val="24"/>
          <w:szCs w:val="24"/>
        </w:rPr>
      </w:pPr>
      <w:r w:rsidRPr="00B035CD">
        <w:rPr>
          <w:b/>
          <w:sz w:val="24"/>
          <w:szCs w:val="24"/>
        </w:rPr>
        <w:t>Fig. S1</w:t>
      </w:r>
      <w:r w:rsidRPr="00B035CD">
        <w:rPr>
          <w:rFonts w:hint="eastAsia"/>
          <w:b/>
          <w:sz w:val="24"/>
          <w:szCs w:val="24"/>
        </w:rPr>
        <w:t xml:space="preserve">. </w:t>
      </w:r>
      <w:r w:rsidRPr="007D75FC">
        <w:rPr>
          <w:rFonts w:hint="eastAsia"/>
          <w:sz w:val="24"/>
          <w:szCs w:val="24"/>
        </w:rPr>
        <w:t>Validation of c-Met up-regulation in NSCLC clinical specimens.</w:t>
      </w:r>
      <w:r w:rsidRPr="00B035CD">
        <w:rPr>
          <w:rFonts w:hint="eastAsia"/>
          <w:b/>
          <w:sz w:val="24"/>
          <w:szCs w:val="24"/>
        </w:rPr>
        <w:t xml:space="preserve"> </w:t>
      </w:r>
      <w:r w:rsidR="007D75FC" w:rsidRPr="007D75FC">
        <w:rPr>
          <w:b/>
          <w:sz w:val="24"/>
          <w:szCs w:val="24"/>
        </w:rPr>
        <w:t>a</w:t>
      </w:r>
      <w:r w:rsidRPr="00B035CD">
        <w:rPr>
          <w:rFonts w:hint="eastAsia"/>
          <w:sz w:val="24"/>
          <w:szCs w:val="24"/>
        </w:rPr>
        <w:t xml:space="preserve"> Western blotting </w:t>
      </w:r>
      <w:r w:rsidRPr="00B035CD">
        <w:rPr>
          <w:sz w:val="24"/>
          <w:szCs w:val="24"/>
        </w:rPr>
        <w:t>assay</w:t>
      </w:r>
      <w:r w:rsidRPr="00B035CD">
        <w:rPr>
          <w:rFonts w:hint="eastAsia"/>
          <w:sz w:val="24"/>
          <w:szCs w:val="24"/>
        </w:rPr>
        <w:t xml:space="preserve"> of c-Met protein level in 12 pairs of human clinical NSCLC samples (T: tumor tissue, N: paired adjacent noncancerous tissue). </w:t>
      </w:r>
      <w:r w:rsidR="007D75FC" w:rsidRPr="007D75FC">
        <w:rPr>
          <w:b/>
          <w:sz w:val="24"/>
          <w:szCs w:val="24"/>
        </w:rPr>
        <w:t>b</w:t>
      </w:r>
      <w:r w:rsidRPr="00B035CD">
        <w:rPr>
          <w:rFonts w:hint="eastAsia"/>
          <w:sz w:val="24"/>
          <w:szCs w:val="24"/>
        </w:rPr>
        <w:t xml:space="preserve"> Quantitative RT-PCR assay of relative c-Met mRNA expression levels in 20 pairs of human clinical NSCLC tissues (Tumor) and adjacent noncancerous tissues (Normal), </w:t>
      </w:r>
      <w:r w:rsidRPr="00B035CD">
        <w:rPr>
          <w:sz w:val="24"/>
          <w:szCs w:val="24"/>
        </w:rPr>
        <w:t>****</w:t>
      </w:r>
      <w:r w:rsidRPr="00B035CD">
        <w:rPr>
          <w:rFonts w:hint="eastAsia"/>
          <w:i/>
          <w:sz w:val="24"/>
          <w:szCs w:val="24"/>
        </w:rPr>
        <w:t>p</w:t>
      </w:r>
      <w:r w:rsidRPr="00B035CD">
        <w:rPr>
          <w:rFonts w:hint="eastAsia"/>
          <w:sz w:val="24"/>
          <w:szCs w:val="24"/>
        </w:rPr>
        <w:t xml:space="preserve"> &lt; 0.0001 as compared with the control </w:t>
      </w:r>
      <w:r w:rsidRPr="00B035CD">
        <w:rPr>
          <w:kern w:val="0"/>
          <w:sz w:val="24"/>
          <w:szCs w:val="24"/>
        </w:rPr>
        <w:t>(one-way ANOVA with Dunnett's test)</w:t>
      </w:r>
      <w:r w:rsidRPr="00B035CD">
        <w:rPr>
          <w:rFonts w:hint="eastAsia"/>
          <w:sz w:val="24"/>
          <w:szCs w:val="24"/>
        </w:rPr>
        <w:t>.</w:t>
      </w:r>
    </w:p>
    <w:p w:rsidR="00DA4133" w:rsidRPr="00B035CD" w:rsidRDefault="00DA4133" w:rsidP="00DA4133">
      <w:pPr>
        <w:spacing w:line="360" w:lineRule="auto"/>
        <w:rPr>
          <w:b/>
          <w:sz w:val="24"/>
          <w:szCs w:val="24"/>
        </w:rPr>
      </w:pPr>
      <w:r w:rsidRPr="00B035CD">
        <w:rPr>
          <w:b/>
          <w:sz w:val="24"/>
          <w:szCs w:val="24"/>
        </w:rPr>
        <w:lastRenderedPageBreak/>
        <w:t>Supplementary</w:t>
      </w:r>
      <w:r w:rsidRPr="00B035CD">
        <w:rPr>
          <w:rFonts w:hint="eastAsia"/>
          <w:b/>
          <w:sz w:val="24"/>
          <w:szCs w:val="24"/>
        </w:rPr>
        <w:t xml:space="preserve"> Figure 2</w:t>
      </w:r>
    </w:p>
    <w:p w:rsidR="00DA4133" w:rsidRPr="00B035CD" w:rsidRDefault="00DA4133" w:rsidP="00DA4133">
      <w:pPr>
        <w:spacing w:line="360" w:lineRule="auto"/>
        <w:jc w:val="center"/>
        <w:rPr>
          <w:b/>
          <w:sz w:val="24"/>
          <w:szCs w:val="24"/>
        </w:rPr>
      </w:pPr>
      <w:r w:rsidRPr="00B035CD">
        <w:rPr>
          <w:b/>
          <w:noProof/>
          <w:sz w:val="24"/>
          <w:szCs w:val="24"/>
        </w:rPr>
        <w:drawing>
          <wp:inline distT="0" distB="0" distL="0" distR="0" wp14:anchorId="6D73EDFE" wp14:editId="137E2296">
            <wp:extent cx="5273248" cy="3802380"/>
            <wp:effectExtent l="0" t="0" r="3810" b="7620"/>
            <wp:docPr id="3" name="图片 3" descr="E:\工作\研究生工作\虞姣姣\白鲜碱\CANCER LETTERS\投稿\DIC实验结果整理\附件 图\Fig.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工作\研究生工作\虞姣姣\白鲜碱\CANCER LETTERS\投稿\DIC实验结果整理\附件 图\Fig. S2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03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4133" w:rsidRPr="00B035CD" w:rsidRDefault="00DA4133" w:rsidP="00DA4133">
      <w:pPr>
        <w:spacing w:line="360" w:lineRule="auto"/>
        <w:rPr>
          <w:b/>
          <w:sz w:val="24"/>
          <w:szCs w:val="24"/>
        </w:rPr>
      </w:pPr>
      <w:r w:rsidRPr="00B035CD">
        <w:rPr>
          <w:b/>
          <w:sz w:val="24"/>
          <w:szCs w:val="24"/>
        </w:rPr>
        <w:t>Fig. S</w:t>
      </w:r>
      <w:r w:rsidRPr="00B035CD">
        <w:rPr>
          <w:rFonts w:hint="eastAsia"/>
          <w:b/>
          <w:sz w:val="24"/>
          <w:szCs w:val="24"/>
        </w:rPr>
        <w:t xml:space="preserve">2. </w:t>
      </w:r>
      <w:r w:rsidRPr="007D75FC">
        <w:rPr>
          <w:rFonts w:hint="eastAsia"/>
          <w:sz w:val="24"/>
          <w:szCs w:val="24"/>
        </w:rPr>
        <w:t>Synergistic effects of gefitinib and Dic on the proliferation of PC9GR cells.</w:t>
      </w:r>
      <w:r w:rsidRPr="00B035CD">
        <w:rPr>
          <w:rFonts w:hint="eastAsia"/>
          <w:b/>
          <w:sz w:val="24"/>
          <w:szCs w:val="24"/>
        </w:rPr>
        <w:t xml:space="preserve"> </w:t>
      </w:r>
      <w:r w:rsidR="007D75FC">
        <w:rPr>
          <w:b/>
          <w:sz w:val="24"/>
          <w:szCs w:val="24"/>
        </w:rPr>
        <w:t xml:space="preserve"> </w:t>
      </w:r>
      <w:r w:rsidR="007D75FC" w:rsidRPr="007D75FC">
        <w:rPr>
          <w:b/>
          <w:sz w:val="24"/>
          <w:szCs w:val="24"/>
        </w:rPr>
        <w:t>a</w:t>
      </w:r>
      <w:r w:rsidRPr="00B035CD">
        <w:rPr>
          <w:rFonts w:hint="eastAsia"/>
          <w:sz w:val="24"/>
          <w:szCs w:val="24"/>
        </w:rPr>
        <w:t xml:space="preserve"> Comparison of the sensitivity of PC9 cells and PC9GR cells to gefitinib. Cell viability was assessed by CCK8 assay after treatment with gefitinib (1 </w:t>
      </w:r>
      <w:r w:rsidRPr="00B035CD">
        <w:rPr>
          <w:sz w:val="24"/>
          <w:szCs w:val="24"/>
        </w:rPr>
        <w:t>μM</w:t>
      </w:r>
      <w:r w:rsidRPr="00B035CD">
        <w:rPr>
          <w:rFonts w:hint="eastAsia"/>
          <w:sz w:val="24"/>
          <w:szCs w:val="24"/>
        </w:rPr>
        <w:t xml:space="preserve">) for 72 h. </w:t>
      </w:r>
      <w:r w:rsidR="007D75FC" w:rsidRPr="007D75FC">
        <w:rPr>
          <w:b/>
          <w:sz w:val="24"/>
          <w:szCs w:val="24"/>
        </w:rPr>
        <w:t>b</w:t>
      </w:r>
      <w:r w:rsidR="007D75FC">
        <w:rPr>
          <w:sz w:val="24"/>
          <w:szCs w:val="24"/>
        </w:rPr>
        <w:t xml:space="preserve"> </w:t>
      </w:r>
      <w:r w:rsidRPr="00B035CD">
        <w:rPr>
          <w:rFonts w:hint="eastAsia"/>
          <w:sz w:val="24"/>
          <w:szCs w:val="24"/>
        </w:rPr>
        <w:t xml:space="preserve">Cell viability of PC9GR cells after treatment with gefitinib (1 </w:t>
      </w:r>
      <w:r w:rsidRPr="00B035CD">
        <w:rPr>
          <w:sz w:val="24"/>
          <w:szCs w:val="24"/>
        </w:rPr>
        <w:t>μM</w:t>
      </w:r>
      <w:r w:rsidRPr="00B035CD">
        <w:rPr>
          <w:rFonts w:hint="eastAsia"/>
          <w:sz w:val="24"/>
          <w:szCs w:val="24"/>
        </w:rPr>
        <w:t xml:space="preserve">) and different concentrations of Dic was determined by CCK8 assay at the indicated time. </w:t>
      </w:r>
      <w:r w:rsidR="007D75FC" w:rsidRPr="007D75FC">
        <w:rPr>
          <w:b/>
          <w:sz w:val="24"/>
          <w:szCs w:val="24"/>
        </w:rPr>
        <w:t>c</w:t>
      </w:r>
      <w:r w:rsidRPr="00B035CD">
        <w:rPr>
          <w:rFonts w:hint="eastAsia"/>
          <w:sz w:val="24"/>
          <w:szCs w:val="24"/>
        </w:rPr>
        <w:t xml:space="preserve"> EdU incorporation assays were applied to examine the EdU positive PC9GR cells after treatment with gefitinib (1 </w:t>
      </w:r>
      <w:r w:rsidRPr="00B035CD">
        <w:rPr>
          <w:sz w:val="24"/>
          <w:szCs w:val="24"/>
        </w:rPr>
        <w:t>μM</w:t>
      </w:r>
      <w:r w:rsidRPr="00B035CD">
        <w:rPr>
          <w:rFonts w:hint="eastAsia"/>
          <w:sz w:val="24"/>
          <w:szCs w:val="24"/>
        </w:rPr>
        <w:t xml:space="preserve">) and Dic for 48 h. Data were obtained from three independent experiments and represented as the </w:t>
      </w:r>
      <w:r w:rsidRPr="00B035CD">
        <w:rPr>
          <w:sz w:val="24"/>
          <w:szCs w:val="24"/>
        </w:rPr>
        <w:t>mean ±</w:t>
      </w:r>
      <w:r w:rsidRPr="00B035CD">
        <w:rPr>
          <w:rFonts w:hint="eastAsia"/>
          <w:sz w:val="24"/>
          <w:szCs w:val="24"/>
        </w:rPr>
        <w:t xml:space="preserve"> S.D., </w:t>
      </w:r>
      <w:r w:rsidRPr="00B035CD">
        <w:rPr>
          <w:sz w:val="24"/>
          <w:szCs w:val="24"/>
        </w:rPr>
        <w:t>*</w:t>
      </w:r>
      <w:r w:rsidRPr="00B035CD">
        <w:rPr>
          <w:rFonts w:hint="eastAsia"/>
          <w:i/>
          <w:sz w:val="24"/>
          <w:szCs w:val="24"/>
        </w:rPr>
        <w:t>p</w:t>
      </w:r>
      <w:r w:rsidRPr="00B035CD">
        <w:rPr>
          <w:rFonts w:hint="eastAsia"/>
          <w:sz w:val="24"/>
          <w:szCs w:val="24"/>
        </w:rPr>
        <w:t xml:space="preserve"> &lt; 0.05, </w:t>
      </w:r>
      <w:r w:rsidRPr="00B035CD">
        <w:rPr>
          <w:sz w:val="24"/>
          <w:szCs w:val="24"/>
        </w:rPr>
        <w:t>**</w:t>
      </w:r>
      <w:r w:rsidRPr="00B035CD">
        <w:rPr>
          <w:rFonts w:hint="eastAsia"/>
          <w:i/>
          <w:sz w:val="24"/>
          <w:szCs w:val="24"/>
        </w:rPr>
        <w:t>p</w:t>
      </w:r>
      <w:r w:rsidRPr="00B035CD">
        <w:rPr>
          <w:rFonts w:hint="eastAsia"/>
          <w:sz w:val="24"/>
          <w:szCs w:val="24"/>
        </w:rPr>
        <w:t xml:space="preserve"> &lt; 0.01, </w:t>
      </w:r>
      <w:r w:rsidRPr="00B035CD">
        <w:rPr>
          <w:sz w:val="24"/>
          <w:szCs w:val="24"/>
        </w:rPr>
        <w:t>****</w:t>
      </w:r>
      <w:r w:rsidRPr="00B035CD">
        <w:rPr>
          <w:rFonts w:hint="eastAsia"/>
          <w:i/>
          <w:sz w:val="24"/>
          <w:szCs w:val="24"/>
        </w:rPr>
        <w:t>p</w:t>
      </w:r>
      <w:r w:rsidRPr="00B035CD">
        <w:rPr>
          <w:rFonts w:hint="eastAsia"/>
          <w:sz w:val="24"/>
          <w:szCs w:val="24"/>
        </w:rPr>
        <w:t xml:space="preserve"> &lt; 0.0001 and ns (not significant) as compared with the controls.</w:t>
      </w:r>
    </w:p>
    <w:p w:rsidR="00DA4133" w:rsidRPr="00B035CD" w:rsidRDefault="00DA4133" w:rsidP="00DA4133">
      <w:pPr>
        <w:spacing w:line="360" w:lineRule="auto"/>
        <w:rPr>
          <w:b/>
          <w:sz w:val="24"/>
          <w:szCs w:val="24"/>
        </w:rPr>
      </w:pPr>
    </w:p>
    <w:p w:rsidR="00DA4133" w:rsidRPr="00B035CD" w:rsidRDefault="00DA4133" w:rsidP="00DA4133">
      <w:pPr>
        <w:spacing w:line="360" w:lineRule="auto"/>
        <w:rPr>
          <w:b/>
          <w:sz w:val="24"/>
          <w:szCs w:val="24"/>
        </w:rPr>
      </w:pPr>
    </w:p>
    <w:p w:rsidR="00DA4133" w:rsidRPr="00B035CD" w:rsidRDefault="00DA4133" w:rsidP="00DA4133">
      <w:pPr>
        <w:spacing w:line="360" w:lineRule="auto"/>
        <w:rPr>
          <w:b/>
          <w:sz w:val="24"/>
          <w:szCs w:val="24"/>
        </w:rPr>
      </w:pPr>
    </w:p>
    <w:p w:rsidR="00DA4133" w:rsidRPr="00B035CD" w:rsidRDefault="00DA4133" w:rsidP="00DA4133">
      <w:pPr>
        <w:spacing w:line="360" w:lineRule="auto"/>
        <w:rPr>
          <w:rFonts w:hint="eastAsia"/>
          <w:b/>
          <w:sz w:val="24"/>
          <w:szCs w:val="24"/>
        </w:rPr>
      </w:pPr>
    </w:p>
    <w:p w:rsidR="00DA4133" w:rsidRPr="00B035CD" w:rsidRDefault="00DA4133" w:rsidP="00DA4133">
      <w:pPr>
        <w:spacing w:line="360" w:lineRule="auto"/>
        <w:rPr>
          <w:b/>
          <w:sz w:val="24"/>
          <w:szCs w:val="24"/>
        </w:rPr>
      </w:pPr>
      <w:r w:rsidRPr="00B035CD">
        <w:rPr>
          <w:b/>
          <w:sz w:val="24"/>
          <w:szCs w:val="24"/>
        </w:rPr>
        <w:lastRenderedPageBreak/>
        <w:t>Supplementary</w:t>
      </w:r>
      <w:r w:rsidRPr="00B035CD">
        <w:rPr>
          <w:rFonts w:hint="eastAsia"/>
          <w:b/>
          <w:sz w:val="24"/>
          <w:szCs w:val="24"/>
        </w:rPr>
        <w:t xml:space="preserve"> Figure 3</w:t>
      </w:r>
    </w:p>
    <w:p w:rsidR="00DA4133" w:rsidRPr="00B035CD" w:rsidRDefault="00DA4133" w:rsidP="00DA4133">
      <w:pPr>
        <w:spacing w:line="360" w:lineRule="auto"/>
        <w:jc w:val="center"/>
        <w:rPr>
          <w:b/>
          <w:sz w:val="24"/>
          <w:szCs w:val="24"/>
        </w:rPr>
      </w:pPr>
      <w:r w:rsidRPr="00B035CD">
        <w:rPr>
          <w:b/>
          <w:noProof/>
          <w:sz w:val="24"/>
          <w:szCs w:val="24"/>
        </w:rPr>
        <w:drawing>
          <wp:inline distT="0" distB="0" distL="0" distR="0" wp14:anchorId="69018AF6" wp14:editId="7B3D0197">
            <wp:extent cx="5274733" cy="7442200"/>
            <wp:effectExtent l="0" t="0" r="2540" b="6350"/>
            <wp:docPr id="27" name="图片 27" descr="E:\工作\研究生工作\虞姣姣\白鲜碱\CANCER LETTERS\投稿\DIC实验结果整理\附件 图\Fig.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工作\研究生工作\虞姣姣\白鲜碱\CANCER LETTERS\投稿\DIC实验结果整理\附件 图\Fig. S3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41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4133" w:rsidRPr="00B035CD" w:rsidRDefault="00DA4133" w:rsidP="00DA4133">
      <w:pPr>
        <w:spacing w:line="360" w:lineRule="auto"/>
        <w:rPr>
          <w:b/>
          <w:sz w:val="24"/>
          <w:szCs w:val="24"/>
        </w:rPr>
      </w:pPr>
      <w:r w:rsidRPr="00B035CD">
        <w:rPr>
          <w:b/>
          <w:sz w:val="24"/>
          <w:szCs w:val="24"/>
        </w:rPr>
        <w:t>Fig. S</w:t>
      </w:r>
      <w:r w:rsidRPr="00B035CD">
        <w:rPr>
          <w:rFonts w:hint="eastAsia"/>
          <w:b/>
          <w:sz w:val="24"/>
          <w:szCs w:val="24"/>
        </w:rPr>
        <w:t xml:space="preserve">3. </w:t>
      </w:r>
      <w:r w:rsidRPr="007D75FC">
        <w:rPr>
          <w:rFonts w:hint="eastAsia"/>
          <w:sz w:val="24"/>
          <w:szCs w:val="24"/>
        </w:rPr>
        <w:t>Combined effects of gefitinib and Dic on the clonogenicity and migration of PC9GR cells.</w:t>
      </w:r>
      <w:r w:rsidRPr="00B035CD">
        <w:rPr>
          <w:rFonts w:hint="eastAsia"/>
          <w:b/>
          <w:sz w:val="24"/>
          <w:szCs w:val="24"/>
        </w:rPr>
        <w:t xml:space="preserve"> </w:t>
      </w:r>
      <w:r w:rsidR="007D75FC" w:rsidRPr="007D75FC">
        <w:rPr>
          <w:b/>
          <w:sz w:val="24"/>
          <w:szCs w:val="24"/>
        </w:rPr>
        <w:t>a</w:t>
      </w:r>
      <w:r w:rsidRPr="00B035CD">
        <w:rPr>
          <w:rFonts w:hint="eastAsia"/>
          <w:sz w:val="24"/>
          <w:szCs w:val="24"/>
        </w:rPr>
        <w:t xml:space="preserve"> Effect of gefitinib and Dic on the colony formation of PC9GR cells. Cells were treated with gefitinib (1 </w:t>
      </w:r>
      <w:r w:rsidRPr="00B035CD">
        <w:rPr>
          <w:sz w:val="24"/>
          <w:szCs w:val="24"/>
        </w:rPr>
        <w:t>μM</w:t>
      </w:r>
      <w:r w:rsidRPr="00B035CD">
        <w:rPr>
          <w:rFonts w:hint="eastAsia"/>
          <w:sz w:val="24"/>
          <w:szCs w:val="24"/>
        </w:rPr>
        <w:t xml:space="preserve">) and different concentrations of Dic and </w:t>
      </w:r>
      <w:r w:rsidRPr="00B035CD">
        <w:rPr>
          <w:rFonts w:hint="eastAsia"/>
          <w:sz w:val="24"/>
          <w:szCs w:val="24"/>
        </w:rPr>
        <w:lastRenderedPageBreak/>
        <w:t xml:space="preserve">incubated for 2 weeks, colony numbers were counted using a microscope and the Image-Pro plus software program. </w:t>
      </w:r>
      <w:r w:rsidR="007D75FC" w:rsidRPr="007D75FC">
        <w:rPr>
          <w:b/>
          <w:sz w:val="24"/>
          <w:szCs w:val="24"/>
        </w:rPr>
        <w:t>b</w:t>
      </w:r>
      <w:r w:rsidRPr="00B035CD">
        <w:rPr>
          <w:rFonts w:hint="eastAsia"/>
          <w:sz w:val="24"/>
          <w:szCs w:val="24"/>
        </w:rPr>
        <w:t xml:space="preserve"> The effect of gefitinib and Dic on PC9GR cells migration was tested by transwell assay. </w:t>
      </w:r>
      <w:r w:rsidRPr="00B035CD">
        <w:rPr>
          <w:kern w:val="0"/>
          <w:sz w:val="24"/>
          <w:szCs w:val="24"/>
        </w:rPr>
        <w:t xml:space="preserve">Scale bar = </w:t>
      </w:r>
      <w:r w:rsidRPr="00B035CD">
        <w:rPr>
          <w:rFonts w:hint="eastAsia"/>
          <w:kern w:val="0"/>
          <w:sz w:val="24"/>
          <w:szCs w:val="24"/>
        </w:rPr>
        <w:t>80</w:t>
      </w:r>
      <w:r w:rsidRPr="00B035CD">
        <w:rPr>
          <w:kern w:val="0"/>
          <w:sz w:val="24"/>
          <w:szCs w:val="24"/>
        </w:rPr>
        <w:t xml:space="preserve"> μm.</w:t>
      </w:r>
      <w:r w:rsidRPr="00B035CD">
        <w:rPr>
          <w:rFonts w:hint="eastAsia"/>
          <w:kern w:val="0"/>
          <w:sz w:val="24"/>
          <w:szCs w:val="24"/>
        </w:rPr>
        <w:t xml:space="preserve"> </w:t>
      </w:r>
      <w:r w:rsidRPr="00B035CD">
        <w:rPr>
          <w:rFonts w:hint="eastAsia"/>
          <w:sz w:val="24"/>
          <w:szCs w:val="24"/>
        </w:rPr>
        <w:t xml:space="preserve">Data were shown as the mean </w:t>
      </w:r>
      <w:r w:rsidRPr="00B035CD">
        <w:rPr>
          <w:sz w:val="24"/>
          <w:szCs w:val="24"/>
        </w:rPr>
        <w:t>±</w:t>
      </w:r>
      <w:r w:rsidRPr="00B035CD">
        <w:rPr>
          <w:rFonts w:hint="eastAsia"/>
          <w:sz w:val="24"/>
          <w:szCs w:val="24"/>
        </w:rPr>
        <w:t xml:space="preserve"> S.D., n = 5, </w:t>
      </w:r>
      <w:r w:rsidRPr="00B035CD">
        <w:rPr>
          <w:sz w:val="24"/>
          <w:szCs w:val="24"/>
        </w:rPr>
        <w:t>***</w:t>
      </w:r>
      <w:r w:rsidRPr="00B035CD">
        <w:rPr>
          <w:rFonts w:hint="eastAsia"/>
          <w:i/>
          <w:sz w:val="24"/>
          <w:szCs w:val="24"/>
        </w:rPr>
        <w:t>p</w:t>
      </w:r>
      <w:r w:rsidRPr="00B035CD">
        <w:rPr>
          <w:rFonts w:hint="eastAsia"/>
          <w:sz w:val="24"/>
          <w:szCs w:val="24"/>
        </w:rPr>
        <w:t xml:space="preserve"> &lt; 0.001 and </w:t>
      </w:r>
      <w:r w:rsidRPr="00B035CD">
        <w:rPr>
          <w:sz w:val="24"/>
          <w:szCs w:val="24"/>
        </w:rPr>
        <w:t>****</w:t>
      </w:r>
      <w:r w:rsidRPr="00B035CD">
        <w:rPr>
          <w:rFonts w:hint="eastAsia"/>
          <w:i/>
          <w:sz w:val="24"/>
          <w:szCs w:val="24"/>
        </w:rPr>
        <w:t>p</w:t>
      </w:r>
      <w:r w:rsidRPr="00B035CD">
        <w:rPr>
          <w:rFonts w:hint="eastAsia"/>
          <w:sz w:val="24"/>
          <w:szCs w:val="24"/>
        </w:rPr>
        <w:t xml:space="preserve"> &lt; 0.0001 compared with the controls, ns, not significant.</w:t>
      </w:r>
    </w:p>
    <w:p w:rsidR="00DA4133" w:rsidRPr="00B035CD" w:rsidRDefault="00DA4133" w:rsidP="00DA4133">
      <w:pPr>
        <w:spacing w:line="360" w:lineRule="auto"/>
        <w:rPr>
          <w:b/>
          <w:sz w:val="24"/>
          <w:szCs w:val="24"/>
        </w:rPr>
      </w:pPr>
    </w:p>
    <w:p w:rsidR="00DA4133" w:rsidRPr="00B035CD" w:rsidRDefault="00DA4133" w:rsidP="00DA4133">
      <w:pPr>
        <w:spacing w:line="360" w:lineRule="auto"/>
        <w:rPr>
          <w:b/>
          <w:sz w:val="24"/>
          <w:szCs w:val="24"/>
        </w:rPr>
      </w:pPr>
    </w:p>
    <w:p w:rsidR="00DA4133" w:rsidRPr="00B035CD" w:rsidRDefault="00DA4133" w:rsidP="00DA4133">
      <w:pPr>
        <w:spacing w:line="360" w:lineRule="auto"/>
        <w:rPr>
          <w:b/>
          <w:sz w:val="24"/>
          <w:szCs w:val="24"/>
        </w:rPr>
      </w:pPr>
    </w:p>
    <w:p w:rsidR="00DA4133" w:rsidRPr="00B035CD" w:rsidRDefault="00DA4133" w:rsidP="00DA4133">
      <w:pPr>
        <w:spacing w:line="360" w:lineRule="auto"/>
        <w:rPr>
          <w:b/>
          <w:sz w:val="24"/>
          <w:szCs w:val="24"/>
        </w:rPr>
      </w:pPr>
    </w:p>
    <w:p w:rsidR="00DA4133" w:rsidRPr="00B035CD" w:rsidRDefault="00DA4133" w:rsidP="00DA4133">
      <w:pPr>
        <w:spacing w:line="360" w:lineRule="auto"/>
        <w:rPr>
          <w:b/>
          <w:sz w:val="24"/>
          <w:szCs w:val="24"/>
        </w:rPr>
      </w:pPr>
    </w:p>
    <w:p w:rsidR="00DA4133" w:rsidRPr="00B035CD" w:rsidRDefault="00DA4133" w:rsidP="00DA4133">
      <w:pPr>
        <w:spacing w:line="360" w:lineRule="auto"/>
        <w:rPr>
          <w:b/>
          <w:sz w:val="24"/>
          <w:szCs w:val="24"/>
        </w:rPr>
      </w:pPr>
    </w:p>
    <w:p w:rsidR="00DA4133" w:rsidRPr="00B035CD" w:rsidRDefault="00DA4133" w:rsidP="00DA4133">
      <w:pPr>
        <w:spacing w:line="360" w:lineRule="auto"/>
        <w:rPr>
          <w:b/>
          <w:sz w:val="24"/>
          <w:szCs w:val="24"/>
        </w:rPr>
      </w:pPr>
    </w:p>
    <w:p w:rsidR="00DA4133" w:rsidRPr="00B035CD" w:rsidRDefault="00DA4133" w:rsidP="00DA4133">
      <w:pPr>
        <w:spacing w:line="360" w:lineRule="auto"/>
        <w:rPr>
          <w:b/>
          <w:sz w:val="24"/>
          <w:szCs w:val="24"/>
        </w:rPr>
      </w:pPr>
    </w:p>
    <w:p w:rsidR="00DA4133" w:rsidRPr="00B035CD" w:rsidRDefault="00DA4133" w:rsidP="00DA4133">
      <w:pPr>
        <w:spacing w:line="360" w:lineRule="auto"/>
        <w:rPr>
          <w:b/>
          <w:sz w:val="24"/>
          <w:szCs w:val="24"/>
        </w:rPr>
      </w:pPr>
    </w:p>
    <w:p w:rsidR="00DA4133" w:rsidRPr="00B035CD" w:rsidRDefault="00DA4133" w:rsidP="00DA4133">
      <w:pPr>
        <w:spacing w:line="360" w:lineRule="auto"/>
        <w:rPr>
          <w:b/>
          <w:sz w:val="24"/>
          <w:szCs w:val="24"/>
        </w:rPr>
      </w:pPr>
    </w:p>
    <w:p w:rsidR="00DA4133" w:rsidRPr="00B035CD" w:rsidRDefault="00DA4133" w:rsidP="00DA4133">
      <w:pPr>
        <w:spacing w:line="360" w:lineRule="auto"/>
        <w:rPr>
          <w:b/>
          <w:sz w:val="24"/>
          <w:szCs w:val="24"/>
        </w:rPr>
      </w:pPr>
    </w:p>
    <w:p w:rsidR="00DA4133" w:rsidRPr="00B035CD" w:rsidRDefault="00DA4133" w:rsidP="00DA4133">
      <w:pPr>
        <w:spacing w:line="360" w:lineRule="auto"/>
        <w:rPr>
          <w:b/>
          <w:sz w:val="24"/>
          <w:szCs w:val="24"/>
        </w:rPr>
      </w:pPr>
    </w:p>
    <w:p w:rsidR="00DA4133" w:rsidRPr="00B035CD" w:rsidRDefault="00DA4133" w:rsidP="00DA4133">
      <w:pPr>
        <w:spacing w:line="360" w:lineRule="auto"/>
        <w:rPr>
          <w:b/>
          <w:sz w:val="24"/>
          <w:szCs w:val="24"/>
        </w:rPr>
      </w:pPr>
    </w:p>
    <w:p w:rsidR="00DA4133" w:rsidRPr="00B035CD" w:rsidRDefault="00DA4133" w:rsidP="00DA4133">
      <w:pPr>
        <w:spacing w:line="360" w:lineRule="auto"/>
        <w:rPr>
          <w:b/>
          <w:sz w:val="24"/>
          <w:szCs w:val="24"/>
        </w:rPr>
      </w:pPr>
    </w:p>
    <w:p w:rsidR="00DA4133" w:rsidRPr="00B035CD" w:rsidRDefault="00DA4133" w:rsidP="00DA4133">
      <w:pPr>
        <w:spacing w:line="360" w:lineRule="auto"/>
        <w:rPr>
          <w:b/>
          <w:sz w:val="24"/>
          <w:szCs w:val="24"/>
        </w:rPr>
      </w:pPr>
    </w:p>
    <w:p w:rsidR="00DA4133" w:rsidRPr="00B035CD" w:rsidRDefault="00DA4133" w:rsidP="00DA4133">
      <w:pPr>
        <w:spacing w:line="360" w:lineRule="auto"/>
        <w:rPr>
          <w:b/>
          <w:sz w:val="24"/>
          <w:szCs w:val="24"/>
        </w:rPr>
      </w:pPr>
    </w:p>
    <w:p w:rsidR="00DA4133" w:rsidRPr="00B035CD" w:rsidRDefault="00DA4133" w:rsidP="00DA4133">
      <w:pPr>
        <w:spacing w:line="360" w:lineRule="auto"/>
        <w:rPr>
          <w:b/>
          <w:sz w:val="24"/>
          <w:szCs w:val="24"/>
        </w:rPr>
      </w:pPr>
    </w:p>
    <w:p w:rsidR="00DA4133" w:rsidRPr="00B035CD" w:rsidRDefault="00DA4133" w:rsidP="00DA4133">
      <w:pPr>
        <w:spacing w:line="360" w:lineRule="auto"/>
        <w:rPr>
          <w:b/>
          <w:sz w:val="24"/>
          <w:szCs w:val="24"/>
        </w:rPr>
      </w:pPr>
    </w:p>
    <w:p w:rsidR="00DA4133" w:rsidRPr="00B035CD" w:rsidRDefault="00DA4133" w:rsidP="00DA4133">
      <w:pPr>
        <w:spacing w:line="360" w:lineRule="auto"/>
        <w:rPr>
          <w:b/>
          <w:sz w:val="24"/>
          <w:szCs w:val="24"/>
        </w:rPr>
      </w:pPr>
      <w:r w:rsidRPr="00B035CD">
        <w:rPr>
          <w:b/>
          <w:sz w:val="24"/>
          <w:szCs w:val="24"/>
        </w:rPr>
        <w:lastRenderedPageBreak/>
        <w:t>Supplementary</w:t>
      </w:r>
      <w:r w:rsidRPr="00B035CD">
        <w:rPr>
          <w:rFonts w:hint="eastAsia"/>
          <w:b/>
          <w:sz w:val="24"/>
          <w:szCs w:val="24"/>
        </w:rPr>
        <w:t xml:space="preserve"> Figure 4</w:t>
      </w:r>
    </w:p>
    <w:p w:rsidR="00DA4133" w:rsidRPr="00B035CD" w:rsidRDefault="00DA4133" w:rsidP="00DA4133">
      <w:pPr>
        <w:spacing w:line="360" w:lineRule="auto"/>
        <w:jc w:val="center"/>
        <w:rPr>
          <w:b/>
          <w:sz w:val="24"/>
          <w:szCs w:val="24"/>
        </w:rPr>
      </w:pPr>
      <w:r w:rsidRPr="00B035CD">
        <w:rPr>
          <w:b/>
          <w:noProof/>
          <w:sz w:val="24"/>
          <w:szCs w:val="24"/>
        </w:rPr>
        <w:drawing>
          <wp:inline distT="0" distB="0" distL="0" distR="0" wp14:anchorId="6E72F237" wp14:editId="4AC32BA1">
            <wp:extent cx="5274733" cy="4343400"/>
            <wp:effectExtent l="0" t="0" r="2540" b="0"/>
            <wp:docPr id="24" name="图片 24" descr="E:\工作\研究生工作\虞姣姣\白鲜碱\CANCER LETTERS\投稿\DIC实验结果整理\附件 图\Fig.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工作\研究生工作\虞姣姣\白鲜碱\CANCER LETTERS\投稿\DIC实验结果整理\附件 图\Fig. S4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43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4133" w:rsidRPr="00274A8C" w:rsidRDefault="00DA4133" w:rsidP="00DA4133">
      <w:pPr>
        <w:spacing w:line="360" w:lineRule="auto"/>
        <w:rPr>
          <w:sz w:val="24"/>
          <w:szCs w:val="24"/>
        </w:rPr>
      </w:pPr>
      <w:r w:rsidRPr="00B035CD">
        <w:rPr>
          <w:b/>
          <w:sz w:val="24"/>
          <w:szCs w:val="24"/>
        </w:rPr>
        <w:t>Fig. S</w:t>
      </w:r>
      <w:r w:rsidRPr="00B035CD">
        <w:rPr>
          <w:rFonts w:hint="eastAsia"/>
          <w:b/>
          <w:sz w:val="24"/>
          <w:szCs w:val="24"/>
        </w:rPr>
        <w:t xml:space="preserve">4. </w:t>
      </w:r>
      <w:r w:rsidRPr="007D75FC">
        <w:rPr>
          <w:rFonts w:hint="eastAsia"/>
          <w:sz w:val="24"/>
          <w:szCs w:val="24"/>
        </w:rPr>
        <w:t>Dic inhibits the phosphorylation of GSK</w:t>
      </w:r>
      <w:r w:rsidRPr="007D75FC">
        <w:rPr>
          <w:sz w:val="24"/>
          <w:szCs w:val="24"/>
        </w:rPr>
        <w:t>3β</w:t>
      </w:r>
      <w:r w:rsidRPr="007D75FC">
        <w:rPr>
          <w:rFonts w:hint="eastAsia"/>
          <w:sz w:val="24"/>
          <w:szCs w:val="24"/>
        </w:rPr>
        <w:t xml:space="preserve">, the expression of transcription factors and cell cycle-related proteins, and </w:t>
      </w:r>
      <w:r w:rsidR="00933E9F" w:rsidRPr="007D75FC">
        <w:rPr>
          <w:sz w:val="24"/>
          <w:szCs w:val="24"/>
        </w:rPr>
        <w:t xml:space="preserve">the </w:t>
      </w:r>
      <w:r w:rsidRPr="007D75FC">
        <w:rPr>
          <w:rFonts w:hint="eastAsia"/>
          <w:sz w:val="24"/>
          <w:szCs w:val="24"/>
        </w:rPr>
        <w:t>nuclear translocation of transcription factors in A549 cells.</w:t>
      </w:r>
      <w:r w:rsidRPr="00B035CD">
        <w:rPr>
          <w:rFonts w:hint="eastAsia"/>
          <w:b/>
          <w:sz w:val="24"/>
          <w:szCs w:val="24"/>
        </w:rPr>
        <w:t xml:space="preserve"> </w:t>
      </w:r>
      <w:r w:rsidR="007D75FC" w:rsidRPr="007D75FC">
        <w:rPr>
          <w:b/>
          <w:sz w:val="24"/>
          <w:szCs w:val="24"/>
        </w:rPr>
        <w:t>a</w:t>
      </w:r>
      <w:r w:rsidRPr="00B035CD">
        <w:rPr>
          <w:rFonts w:hint="eastAsia"/>
          <w:sz w:val="24"/>
          <w:szCs w:val="24"/>
        </w:rPr>
        <w:t xml:space="preserve"> </w:t>
      </w:r>
      <w:r w:rsidRPr="00B035CD">
        <w:rPr>
          <w:sz w:val="24"/>
          <w:szCs w:val="24"/>
        </w:rPr>
        <w:t>The</w:t>
      </w:r>
      <w:r w:rsidRPr="00B035CD">
        <w:rPr>
          <w:rFonts w:hint="eastAsia"/>
          <w:sz w:val="24"/>
          <w:szCs w:val="24"/>
        </w:rPr>
        <w:t xml:space="preserve"> effect of Dic on the expression of p-GSK</w:t>
      </w:r>
      <w:r w:rsidRPr="00B035CD">
        <w:rPr>
          <w:sz w:val="24"/>
          <w:szCs w:val="24"/>
        </w:rPr>
        <w:t>3β</w:t>
      </w:r>
      <w:r w:rsidRPr="00B035CD">
        <w:rPr>
          <w:rFonts w:hint="eastAsia"/>
          <w:sz w:val="24"/>
          <w:szCs w:val="24"/>
        </w:rPr>
        <w:t>, transcription factors (</w:t>
      </w:r>
      <w:r w:rsidRPr="00B035CD">
        <w:rPr>
          <w:sz w:val="24"/>
          <w:szCs w:val="24"/>
        </w:rPr>
        <w:t>β</w:t>
      </w:r>
      <w:r w:rsidRPr="00B035CD">
        <w:rPr>
          <w:rFonts w:hint="eastAsia"/>
          <w:sz w:val="24"/>
          <w:szCs w:val="24"/>
        </w:rPr>
        <w:t xml:space="preserve">-catenin, cyclin D1 and c-Myc) and cell cycle-related proteins (cyclin D1 and CDK1). </w:t>
      </w:r>
      <w:r w:rsidRPr="00B035CD">
        <w:rPr>
          <w:sz w:val="24"/>
          <w:szCs w:val="24"/>
        </w:rPr>
        <w:t>Cell</w:t>
      </w:r>
      <w:r w:rsidRPr="00B035CD">
        <w:rPr>
          <w:rFonts w:hint="eastAsia"/>
          <w:sz w:val="24"/>
          <w:szCs w:val="24"/>
        </w:rPr>
        <w:t xml:space="preserve">s were treated with various concentrations of Dic for 36 h and then the indicated proteins were detected. </w:t>
      </w:r>
      <w:r w:rsidR="007D75FC" w:rsidRPr="007D75FC">
        <w:rPr>
          <w:b/>
          <w:sz w:val="24"/>
          <w:szCs w:val="24"/>
        </w:rPr>
        <w:t>b</w:t>
      </w:r>
      <w:r w:rsidRPr="007D75FC">
        <w:rPr>
          <w:rFonts w:hint="eastAsia"/>
          <w:b/>
          <w:sz w:val="24"/>
          <w:szCs w:val="24"/>
        </w:rPr>
        <w:t xml:space="preserve"> </w:t>
      </w:r>
      <w:r w:rsidRPr="00B035CD">
        <w:rPr>
          <w:rFonts w:hint="eastAsia"/>
          <w:sz w:val="24"/>
          <w:szCs w:val="24"/>
        </w:rPr>
        <w:t xml:space="preserve">The effect of Dic on the nuclear translocation of </w:t>
      </w:r>
      <w:r w:rsidRPr="00B035CD">
        <w:rPr>
          <w:sz w:val="24"/>
          <w:szCs w:val="24"/>
        </w:rPr>
        <w:t>β</w:t>
      </w:r>
      <w:r w:rsidRPr="00B035CD">
        <w:rPr>
          <w:rFonts w:hint="eastAsia"/>
          <w:sz w:val="24"/>
          <w:szCs w:val="24"/>
        </w:rPr>
        <w:t xml:space="preserve">-catenin, p-STAT3 and STAT3. </w:t>
      </w:r>
      <w:r w:rsidRPr="00B035CD">
        <w:rPr>
          <w:sz w:val="24"/>
          <w:szCs w:val="24"/>
        </w:rPr>
        <w:t>Cell</w:t>
      </w:r>
      <w:r w:rsidRPr="00B035CD">
        <w:rPr>
          <w:rFonts w:hint="eastAsia"/>
          <w:sz w:val="24"/>
          <w:szCs w:val="24"/>
        </w:rPr>
        <w:t xml:space="preserve">s were treated with various concentrations of Dic for 36 h and then </w:t>
      </w:r>
      <w:r w:rsidRPr="00B035CD">
        <w:rPr>
          <w:sz w:val="24"/>
          <w:szCs w:val="24"/>
        </w:rPr>
        <w:t>the distribution of</w:t>
      </w:r>
      <w:r w:rsidRPr="00B035CD">
        <w:rPr>
          <w:rFonts w:hint="eastAsia"/>
          <w:sz w:val="24"/>
          <w:szCs w:val="24"/>
        </w:rPr>
        <w:t xml:space="preserve"> </w:t>
      </w:r>
      <w:r w:rsidRPr="00B035CD">
        <w:rPr>
          <w:sz w:val="24"/>
          <w:szCs w:val="24"/>
        </w:rPr>
        <w:t>β</w:t>
      </w:r>
      <w:r w:rsidRPr="00B035CD">
        <w:rPr>
          <w:rFonts w:hint="eastAsia"/>
          <w:sz w:val="24"/>
          <w:szCs w:val="24"/>
        </w:rPr>
        <w:t xml:space="preserve">-catenin, p-STAT3 and STAT3 between cytoplasm and nucleus was observed by Western blotting. </w:t>
      </w:r>
      <w:r w:rsidR="007D75FC" w:rsidRPr="007D75FC">
        <w:rPr>
          <w:b/>
          <w:sz w:val="24"/>
          <w:szCs w:val="24"/>
        </w:rPr>
        <w:t>c</w:t>
      </w:r>
      <w:r w:rsidRPr="00B035CD">
        <w:rPr>
          <w:rFonts w:hint="eastAsia"/>
          <w:sz w:val="24"/>
          <w:szCs w:val="24"/>
        </w:rPr>
        <w:t xml:space="preserve"> </w:t>
      </w:r>
      <w:r w:rsidRPr="00B035CD">
        <w:rPr>
          <w:sz w:val="24"/>
          <w:szCs w:val="24"/>
        </w:rPr>
        <w:t>The</w:t>
      </w:r>
      <w:r w:rsidRPr="00B035CD">
        <w:rPr>
          <w:rFonts w:hint="eastAsia"/>
          <w:sz w:val="24"/>
          <w:szCs w:val="24"/>
        </w:rPr>
        <w:t xml:space="preserve"> effect of Dic on HGF-induced nuclear translocation of</w:t>
      </w:r>
      <w:r w:rsidRPr="00B035CD">
        <w:rPr>
          <w:sz w:val="24"/>
          <w:szCs w:val="24"/>
        </w:rPr>
        <w:t xml:space="preserve"> NF-κB</w:t>
      </w:r>
      <w:r w:rsidRPr="00B035CD">
        <w:rPr>
          <w:rFonts w:hint="eastAsia"/>
          <w:sz w:val="24"/>
          <w:szCs w:val="24"/>
        </w:rPr>
        <w:t xml:space="preserve">. Cells were treated with indicated concentrations of Dic for 36 h in the absence of </w:t>
      </w:r>
      <w:r w:rsidRPr="00B035CD">
        <w:rPr>
          <w:sz w:val="24"/>
          <w:szCs w:val="24"/>
        </w:rPr>
        <w:t>fetal bovine serum</w:t>
      </w:r>
      <w:r w:rsidRPr="00B035CD">
        <w:rPr>
          <w:rFonts w:hint="eastAsia"/>
          <w:sz w:val="24"/>
          <w:szCs w:val="24"/>
        </w:rPr>
        <w:t xml:space="preserve">, following stimulation with or without 100 ng/mL HGF for 30 min, then the distribution of </w:t>
      </w:r>
      <w:r w:rsidRPr="00B035CD">
        <w:rPr>
          <w:sz w:val="24"/>
          <w:szCs w:val="24"/>
        </w:rPr>
        <w:t>NF-κB</w:t>
      </w:r>
      <w:r w:rsidRPr="00B035CD">
        <w:rPr>
          <w:rFonts w:hint="eastAsia"/>
          <w:sz w:val="24"/>
          <w:szCs w:val="24"/>
        </w:rPr>
        <w:t xml:space="preserve"> between cytoplasm and nucleus was determined by Western blotting.</w:t>
      </w:r>
    </w:p>
    <w:p w:rsidR="00DA4133" w:rsidRPr="00B035CD" w:rsidRDefault="00DA4133" w:rsidP="00DA4133">
      <w:pPr>
        <w:spacing w:line="360" w:lineRule="auto"/>
        <w:rPr>
          <w:b/>
          <w:sz w:val="24"/>
          <w:szCs w:val="24"/>
        </w:rPr>
      </w:pPr>
      <w:r w:rsidRPr="00B035CD">
        <w:rPr>
          <w:b/>
          <w:sz w:val="24"/>
          <w:szCs w:val="24"/>
        </w:rPr>
        <w:lastRenderedPageBreak/>
        <w:t>Supplementary</w:t>
      </w:r>
      <w:r w:rsidRPr="00B035CD">
        <w:rPr>
          <w:rFonts w:hint="eastAsia"/>
          <w:b/>
          <w:sz w:val="24"/>
          <w:szCs w:val="24"/>
        </w:rPr>
        <w:t xml:space="preserve"> Figure 5</w:t>
      </w:r>
    </w:p>
    <w:p w:rsidR="00DA4133" w:rsidRPr="00B035CD" w:rsidRDefault="00DA4133" w:rsidP="00DA4133">
      <w:pPr>
        <w:spacing w:line="360" w:lineRule="auto"/>
        <w:jc w:val="center"/>
        <w:rPr>
          <w:b/>
          <w:sz w:val="24"/>
          <w:szCs w:val="24"/>
        </w:rPr>
      </w:pPr>
      <w:r w:rsidRPr="00B035CD">
        <w:rPr>
          <w:b/>
          <w:noProof/>
          <w:sz w:val="24"/>
          <w:szCs w:val="24"/>
        </w:rPr>
        <w:drawing>
          <wp:inline distT="0" distB="0" distL="0" distR="0" wp14:anchorId="3C6D9EDF" wp14:editId="5474B39E">
            <wp:extent cx="5274733" cy="4148667"/>
            <wp:effectExtent l="0" t="0" r="2540" b="4445"/>
            <wp:docPr id="28" name="图片 28" descr="E:\工作\研究生工作\虞姣姣\白鲜碱\CANCER LETTERS\投稿\DIC实验结果整理\附件 图\Fig. 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工作\研究生工作\虞姣姣\白鲜碱\CANCER LETTERS\投稿\DIC实验结果整理\附件 图\Fig. S5.t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4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4133" w:rsidRPr="00B035CD" w:rsidRDefault="00DA4133" w:rsidP="00DA4133">
      <w:pPr>
        <w:spacing w:line="360" w:lineRule="auto"/>
        <w:rPr>
          <w:sz w:val="24"/>
          <w:szCs w:val="24"/>
        </w:rPr>
      </w:pPr>
      <w:r w:rsidRPr="00B035CD">
        <w:rPr>
          <w:b/>
          <w:sz w:val="24"/>
          <w:szCs w:val="24"/>
        </w:rPr>
        <w:t>Fig. S</w:t>
      </w:r>
      <w:r w:rsidRPr="00B035CD">
        <w:rPr>
          <w:rFonts w:hint="eastAsia"/>
          <w:b/>
          <w:sz w:val="24"/>
          <w:szCs w:val="24"/>
        </w:rPr>
        <w:t>5.</w:t>
      </w:r>
      <w:r w:rsidRPr="007D75FC">
        <w:rPr>
          <w:rFonts w:hint="eastAsia"/>
          <w:sz w:val="24"/>
          <w:szCs w:val="24"/>
        </w:rPr>
        <w:t xml:space="preserve"> Effect of gefitinib treatment on the intracellular signaling pathways in PC9 and PC9GR cells.</w:t>
      </w:r>
      <w:r w:rsidRPr="00B035CD">
        <w:rPr>
          <w:rFonts w:hint="eastAsia"/>
          <w:b/>
          <w:sz w:val="24"/>
          <w:szCs w:val="24"/>
        </w:rPr>
        <w:t xml:space="preserve"> </w:t>
      </w:r>
      <w:r w:rsidR="007D75FC" w:rsidRPr="007D75FC">
        <w:rPr>
          <w:b/>
          <w:sz w:val="24"/>
          <w:szCs w:val="24"/>
        </w:rPr>
        <w:t>a</w:t>
      </w:r>
      <w:r w:rsidRPr="00B035CD">
        <w:rPr>
          <w:rFonts w:hint="eastAsia"/>
          <w:sz w:val="24"/>
          <w:szCs w:val="24"/>
        </w:rPr>
        <w:t xml:space="preserve"> The expression levels of c-Met, ERK, Akt and</w:t>
      </w:r>
      <w:r w:rsidRPr="00B035CD">
        <w:rPr>
          <w:sz w:val="24"/>
          <w:szCs w:val="24"/>
        </w:rPr>
        <w:t xml:space="preserve"> GSK3β</w:t>
      </w:r>
      <w:r w:rsidRPr="00B035CD">
        <w:rPr>
          <w:rFonts w:hint="eastAsia"/>
          <w:sz w:val="24"/>
          <w:szCs w:val="24"/>
        </w:rPr>
        <w:t xml:space="preserve"> in PC9GR cells and PC9 cells. </w:t>
      </w:r>
      <w:r w:rsidR="007D75FC" w:rsidRPr="007D75FC">
        <w:rPr>
          <w:b/>
          <w:sz w:val="24"/>
          <w:szCs w:val="24"/>
        </w:rPr>
        <w:t>b</w:t>
      </w:r>
      <w:r w:rsidRPr="00B035CD">
        <w:rPr>
          <w:rFonts w:hint="eastAsia"/>
          <w:sz w:val="24"/>
          <w:szCs w:val="24"/>
        </w:rPr>
        <w:t xml:space="preserve"> The lung cancer cells were treated with different concentrations of gefitinib for 24 h, the expression level and phosphorylation levels of ERK, Akt and </w:t>
      </w:r>
      <w:r w:rsidRPr="00B035CD">
        <w:rPr>
          <w:sz w:val="24"/>
          <w:szCs w:val="24"/>
        </w:rPr>
        <w:t>GSK3β</w:t>
      </w:r>
      <w:r w:rsidRPr="00B035CD">
        <w:rPr>
          <w:rFonts w:hint="eastAsia"/>
          <w:sz w:val="24"/>
          <w:szCs w:val="24"/>
        </w:rPr>
        <w:t xml:space="preserve"> were examined by Western blotting analysis.</w:t>
      </w:r>
    </w:p>
    <w:p w:rsidR="00DA4133" w:rsidRPr="00B035CD" w:rsidRDefault="00DA4133" w:rsidP="00DA4133">
      <w:pPr>
        <w:spacing w:line="360" w:lineRule="auto"/>
        <w:rPr>
          <w:sz w:val="24"/>
          <w:szCs w:val="24"/>
        </w:rPr>
      </w:pPr>
    </w:p>
    <w:p w:rsidR="00DA4133" w:rsidRPr="00B035CD" w:rsidRDefault="00DA4133" w:rsidP="00DA4133">
      <w:pPr>
        <w:spacing w:line="360" w:lineRule="auto"/>
        <w:rPr>
          <w:sz w:val="24"/>
          <w:szCs w:val="24"/>
        </w:rPr>
      </w:pPr>
    </w:p>
    <w:p w:rsidR="00DA4133" w:rsidRPr="00B035CD" w:rsidRDefault="00DA4133" w:rsidP="00DA4133">
      <w:pPr>
        <w:spacing w:line="360" w:lineRule="auto"/>
        <w:rPr>
          <w:sz w:val="24"/>
          <w:szCs w:val="24"/>
        </w:rPr>
      </w:pPr>
    </w:p>
    <w:p w:rsidR="00DA4133" w:rsidRPr="00B035CD" w:rsidRDefault="00DA4133" w:rsidP="00DA4133">
      <w:pPr>
        <w:spacing w:line="360" w:lineRule="auto"/>
        <w:rPr>
          <w:sz w:val="24"/>
          <w:szCs w:val="24"/>
        </w:rPr>
      </w:pPr>
    </w:p>
    <w:p w:rsidR="00DA4133" w:rsidRPr="00B035CD" w:rsidRDefault="00DA4133" w:rsidP="00DA4133">
      <w:pPr>
        <w:spacing w:line="360" w:lineRule="auto"/>
        <w:rPr>
          <w:sz w:val="24"/>
          <w:szCs w:val="24"/>
        </w:rPr>
      </w:pPr>
    </w:p>
    <w:p w:rsidR="00DA4133" w:rsidRPr="00B035CD" w:rsidRDefault="00DA4133" w:rsidP="00DA4133">
      <w:pPr>
        <w:spacing w:line="360" w:lineRule="auto"/>
        <w:rPr>
          <w:sz w:val="24"/>
          <w:szCs w:val="24"/>
        </w:rPr>
      </w:pPr>
    </w:p>
    <w:p w:rsidR="00DA4133" w:rsidRPr="00B035CD" w:rsidRDefault="00DA4133" w:rsidP="00DA4133">
      <w:pPr>
        <w:spacing w:line="360" w:lineRule="auto"/>
        <w:rPr>
          <w:b/>
          <w:sz w:val="24"/>
          <w:szCs w:val="24"/>
        </w:rPr>
      </w:pPr>
      <w:r w:rsidRPr="00B035CD">
        <w:rPr>
          <w:b/>
          <w:sz w:val="24"/>
          <w:szCs w:val="24"/>
        </w:rPr>
        <w:lastRenderedPageBreak/>
        <w:t>Supplementary</w:t>
      </w:r>
      <w:r w:rsidRPr="00B035CD">
        <w:rPr>
          <w:rFonts w:hint="eastAsia"/>
          <w:b/>
          <w:sz w:val="24"/>
          <w:szCs w:val="24"/>
        </w:rPr>
        <w:t xml:space="preserve"> Figure 6</w:t>
      </w:r>
    </w:p>
    <w:p w:rsidR="00DA4133" w:rsidRPr="00B035CD" w:rsidRDefault="00DA4133" w:rsidP="00DA4133">
      <w:pPr>
        <w:spacing w:line="360" w:lineRule="auto"/>
        <w:jc w:val="center"/>
        <w:rPr>
          <w:sz w:val="24"/>
          <w:szCs w:val="24"/>
        </w:rPr>
      </w:pPr>
      <w:r w:rsidRPr="00B035CD">
        <w:rPr>
          <w:noProof/>
          <w:sz w:val="24"/>
          <w:szCs w:val="24"/>
        </w:rPr>
        <w:drawing>
          <wp:inline distT="0" distB="0" distL="0" distR="0" wp14:anchorId="1C1B8FBD" wp14:editId="6866093E">
            <wp:extent cx="5274733" cy="3801533"/>
            <wp:effectExtent l="0" t="0" r="2540" b="8890"/>
            <wp:docPr id="29" name="图片 29" descr="E:\工作\研究生工作\虞姣姣\白鲜碱\CANCER LETTERS\投稿\DIC实验结果整理\附件 图\Fig. S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工作\研究生工作\虞姣姣\白鲜碱\CANCER LETTERS\投稿\DIC实验结果整理\附件 图\Fig. S6.t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01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4133" w:rsidRPr="00B035CD" w:rsidRDefault="00DA4133" w:rsidP="00DA4133">
      <w:pPr>
        <w:spacing w:line="360" w:lineRule="auto"/>
        <w:rPr>
          <w:sz w:val="24"/>
          <w:szCs w:val="24"/>
        </w:rPr>
      </w:pPr>
      <w:r w:rsidRPr="00B035CD">
        <w:rPr>
          <w:b/>
          <w:sz w:val="24"/>
          <w:szCs w:val="24"/>
        </w:rPr>
        <w:t>Fig. S</w:t>
      </w:r>
      <w:r w:rsidRPr="00B035CD">
        <w:rPr>
          <w:rFonts w:hint="eastAsia"/>
          <w:b/>
          <w:sz w:val="24"/>
          <w:szCs w:val="24"/>
        </w:rPr>
        <w:t xml:space="preserve">6. </w:t>
      </w:r>
      <w:r w:rsidRPr="007D75FC">
        <w:rPr>
          <w:rFonts w:hint="eastAsia"/>
          <w:sz w:val="24"/>
          <w:szCs w:val="24"/>
        </w:rPr>
        <w:t>The synergistic effects of gefitinib and Dic on the inhibition of c-Met signaling pathways in PC9GR cells.</w:t>
      </w:r>
      <w:r w:rsidRPr="00B035CD">
        <w:rPr>
          <w:rFonts w:hint="eastAsia"/>
          <w:b/>
          <w:sz w:val="24"/>
          <w:szCs w:val="24"/>
        </w:rPr>
        <w:t xml:space="preserve"> </w:t>
      </w:r>
      <w:r w:rsidR="007D75FC" w:rsidRPr="007D75FC">
        <w:rPr>
          <w:b/>
          <w:sz w:val="24"/>
          <w:szCs w:val="24"/>
        </w:rPr>
        <w:t>a</w:t>
      </w:r>
      <w:r w:rsidRPr="00B035CD">
        <w:rPr>
          <w:rFonts w:hint="eastAsia"/>
          <w:sz w:val="24"/>
          <w:szCs w:val="24"/>
        </w:rPr>
        <w:t xml:space="preserve"> The synergistic effects of gefitinib and Dic on the</w:t>
      </w:r>
      <w:r w:rsidR="00B066F6" w:rsidRPr="00B035CD">
        <w:rPr>
          <w:rFonts w:hint="eastAsia"/>
          <w:sz w:val="24"/>
          <w:szCs w:val="24"/>
        </w:rPr>
        <w:t xml:space="preserve"> inhibition</w:t>
      </w:r>
      <w:r w:rsidR="00B066F6">
        <w:rPr>
          <w:sz w:val="24"/>
          <w:szCs w:val="24"/>
        </w:rPr>
        <w:t xml:space="preserve"> of</w:t>
      </w:r>
      <w:r w:rsidRPr="00B035CD">
        <w:rPr>
          <w:rFonts w:hint="eastAsia"/>
          <w:sz w:val="24"/>
          <w:szCs w:val="24"/>
        </w:rPr>
        <w:t xml:space="preserve"> phosphorylation of various MAPK and PI3K/Akt/mTOR signaling pathways components. Cells were treated with gefitinib and different concentrations of Dic for 36 h, </w:t>
      </w:r>
      <w:r w:rsidR="00B066F6">
        <w:rPr>
          <w:sz w:val="24"/>
          <w:szCs w:val="24"/>
        </w:rPr>
        <w:t xml:space="preserve">then </w:t>
      </w:r>
      <w:r w:rsidRPr="00B035CD">
        <w:rPr>
          <w:rFonts w:hint="eastAsia"/>
          <w:sz w:val="24"/>
          <w:szCs w:val="24"/>
        </w:rPr>
        <w:t>the phosphorylation levels of c-Met, Akt, ERK and GSK</w:t>
      </w:r>
      <w:r w:rsidRPr="00B035CD">
        <w:rPr>
          <w:sz w:val="24"/>
          <w:szCs w:val="24"/>
        </w:rPr>
        <w:t>3β</w:t>
      </w:r>
      <w:r w:rsidRPr="00B035CD">
        <w:rPr>
          <w:rFonts w:hint="eastAsia"/>
          <w:sz w:val="24"/>
          <w:szCs w:val="24"/>
        </w:rPr>
        <w:t xml:space="preserve"> were detected by Western blotting analysis. </w:t>
      </w:r>
      <w:r w:rsidR="007D75FC" w:rsidRPr="007D75FC">
        <w:rPr>
          <w:b/>
          <w:sz w:val="24"/>
          <w:szCs w:val="24"/>
        </w:rPr>
        <w:t>b</w:t>
      </w:r>
      <w:r w:rsidRPr="00B035CD">
        <w:rPr>
          <w:rFonts w:hint="eastAsia"/>
          <w:sz w:val="24"/>
          <w:szCs w:val="24"/>
        </w:rPr>
        <w:t xml:space="preserve"> The synergistic effects of gefitinib (1 </w:t>
      </w:r>
      <w:r w:rsidRPr="00B035CD">
        <w:rPr>
          <w:sz w:val="24"/>
          <w:szCs w:val="24"/>
        </w:rPr>
        <w:t>μM</w:t>
      </w:r>
      <w:r w:rsidRPr="00B035CD">
        <w:rPr>
          <w:rFonts w:hint="eastAsia"/>
          <w:sz w:val="24"/>
          <w:szCs w:val="24"/>
        </w:rPr>
        <w:t xml:space="preserve">) and Dic on HGF-induced activation of c-Met signaling pathways in PC9GR cells. PC9GR cells were treated with gefitinib (1 </w:t>
      </w:r>
      <w:r w:rsidRPr="00B035CD">
        <w:rPr>
          <w:sz w:val="24"/>
          <w:szCs w:val="24"/>
        </w:rPr>
        <w:t>μM</w:t>
      </w:r>
      <w:r w:rsidRPr="00B035CD">
        <w:rPr>
          <w:rFonts w:hint="eastAsia"/>
          <w:sz w:val="24"/>
          <w:szCs w:val="24"/>
        </w:rPr>
        <w:t>) and indicated concentrations of Dic for 24 h in the absence of fetal bovine serum, following stimulation with 100 ng/ml HGF for 5 min, and indicated proteins were analyzed by Western blotting.</w:t>
      </w:r>
    </w:p>
    <w:p w:rsidR="00DA4133" w:rsidRPr="00B035CD" w:rsidRDefault="00DA4133" w:rsidP="00DA4133">
      <w:pPr>
        <w:spacing w:line="360" w:lineRule="auto"/>
        <w:rPr>
          <w:sz w:val="24"/>
          <w:szCs w:val="24"/>
        </w:rPr>
      </w:pPr>
    </w:p>
    <w:p w:rsidR="00DA4133" w:rsidRPr="00B035CD" w:rsidRDefault="00DA4133" w:rsidP="00DA4133">
      <w:pPr>
        <w:spacing w:line="360" w:lineRule="auto"/>
        <w:rPr>
          <w:sz w:val="24"/>
          <w:szCs w:val="24"/>
        </w:rPr>
      </w:pPr>
    </w:p>
    <w:p w:rsidR="00DA4133" w:rsidRPr="00B035CD" w:rsidRDefault="00DA4133" w:rsidP="00DA4133">
      <w:pPr>
        <w:spacing w:line="360" w:lineRule="auto"/>
        <w:rPr>
          <w:sz w:val="24"/>
          <w:szCs w:val="24"/>
        </w:rPr>
      </w:pPr>
    </w:p>
    <w:p w:rsidR="00DA4133" w:rsidRPr="00B035CD" w:rsidRDefault="00DA4133" w:rsidP="00DA4133">
      <w:pPr>
        <w:spacing w:line="360" w:lineRule="auto"/>
        <w:rPr>
          <w:b/>
          <w:sz w:val="24"/>
          <w:szCs w:val="24"/>
        </w:rPr>
      </w:pPr>
      <w:r w:rsidRPr="00B035CD">
        <w:rPr>
          <w:b/>
          <w:sz w:val="24"/>
          <w:szCs w:val="24"/>
        </w:rPr>
        <w:lastRenderedPageBreak/>
        <w:t>Supplementary</w:t>
      </w:r>
      <w:r w:rsidRPr="00B035CD">
        <w:rPr>
          <w:rFonts w:hint="eastAsia"/>
          <w:b/>
          <w:sz w:val="24"/>
          <w:szCs w:val="24"/>
        </w:rPr>
        <w:t xml:space="preserve"> Figure 7</w:t>
      </w:r>
    </w:p>
    <w:p w:rsidR="00DA4133" w:rsidRPr="00B035CD" w:rsidRDefault="00DA4133" w:rsidP="00DA4133">
      <w:pPr>
        <w:spacing w:line="360" w:lineRule="auto"/>
        <w:jc w:val="center"/>
        <w:rPr>
          <w:b/>
          <w:sz w:val="24"/>
          <w:szCs w:val="24"/>
        </w:rPr>
      </w:pPr>
      <w:r w:rsidRPr="00B035CD">
        <w:rPr>
          <w:b/>
          <w:noProof/>
          <w:sz w:val="24"/>
          <w:szCs w:val="24"/>
        </w:rPr>
        <w:drawing>
          <wp:inline distT="0" distB="0" distL="0" distR="0" wp14:anchorId="2D7D8995" wp14:editId="4413EED9">
            <wp:extent cx="5274733" cy="4318000"/>
            <wp:effectExtent l="0" t="0" r="2540" b="6350"/>
            <wp:docPr id="2" name="图片 2" descr="E:\工作\研究生工作\虞姣姣\白鲜碱\CANCER LETTERS\投稿\DIC实验结果整理\附件 图\Fig. S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工作\研究生工作\虞姣姣\白鲜碱\CANCER LETTERS\投稿\DIC实验结果整理\附件 图\Fig. S7.t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17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4133" w:rsidRPr="00B035CD" w:rsidRDefault="00DA4133" w:rsidP="00DA4133">
      <w:pPr>
        <w:spacing w:line="360" w:lineRule="auto"/>
        <w:rPr>
          <w:b/>
          <w:sz w:val="24"/>
          <w:szCs w:val="24"/>
        </w:rPr>
      </w:pPr>
      <w:r w:rsidRPr="00B035CD">
        <w:rPr>
          <w:b/>
          <w:sz w:val="24"/>
          <w:szCs w:val="24"/>
        </w:rPr>
        <w:t>Fig. S</w:t>
      </w:r>
      <w:r w:rsidRPr="00B035CD">
        <w:rPr>
          <w:rFonts w:hint="eastAsia"/>
          <w:b/>
          <w:sz w:val="24"/>
          <w:szCs w:val="24"/>
        </w:rPr>
        <w:t xml:space="preserve">7. </w:t>
      </w:r>
      <w:r w:rsidRPr="007D75FC">
        <w:rPr>
          <w:rFonts w:hint="eastAsia"/>
          <w:sz w:val="24"/>
          <w:szCs w:val="24"/>
        </w:rPr>
        <w:t>Induction of apoptosis by the combined treatment of gefitinib and Dic in PC9GR cells.</w:t>
      </w:r>
      <w:r w:rsidRPr="00B035CD">
        <w:rPr>
          <w:rFonts w:hint="eastAsia"/>
          <w:b/>
          <w:sz w:val="24"/>
          <w:szCs w:val="24"/>
        </w:rPr>
        <w:t xml:space="preserve"> </w:t>
      </w:r>
      <w:r w:rsidR="007D75FC" w:rsidRPr="007D75FC">
        <w:rPr>
          <w:b/>
          <w:sz w:val="24"/>
          <w:szCs w:val="24"/>
        </w:rPr>
        <w:t>a</w:t>
      </w:r>
      <w:r w:rsidRPr="00B035CD">
        <w:rPr>
          <w:rFonts w:hint="eastAsia"/>
          <w:sz w:val="24"/>
          <w:szCs w:val="24"/>
        </w:rPr>
        <w:t xml:space="preserve"> PC9GR cells were exposed to gefitinib (1 </w:t>
      </w:r>
      <w:r w:rsidRPr="00B035CD">
        <w:rPr>
          <w:sz w:val="24"/>
          <w:szCs w:val="24"/>
        </w:rPr>
        <w:t>μM</w:t>
      </w:r>
      <w:r w:rsidRPr="00B035CD">
        <w:rPr>
          <w:rFonts w:hint="eastAsia"/>
          <w:sz w:val="24"/>
          <w:szCs w:val="24"/>
        </w:rPr>
        <w:t xml:space="preserve">) and indicated concentrations of Dic for 24 h, the mRNA expression levels of pro-apoptotic protein Bax and anti-apoptotic protein Bcl-2 was determined by </w:t>
      </w:r>
      <w:r w:rsidRPr="00B035CD">
        <w:rPr>
          <w:sz w:val="24"/>
          <w:szCs w:val="24"/>
        </w:rPr>
        <w:t>qRT-PCR</w:t>
      </w:r>
      <w:r w:rsidRPr="00B035CD">
        <w:rPr>
          <w:rFonts w:hint="eastAsia"/>
          <w:sz w:val="24"/>
          <w:szCs w:val="24"/>
        </w:rPr>
        <w:t xml:space="preserve"> normalized to GAPDH. All data are expressed as the mean </w:t>
      </w:r>
      <w:r w:rsidRPr="00B035CD">
        <w:rPr>
          <w:sz w:val="24"/>
          <w:szCs w:val="24"/>
        </w:rPr>
        <w:t>±</w:t>
      </w:r>
      <w:r w:rsidRPr="00B035CD">
        <w:rPr>
          <w:rFonts w:hint="eastAsia"/>
          <w:sz w:val="24"/>
          <w:szCs w:val="24"/>
        </w:rPr>
        <w:t xml:space="preserve"> S.D. of three experiments, </w:t>
      </w:r>
      <w:r w:rsidRPr="00B035CD">
        <w:rPr>
          <w:sz w:val="24"/>
          <w:szCs w:val="24"/>
        </w:rPr>
        <w:t>*</w:t>
      </w:r>
      <w:r w:rsidRPr="00B035CD">
        <w:rPr>
          <w:rFonts w:hint="eastAsia"/>
          <w:i/>
          <w:sz w:val="24"/>
          <w:szCs w:val="24"/>
        </w:rPr>
        <w:t>p</w:t>
      </w:r>
      <w:r w:rsidRPr="00B035CD">
        <w:rPr>
          <w:rFonts w:hint="eastAsia"/>
          <w:sz w:val="24"/>
          <w:szCs w:val="24"/>
        </w:rPr>
        <w:t xml:space="preserve"> &lt; 0.05, </w:t>
      </w:r>
      <w:r w:rsidRPr="00B035CD">
        <w:rPr>
          <w:sz w:val="24"/>
          <w:szCs w:val="24"/>
        </w:rPr>
        <w:t>**</w:t>
      </w:r>
      <w:r w:rsidRPr="00B035CD">
        <w:rPr>
          <w:rFonts w:hint="eastAsia"/>
          <w:i/>
          <w:sz w:val="24"/>
          <w:szCs w:val="24"/>
        </w:rPr>
        <w:t>p</w:t>
      </w:r>
      <w:r w:rsidRPr="00B035CD">
        <w:rPr>
          <w:rFonts w:hint="eastAsia"/>
          <w:sz w:val="24"/>
          <w:szCs w:val="24"/>
        </w:rPr>
        <w:t xml:space="preserve"> &lt; 0.01 and </w:t>
      </w:r>
      <w:r w:rsidRPr="00B035CD">
        <w:rPr>
          <w:sz w:val="24"/>
          <w:szCs w:val="24"/>
        </w:rPr>
        <w:t>****</w:t>
      </w:r>
      <w:r w:rsidRPr="00B035CD">
        <w:rPr>
          <w:rFonts w:hint="eastAsia"/>
          <w:i/>
          <w:sz w:val="24"/>
          <w:szCs w:val="24"/>
        </w:rPr>
        <w:t>p</w:t>
      </w:r>
      <w:r w:rsidRPr="00B035CD">
        <w:rPr>
          <w:rFonts w:hint="eastAsia"/>
          <w:sz w:val="24"/>
          <w:szCs w:val="24"/>
        </w:rPr>
        <w:t xml:space="preserve"> &lt; 0.0001 were calculated based on comparison with the control (</w:t>
      </w:r>
      <w:r w:rsidRPr="00B035CD">
        <w:rPr>
          <w:sz w:val="24"/>
          <w:szCs w:val="24"/>
        </w:rPr>
        <w:t>one-way ANOVA with Dunnett's test</w:t>
      </w:r>
      <w:r w:rsidRPr="00B035CD">
        <w:rPr>
          <w:rFonts w:hint="eastAsia"/>
          <w:sz w:val="24"/>
          <w:szCs w:val="24"/>
        </w:rPr>
        <w:t xml:space="preserve">), ns, not significant. </w:t>
      </w:r>
      <w:bookmarkStart w:id="0" w:name="_GoBack"/>
      <w:r w:rsidR="007D75FC" w:rsidRPr="007D75FC">
        <w:rPr>
          <w:b/>
          <w:sz w:val="24"/>
          <w:szCs w:val="24"/>
        </w:rPr>
        <w:t>b</w:t>
      </w:r>
      <w:bookmarkEnd w:id="0"/>
      <w:r w:rsidRPr="00B035CD">
        <w:rPr>
          <w:rFonts w:hint="eastAsia"/>
          <w:sz w:val="24"/>
          <w:szCs w:val="24"/>
        </w:rPr>
        <w:t xml:space="preserve"> </w:t>
      </w:r>
      <w:r w:rsidRPr="00B035CD">
        <w:rPr>
          <w:sz w:val="24"/>
          <w:szCs w:val="24"/>
        </w:rPr>
        <w:t>The</w:t>
      </w:r>
      <w:r w:rsidRPr="00B035CD">
        <w:rPr>
          <w:rFonts w:hint="eastAsia"/>
          <w:sz w:val="24"/>
          <w:szCs w:val="24"/>
        </w:rPr>
        <w:t xml:space="preserve"> synergistic effects of gefitinib and Dic on the protein expression levels of Bax and Bcl-2 in PC9GR cells were determined by Western blotting, cells were treated as described in A.</w:t>
      </w:r>
    </w:p>
    <w:p w:rsidR="00DA4133" w:rsidRPr="00DA4133" w:rsidRDefault="00DA4133" w:rsidP="00526287">
      <w:pPr>
        <w:rPr>
          <w:sz w:val="24"/>
          <w:szCs w:val="24"/>
        </w:rPr>
      </w:pPr>
    </w:p>
    <w:sectPr w:rsidR="00DA4133" w:rsidRPr="00DA41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18B6" w:rsidRDefault="003318B6" w:rsidP="00526287">
      <w:pPr>
        <w:spacing w:after="0" w:line="240" w:lineRule="auto"/>
      </w:pPr>
      <w:r>
        <w:separator/>
      </w:r>
    </w:p>
  </w:endnote>
  <w:endnote w:type="continuationSeparator" w:id="0">
    <w:p w:rsidR="003318B6" w:rsidRDefault="003318B6" w:rsidP="005262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18B6" w:rsidRDefault="003318B6" w:rsidP="00526287">
      <w:pPr>
        <w:spacing w:after="0" w:line="240" w:lineRule="auto"/>
      </w:pPr>
      <w:r>
        <w:separator/>
      </w:r>
    </w:p>
  </w:footnote>
  <w:footnote w:type="continuationSeparator" w:id="0">
    <w:p w:rsidR="003318B6" w:rsidRDefault="003318B6" w:rsidP="0052628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ancer Letters Cop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x0efw2fe72zfriept095ze5hdzdd5pp00rpv&quot;&gt;My EndNote Library&lt;record-ids&gt;&lt;item&gt;1&lt;/item&gt;&lt;item&gt;2&lt;/item&gt;&lt;item&gt;3&lt;/item&gt;&lt;item&gt;4&lt;/item&gt;&lt;/record-ids&gt;&lt;/item&gt;&lt;/Libraries&gt;"/>
  </w:docVars>
  <w:rsids>
    <w:rsidRoot w:val="0019565D"/>
    <w:rsid w:val="00022DCE"/>
    <w:rsid w:val="000B35BA"/>
    <w:rsid w:val="000F4192"/>
    <w:rsid w:val="00170ECD"/>
    <w:rsid w:val="0019565D"/>
    <w:rsid w:val="001C4DCA"/>
    <w:rsid w:val="00215CE2"/>
    <w:rsid w:val="00256F30"/>
    <w:rsid w:val="00265531"/>
    <w:rsid w:val="003318B6"/>
    <w:rsid w:val="003E3BB5"/>
    <w:rsid w:val="00451C3F"/>
    <w:rsid w:val="004E327D"/>
    <w:rsid w:val="00526287"/>
    <w:rsid w:val="006A0AE1"/>
    <w:rsid w:val="006A0B2C"/>
    <w:rsid w:val="007D75FC"/>
    <w:rsid w:val="008E21E0"/>
    <w:rsid w:val="00933E9F"/>
    <w:rsid w:val="00AB7B7B"/>
    <w:rsid w:val="00B066F6"/>
    <w:rsid w:val="00B43DF4"/>
    <w:rsid w:val="00B4566E"/>
    <w:rsid w:val="00B47B38"/>
    <w:rsid w:val="00C500EB"/>
    <w:rsid w:val="00C56D64"/>
    <w:rsid w:val="00C61B61"/>
    <w:rsid w:val="00D14F54"/>
    <w:rsid w:val="00D74801"/>
    <w:rsid w:val="00DA4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D98D3D"/>
  <w15:docId w15:val="{5B91C411-B73D-4FF7-8DF7-726D7E634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6287"/>
    <w:pPr>
      <w:widowControl w:val="0"/>
      <w:spacing w:after="160" w:line="259" w:lineRule="auto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62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628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6287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6287"/>
    <w:rPr>
      <w:sz w:val="18"/>
      <w:szCs w:val="18"/>
    </w:rPr>
  </w:style>
  <w:style w:type="character" w:styleId="a7">
    <w:name w:val="Hyperlink"/>
    <w:basedOn w:val="a0"/>
    <w:uiPriority w:val="99"/>
    <w:unhideWhenUsed/>
    <w:rsid w:val="005262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8</Pages>
  <Words>747</Words>
  <Characters>4264</Characters>
  <Application>Microsoft Office Word</Application>
  <DocSecurity>0</DocSecurity>
  <Lines>35</Lines>
  <Paragraphs>10</Paragraphs>
  <ScaleCrop>false</ScaleCrop>
  <Company>Microsoft</Company>
  <LinksUpToDate>false</LinksUpToDate>
  <CharactersWithSpaces>5001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China</cp:lastModifiedBy>
  <cp:revision>13</cp:revision>
  <dcterms:created xsi:type="dcterms:W3CDTF">2020-09-13T13:48:00Z</dcterms:created>
  <dcterms:modified xsi:type="dcterms:W3CDTF">2020-10-14T07:52:00Z</dcterms:modified>
</cp:coreProperties>
</file>