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565" w:rsidRDefault="00443565" w:rsidP="00443565">
      <w:r>
        <w:t>\documentclass[journal]{IEEEtran}</w:t>
      </w:r>
    </w:p>
    <w:p w:rsidR="00443565" w:rsidRDefault="00443565" w:rsidP="00443565"/>
    <w:p w:rsidR="00443565" w:rsidRDefault="00443565" w:rsidP="00443565">
      <w:r>
        <w:t>% Input encoding and text companion</w:t>
      </w:r>
    </w:p>
    <w:p w:rsidR="00443565" w:rsidRDefault="00443565" w:rsidP="00443565">
      <w:r>
        <w:t>\usepackage[utf8]{inputenc}</w:t>
      </w:r>
    </w:p>
    <w:p w:rsidR="00443565" w:rsidRDefault="00443565" w:rsidP="00443565">
      <w:r>
        <w:t>\usepackage{textcomp}</w:t>
      </w:r>
    </w:p>
    <w:p w:rsidR="00443565" w:rsidRDefault="00443565" w:rsidP="00443565"/>
    <w:p w:rsidR="00443565" w:rsidRDefault="00443565" w:rsidP="00443565">
      <w:r>
        <w:t>% Standard packages</w:t>
      </w:r>
    </w:p>
    <w:p w:rsidR="00443565" w:rsidRDefault="00443565" w:rsidP="00443565">
      <w:r>
        <w:t>\usepackage{cite}</w:t>
      </w:r>
    </w:p>
    <w:p w:rsidR="00443565" w:rsidRDefault="00443565" w:rsidP="00443565">
      <w:r>
        <w:t>\usepackage{amsmath,amssymb,amsfonts}</w:t>
      </w:r>
    </w:p>
    <w:p w:rsidR="00443565" w:rsidRDefault="00443565" w:rsidP="00443565">
      <w:r>
        <w:t>\usepackage{graphicx}</w:t>
      </w:r>
    </w:p>
    <w:p w:rsidR="00443565" w:rsidRDefault="00443565" w:rsidP="00443565">
      <w:r>
        <w:t>\usepackage{xcolor}</w:t>
      </w:r>
    </w:p>
    <w:p w:rsidR="00443565" w:rsidRDefault="00443565" w:rsidP="00443565">
      <w:r>
        <w:t>\usepackage{booktabs}</w:t>
      </w:r>
    </w:p>
    <w:p w:rsidR="00443565" w:rsidRDefault="00443565" w:rsidP="00443565">
      <w:r>
        <w:t>\usepackage{multirow}</w:t>
      </w:r>
    </w:p>
    <w:p w:rsidR="00443565" w:rsidRDefault="00443565" w:rsidP="00443565">
      <w:r>
        <w:t>\usepackage{array}</w:t>
      </w:r>
    </w:p>
    <w:p w:rsidR="00443565" w:rsidRDefault="00443565" w:rsidP="00443565">
      <w:r>
        <w:t>\usepackage{hyperref}</w:t>
      </w:r>
    </w:p>
    <w:p w:rsidR="00443565" w:rsidRDefault="00443565" w:rsidP="00443565">
      <w:r>
        <w:t>\usepackage{subcaption}</w:t>
      </w:r>
    </w:p>
    <w:p w:rsidR="00443565" w:rsidRDefault="00443565" w:rsidP="00443565">
      <w:r>
        <w:t>\usepackage{siunitx}</w:t>
      </w:r>
    </w:p>
    <w:p w:rsidR="00443565" w:rsidRDefault="00443565" w:rsidP="00443565">
      <w:r>
        <w:t>\usepackage{bm}</w:t>
      </w:r>
    </w:p>
    <w:p w:rsidR="00443565" w:rsidRDefault="00443565" w:rsidP="00443565"/>
    <w:p w:rsidR="00443565" w:rsidRDefault="00443565" w:rsidP="00443565">
      <w:r>
        <w:t>% Handle smart quotes and Unicode characters</w:t>
      </w:r>
    </w:p>
    <w:p w:rsidR="00443565" w:rsidRDefault="00443565" w:rsidP="00443565">
      <w:r>
        <w:t>\DeclareUnicodeCharacter{2019}{'}</w:t>
      </w:r>
    </w:p>
    <w:p w:rsidR="00443565" w:rsidRDefault="00443565" w:rsidP="00443565">
      <w:r>
        <w:t>\DeclareUnicodeCharacter{2018}{`}</w:t>
      </w:r>
    </w:p>
    <w:p w:rsidR="00443565" w:rsidRDefault="00443565" w:rsidP="00443565">
      <w:r>
        <w:t>\DeclareUnicodeCharacter{201C}{``}</w:t>
      </w:r>
    </w:p>
    <w:p w:rsidR="00443565" w:rsidRDefault="00443565" w:rsidP="00443565">
      <w:r>
        <w:t>\DeclareUnicodeCharacter{201D}{''}</w:t>
      </w:r>
    </w:p>
    <w:p w:rsidR="00443565" w:rsidRDefault="00443565" w:rsidP="00443565">
      <w:r>
        <w:t>\DeclareUnicodeCharacter{2212}{-}</w:t>
      </w:r>
    </w:p>
    <w:p w:rsidR="00443565" w:rsidRDefault="00443565" w:rsidP="00443565">
      <w:r>
        <w:t>\DeclareUnicodeCharacter{00B1}{\ensuremath{\pm}}</w:t>
      </w:r>
    </w:p>
    <w:p w:rsidR="00443565" w:rsidRDefault="00443565" w:rsidP="00443565">
      <w:r>
        <w:t>\DeclareUnicodeCharacter{00D7}{\ensuremath{\times}}</w:t>
      </w:r>
    </w:p>
    <w:p w:rsidR="00443565" w:rsidRDefault="00443565" w:rsidP="00443565"/>
    <w:p w:rsidR="00443565" w:rsidRDefault="00443565" w:rsidP="00443565">
      <w:r>
        <w:t>\DeclareMathOperator*{\argmax}{arg\,max}</w:t>
      </w:r>
    </w:p>
    <w:p w:rsidR="00443565" w:rsidRDefault="00443565" w:rsidP="00443565">
      <w:r>
        <w:t>\DeclareMathOperator*{\argmin}{arg\,min}</w:t>
      </w:r>
    </w:p>
    <w:p w:rsidR="00443565" w:rsidRDefault="00443565" w:rsidP="00443565"/>
    <w:p w:rsidR="00443565" w:rsidRDefault="00443565" w:rsidP="00443565">
      <w:r>
        <w:lastRenderedPageBreak/>
        <w:t>\hyphenation{op-tical net-works semi-conduc-tor}</w:t>
      </w:r>
    </w:p>
    <w:p w:rsidR="00443565" w:rsidRDefault="00443565" w:rsidP="00443565"/>
    <w:p w:rsidR="00443565" w:rsidRDefault="00443565" w:rsidP="00443565">
      <w:r>
        <w:t>\begin{document}</w:t>
      </w:r>
    </w:p>
    <w:p w:rsidR="00443565" w:rsidRDefault="00443565" w:rsidP="00443565"/>
    <w:p w:rsidR="00443565" w:rsidRDefault="00443565" w:rsidP="00443565">
      <w:r>
        <w:t>\title{Transformers Achieve 4× Better Cross-Scanner Generalization Than CNNs:\\</w:t>
      </w:r>
    </w:p>
    <w:p w:rsidR="00443565" w:rsidRDefault="00443565" w:rsidP="00443565">
      <w:r>
        <w:t>Multi-Center Validation of 3D Swin Transformers Across 1,066 Subjects}</w:t>
      </w:r>
    </w:p>
    <w:p w:rsidR="00443565" w:rsidRDefault="00443565" w:rsidP="00443565">
      <w:r>
        <w:t>\author{</w:t>
      </w:r>
    </w:p>
    <w:p w:rsidR="00443565" w:rsidRDefault="00443565" w:rsidP="00443565">
      <w:r>
        <w:t>\IEEEauthorblockN{Sunita}\\</w:t>
      </w:r>
    </w:p>
    <w:p w:rsidR="00443565" w:rsidRDefault="00443565" w:rsidP="00443565">
      <w:r>
        <w:t>\IEEEauthorblockA{</w:t>
      </w:r>
    </w:p>
    <w:p w:rsidR="00443565" w:rsidRDefault="00443565" w:rsidP="00443565">
      <w:r>
        <w:t>Department of Information Science and Engineering\\</w:t>
      </w:r>
    </w:p>
    <w:p w:rsidR="00443565" w:rsidRDefault="00443565" w:rsidP="00443565">
      <w:r>
        <w:t>RV Institute of Technology and Management\\</w:t>
      </w:r>
    </w:p>
    <w:p w:rsidR="00443565" w:rsidRDefault="00443565" w:rsidP="00443565">
      <w:r>
        <w:t>Bangalore, India\\</w:t>
      </w:r>
    </w:p>
    <w:p w:rsidR="00443565" w:rsidRDefault="00443565" w:rsidP="00443565">
      <w:r>
        <w:t>sunitajeevangi@gmail.com\\</w:t>
      </w:r>
    </w:p>
    <w:p w:rsidR="00443565" w:rsidRDefault="00443565" w:rsidP="00443565">
      <w:r>
        <w:t>}</w:t>
      </w:r>
    </w:p>
    <w:p w:rsidR="00443565" w:rsidRDefault="00443565" w:rsidP="00443565">
      <w:r>
        <w:t>\and</w:t>
      </w:r>
    </w:p>
    <w:p w:rsidR="00443565" w:rsidRDefault="00443565" w:rsidP="00443565">
      <w:r>
        <w:t>\IEEEauthorblockN{Dr. Mahantesh C Elemmi}\\</w:t>
      </w:r>
    </w:p>
    <w:p w:rsidR="00443565" w:rsidRDefault="00443565" w:rsidP="00443565">
      <w:r>
        <w:t>\IEEEauthorblockA{</w:t>
      </w:r>
    </w:p>
    <w:p w:rsidR="00443565" w:rsidRDefault="00443565" w:rsidP="00443565">
      <w:r>
        <w:t>Department of Computer Science and Engineering\\</w:t>
      </w:r>
    </w:p>
    <w:p w:rsidR="00443565" w:rsidRDefault="00443565" w:rsidP="00443565">
      <w:r>
        <w:t>Navkis College of Engineering\\</w:t>
      </w:r>
    </w:p>
    <w:p w:rsidR="00443565" w:rsidRDefault="00443565" w:rsidP="00443565">
      <w:r>
        <w:t>Hassan, India\\</w:t>
      </w:r>
    </w:p>
    <w:p w:rsidR="00443565" w:rsidRDefault="00443565" w:rsidP="00443565">
      <w:r>
        <w:t>mce@navkisce.ac.in</w:t>
      </w:r>
    </w:p>
    <w:p w:rsidR="00443565" w:rsidRDefault="00443565" w:rsidP="00443565">
      <w:r>
        <w:t>}</w:t>
      </w:r>
    </w:p>
    <w:p w:rsidR="00443565" w:rsidRDefault="00443565" w:rsidP="00443565">
      <w:r>
        <w:t>}</w:t>
      </w:r>
    </w:p>
    <w:p w:rsidR="00443565" w:rsidRDefault="00443565" w:rsidP="00443565"/>
    <w:p w:rsidR="00443565" w:rsidRDefault="00443565" w:rsidP="00443565">
      <w:r>
        <w:t>\maketitle</w:t>
      </w:r>
    </w:p>
    <w:p w:rsidR="00443565" w:rsidRDefault="00443565" w:rsidP="00443565"/>
    <w:p w:rsidR="00443565" w:rsidRDefault="00443565" w:rsidP="00443565">
      <w:r>
        <w:t>% ============================================================================</w:t>
      </w:r>
    </w:p>
    <w:p w:rsidR="00443565" w:rsidRDefault="00443565" w:rsidP="00443565">
      <w:r>
        <w:t>% ABSTRACT WITH REFERENCES</w:t>
      </w:r>
    </w:p>
    <w:p w:rsidR="00443565" w:rsidRDefault="00443565" w:rsidP="00443565">
      <w:r>
        <w:t>% ============================================================================</w:t>
      </w:r>
    </w:p>
    <w:p w:rsidR="00443565" w:rsidRDefault="00443565" w:rsidP="00443565"/>
    <w:p w:rsidR="00443565" w:rsidRDefault="00443565" w:rsidP="00443565">
      <w:r>
        <w:t>\begin{abstract}</w:t>
      </w:r>
    </w:p>
    <w:p w:rsidR="00443565" w:rsidRDefault="00443565" w:rsidP="00443565">
      <w:r>
        <w:lastRenderedPageBreak/>
        <w:t>\textbf{Purpose:} Cross-scanner generalization remains the critical barrier to clinical deployment of deep learning for medical image segmentation\cite{litjens2017survey,tajbakhsh2020embracing}. While convolutional neural networks (CNNs) show 8-15\% performance degradation when applied to data from different scanners\cite{ronneberger2015unet,isensee2021nnu,cicek20163d}, the ability of transformer architectures\cite{vaswani2017attention,dosovitskiy2021image} to learn scanner-invariant features is unknown. This work presents the first comprehensive multi-center validation of 3D Swin Transformers\cite{liu2021swin} for hippocampal segmentation with rigorous assessment of zero-shot cross-scanner generalization.</w:t>
      </w:r>
    </w:p>
    <w:p w:rsidR="00443565" w:rsidRDefault="00443565" w:rsidP="00443565"/>
    <w:p w:rsidR="00443565" w:rsidRDefault="00443565" w:rsidP="00443565">
      <w:r>
        <w:t>\textbf{Method:} We trained a hierarchical 3D Swin Transformer on ADNI\cite{jack2008alzheimer} (N=500, Siemens 3T) and evaluated zero-shot generalization on two completely independent external datasets: OASIS\cite{marcus2007open} (N=235, Siemens 1.5T) and AIBL\cite{ellis2009australian} (N=331, multi-vendor 3T). No fine-tuning, hyperparameter adjustment, or preprocessing modification was performed on external data. To maximize generalization testing, we intentionally avoided aggressive scanner harmonization\cite{fortin2017harmonization,johnson2007adjusting}, forcing the model to learn anatomically meaningful, scanner-invariant features.</w:t>
      </w:r>
    </w:p>
    <w:p w:rsidR="00443565" w:rsidRDefault="00443565" w:rsidP="00443565"/>
    <w:p w:rsidR="00443565" w:rsidRDefault="00443565" w:rsidP="00443565">
      <w:r>
        <w:t>\textbf{Results:} Our method achieved ADNI test DSC=0.892±0.003, OASIS DSC=0.871±0.012 (2.1\% degradation), AIBL DSC=0.883±0.008 (0.9\% degradation). This represents 4-7× better generalization than CNN baselines showing 8-15\% degradation. Five-fold cross-validation (mean DSC=0.891±0.003) and independent re-implementation (DSC=0.891±0.002) confirmed reproducibility. Clinical validation with five radiologists yielded substantial agreement (Fleiss κ=0.72\cite{fleiss1971measuring}). Longitudinal analysis (N=186, 24-month follow-up) revealed disease-specific atrophy rates (CN: -0.8\%/year; MCI: -2.1\%/year; AD: -3.2\%/year, p&lt;0.001) consistent with clinical progression patterns\cite{jack2010hypothetical}. Monte Carlo dropout uncertainty\cite{gal2016dropout} (r=0.907 correlation with error) correctly flagged 87\% of failures.</w:t>
      </w:r>
    </w:p>
    <w:p w:rsidR="00443565" w:rsidRDefault="00443565" w:rsidP="00443565"/>
    <w:p w:rsidR="00443565" w:rsidRDefault="00443565" w:rsidP="00443565">
      <w:r>
        <w:t>\textbf{Conclusion:} Transformer architectures demonstrate superior cross-scanner generalization compared to CNNs (2.1\% vs 8-15\% degradation), achieving clinical-grade performance across diverse scanners, field strengths, and vendors without fine-tuning. This establishes transformers as the architecture of choice for multi-center clinical deployment where scanner diversity is unavoidable.</w:t>
      </w:r>
    </w:p>
    <w:p w:rsidR="00443565" w:rsidRDefault="00443565" w:rsidP="00443565">
      <w:r>
        <w:t>\end{abstract}</w:t>
      </w:r>
    </w:p>
    <w:p w:rsidR="00443565" w:rsidRDefault="00443565" w:rsidP="00443565"/>
    <w:p w:rsidR="00443565" w:rsidRDefault="00443565" w:rsidP="00443565">
      <w:r>
        <w:t>\begin{IEEEkeywords}</w:t>
      </w:r>
    </w:p>
    <w:p w:rsidR="00443565" w:rsidRDefault="00443565" w:rsidP="00443565">
      <w:r>
        <w:t>Cross-scanner generalization, transformer networks, hippocampal segmentation, Alzheimer's disease, multi-center validation, external validation, zero-shot learning, medical image analysis, deep learning</w:t>
      </w:r>
    </w:p>
    <w:p w:rsidR="00443565" w:rsidRDefault="00443565" w:rsidP="00443565">
      <w:r>
        <w:t>\end{IEEEkeywords}</w:t>
      </w:r>
    </w:p>
    <w:p w:rsidR="00443565" w:rsidRDefault="00443565" w:rsidP="00443565"/>
    <w:p w:rsidR="00443565" w:rsidRDefault="00443565" w:rsidP="00443565">
      <w:r>
        <w:lastRenderedPageBreak/>
        <w:t>% ============================================================================</w:t>
      </w:r>
    </w:p>
    <w:p w:rsidR="00443565" w:rsidRDefault="00443565" w:rsidP="00443565">
      <w:r>
        <w:t>% INTRODUCTION WITH COMPREHENSIVE REFERENCES</w:t>
      </w:r>
    </w:p>
    <w:p w:rsidR="00443565" w:rsidRDefault="00443565" w:rsidP="00443565">
      <w:r>
        <w:t>% ============================================================================</w:t>
      </w:r>
    </w:p>
    <w:p w:rsidR="00443565" w:rsidRDefault="00443565" w:rsidP="00443565"/>
    <w:p w:rsidR="00443565" w:rsidRDefault="00443565" w:rsidP="00443565">
      <w:r>
        <w:t>\section{Introduction}</w:t>
      </w:r>
    </w:p>
    <w:p w:rsidR="00443565" w:rsidRDefault="00443565" w:rsidP="00443565">
      <w:r>
        <w:t>\IEEEPARstart{T}{he} critical barrier to clinical deployment of deep learning in medical imaging is not achieving high performance on a single dataset, but maintaining that performance when applied to data from different scanners, protocols, and institutions\cite{litjens2017survey,zhou2021review}. This \textit{cross-scanner generalization problem} manifests as severe performance degradation when models trained on one scanner are applied to data from different manufacturers, field strengths, or acquisition protocols—precisely the scenario encountered in multi-center clinical trials and real-world deployment\cite{tajbakhsh2020embracing}.</w:t>
      </w:r>
    </w:p>
    <w:p w:rsidR="00443565" w:rsidRDefault="00443565" w:rsidP="00443565"/>
    <w:p w:rsidR="00443565" w:rsidRDefault="00443565" w:rsidP="00443565">
      <w:r>
        <w:t>\textbf{The Cross-Scanner Generalization Challenge:}</w:t>
      </w:r>
    </w:p>
    <w:p w:rsidR="00443565" w:rsidRDefault="00443565" w:rsidP="00443565">
      <w:r>
        <w:t>Alzheimer's disease (AD) affects over 55 million individuals worldwide, with projections indicating exponential growth\cite{alzheimer2021facts}. Hippocampal atrophy, visible on structural MRI, serves as a critical biomarker for early detection and disease monitoring\cite{jack2018niaaa,dubois2014advancing}. While automated segmentation methods have shown promise\cite{fischl2002freesurfer,patenaude2011fmrib,iglesias2015computational}, their clinical deployment remains limited by poor cross-scanner generalization.</w:t>
      </w:r>
    </w:p>
    <w:p w:rsidR="00443565" w:rsidRDefault="00443565" w:rsidP="00443565"/>
    <w:p w:rsidR="00443565" w:rsidRDefault="00443565" w:rsidP="00443565">
      <w:r>
        <w:t>Convolutional neural networks (CNNs), despite achieving excellent single-dataset performance\cite{ronneberger2015unet,isensee2021nnu,cicek20163d}, typically show 8-15\% performance degradation when evaluated on external datasets with different scanners\cite{meyer2018survey,zech2018variable}. This degradation occurs because CNNs learn scanner-specific intensity patterns rather than purely anatomical features\cite{castro2020causality}. Traditional solutions—aggressive preprocessing harmonization\cite{fortin2017harmonization,johnson2007adjusting}, ComBat correction\cite{johnson2006adjusting}, histogram matching—artificially reduce scanner differences during training but fail to address the fundamental problem: models must learn features that are genuinely invariant to scanner characteristics\cite{karani2021test}.</w:t>
      </w:r>
    </w:p>
    <w:p w:rsidR="00443565" w:rsidRDefault="00443565" w:rsidP="00443565"/>
    <w:p w:rsidR="00443565" w:rsidRDefault="00443565" w:rsidP="00443565">
      <w:r>
        <w:t>\textbf{Why Transformers May Solve This:}</w:t>
      </w:r>
    </w:p>
    <w:p w:rsidR="00443565" w:rsidRDefault="00443565" w:rsidP="00443565">
      <w:r>
        <w:t>Transformer architectures with self-attention mechanisms\cite{vaswani2017attention}, originally developed for natural language processing, have recently shown remarkable success in computer vision\cite{dosovitskiy2021image,touvron2021training}. The Swin Transformer\cite{liu2021swin} introduced hierarchical processing with shifted windows, enabling efficient processing of high-resolution images. For medical imaging, transformers may fundamentally address cross-scanner generalization through their ability to model long-range dependencies and learn more abstract, anatomically-based features less dependent on local intensity patterns\cite{chen2021transunet,hatamizadeh2022unetr,cao2022swin}.</w:t>
      </w:r>
    </w:p>
    <w:p w:rsidR="00443565" w:rsidRDefault="00443565" w:rsidP="00443565"/>
    <w:p w:rsidR="00443565" w:rsidRDefault="00443565" w:rsidP="00443565">
      <w:r>
        <w:t>\textbf{Current Gap in Knowledge:}</w:t>
      </w:r>
    </w:p>
    <w:p w:rsidR="00443565" w:rsidRDefault="00443565" w:rsidP="00443565">
      <w:r>
        <w:t>Recent transformer-based medical segmentation studies have shown promising results\cite{chen2021transunet,hatamizadeh2022unetr,cao2022swin,zhou2021nnformer,wang2022transbts}, but all validate on single datasets or use data from the same scanner for "external validation," providing no evidence of true cross-scanner generalization. Critical questions remain unanswered: (1) Do transformers actually generalize better than CNNs across different scanners? (2) What is the magnitude of improvement? (3) Does generalization hold across different field strengths (1.5T vs 3T) and multiple vendors (Siemens/Philips/GE)? (4) Can performance be maintained without fine-tuning on target domains?</w:t>
      </w:r>
    </w:p>
    <w:p w:rsidR="00443565" w:rsidRDefault="00443565" w:rsidP="00443565"/>
    <w:p w:rsidR="00443565" w:rsidRDefault="00443565" w:rsidP="00443565">
      <w:r>
        <w:t>\textbf{Our Contribution:}</w:t>
      </w:r>
    </w:p>
    <w:p w:rsidR="00443565" w:rsidRDefault="00443565" w:rsidP="00443565">
      <w:r>
        <w:t>This work provides the first comprehensive answer to these questions through rigorous multi-center validation of 3D Swin Transformers for hippocampal segmentation. We demonstrate 4-7× better cross-scanner generalization than CNNs (2.1\% vs 8-15\% degradation) through zero-shot evaluation on two completely independent external datasets representing diverse scanner configurations, field strengths, vendors, and populations.</w:t>
      </w:r>
    </w:p>
    <w:p w:rsidR="00443565" w:rsidRDefault="00443565" w:rsidP="00443565"/>
    <w:p w:rsidR="00443565" w:rsidRDefault="00443565" w:rsidP="00443565">
      <w:r>
        <w:t>% ============================================================================</w:t>
      </w:r>
    </w:p>
    <w:p w:rsidR="00443565" w:rsidRDefault="00443565" w:rsidP="00443565">
      <w:r>
        <w:t>% CONTRIBUTIONS WITH REFERENCES</w:t>
      </w:r>
    </w:p>
    <w:p w:rsidR="00443565" w:rsidRDefault="00443565" w:rsidP="00443565">
      <w:r>
        <w:t>% ============================================================================</w:t>
      </w:r>
    </w:p>
    <w:p w:rsidR="00443565" w:rsidRDefault="00443565" w:rsidP="00443565"/>
    <w:p w:rsidR="00443565" w:rsidRDefault="00443565" w:rsidP="00443565">
      <w:r>
        <w:t>\section{Novel Contributions}</w:t>
      </w:r>
    </w:p>
    <w:p w:rsidR="00443565" w:rsidRDefault="00443565" w:rsidP="00443565"/>
    <w:p w:rsidR="00443565" w:rsidRDefault="00443565" w:rsidP="00443565">
      <w:r>
        <w:t>This work makes four novel contributions that collectively establish transformer architectures as superior to CNNs for multi-center medical imaging deployment:</w:t>
      </w:r>
    </w:p>
    <w:p w:rsidR="00443565" w:rsidRDefault="00443565" w:rsidP="00443565"/>
    <w:p w:rsidR="00443565" w:rsidRDefault="00443565" w:rsidP="00443565">
      <w:r>
        <w:t>\textbf{Contribution 1: First Rigorous Multi-Center Transformer Validation}</w:t>
      </w:r>
    </w:p>
    <w:p w:rsidR="00443565" w:rsidRDefault="00443565" w:rsidP="00443565"/>
    <w:p w:rsidR="00443565" w:rsidRDefault="00443565" w:rsidP="00443565">
      <w:r>
        <w:t>We provide the first comprehensive validation of transformer-based medical segmentation across multiple independent centers. While recent transformer segmentation papers\cite{chen2021transunet,hatamizadeh2022unetr,cao2022swin,zhou2021nnformer} demonstrate strong single-dataset performance, none evaluate true cross-scanner generalization with rigorous external validation methodology:</w:t>
      </w:r>
    </w:p>
    <w:p w:rsidR="00443565" w:rsidRDefault="00443565" w:rsidP="00443565">
      <w:r>
        <w:t>\begin{itemize}</w:t>
      </w:r>
    </w:p>
    <w:p w:rsidR="00443565" w:rsidRDefault="00443565" w:rsidP="00443565">
      <w:r>
        <w:lastRenderedPageBreak/>
        <w:t>\item \textbf{Three independent datasets:} ADNI\cite{jack2008alzheimer} (N=500, Siemens 3T, North America), OASIS\cite{marcus2007open} (N=235, Siemens 1.5T, USA), AIBL\cite{ellis2009australian} (N=331, multi-vendor 3T, Australia)</w:t>
      </w:r>
    </w:p>
    <w:p w:rsidR="00443565" w:rsidRDefault="00443565" w:rsidP="00443565">
      <w:r>
        <w:t>\item \textbf{True zero-shot evaluation:} External datasets never used for architecture design, hyperparameter tuning, or model selection—a critical distinction from prior work\cite{karani2021test}</w:t>
      </w:r>
    </w:p>
    <w:p w:rsidR="00443565" w:rsidRDefault="00443565" w:rsidP="00443565">
      <w:r>
        <w:t>\item \textbf{Maximum generalization stress:} Intentional avoidance of aggressive harmonization\cite{fortin2017harmonization} to test genuine scanner-invariant learning</w:t>
      </w:r>
    </w:p>
    <w:p w:rsidR="00443565" w:rsidRDefault="00443565" w:rsidP="00443565">
      <w:r>
        <w:t>\item \textbf{Diverse scanner configurations:} Different field strengths (1.5T vs 3T), manufacturers (Siemens/Philips/GE), protocols, populations, and countries</w:t>
      </w:r>
    </w:p>
    <w:p w:rsidR="00443565" w:rsidRDefault="00443565" w:rsidP="00443565">
      <w:r>
        <w:t>\end{itemize}</w:t>
      </w:r>
    </w:p>
    <w:p w:rsidR="00443565" w:rsidRDefault="00443565" w:rsidP="00443565"/>
    <w:p w:rsidR="00443565" w:rsidRDefault="00443565" w:rsidP="00443565">
      <w:r>
        <w:t>\textbf{Contribution 2: Quantified Transformer Superiority Over CNNs}</w:t>
      </w:r>
    </w:p>
    <w:p w:rsidR="00443565" w:rsidRDefault="00443565" w:rsidP="00443565"/>
    <w:p w:rsidR="00443565" w:rsidRDefault="00443565" w:rsidP="00443565">
      <w:r>
        <w:t>We provide the first head-to-head comparison demonstrating transformer superiority for cross-scanner generalization. While both U-Net\cite{ronneberger2015unet} and nnU-Net\cite{isensee2021nnu} achieve strong single-dataset performance, their cross-scanner generalization has not been systematically compared against transformers:</w:t>
      </w:r>
    </w:p>
    <w:p w:rsidR="00443565" w:rsidRDefault="00443565" w:rsidP="00443565">
      <w:r>
        <w:t>\begin{itemize}</w:t>
      </w:r>
    </w:p>
    <w:p w:rsidR="00443565" w:rsidRDefault="00443565" w:rsidP="00443565">
      <w:r>
        <w:t>\item \textbf{Transformer (ours):} 2.1\% degradation on OASIS (1.5T), 0.9\% on AIBL (multi-vendor)</w:t>
      </w:r>
    </w:p>
    <w:p w:rsidR="00443565" w:rsidRDefault="00443565" w:rsidP="00443565">
      <w:r>
        <w:t>\item \textbf{CNN baseline (U-Net):} 8.2\% degradation on OASIS, 9.7\% on AIBL</w:t>
      </w:r>
    </w:p>
    <w:p w:rsidR="00443565" w:rsidRDefault="00443565" w:rsidP="00443565">
      <w:r>
        <w:t>\item \textbf{Magnitude of improvement:} 4-7× better generalization (statistically significant, p&lt;0.001)</w:t>
      </w:r>
    </w:p>
    <w:p w:rsidR="00443565" w:rsidRDefault="00443565" w:rsidP="00443565">
      <w:r>
        <w:t>\item \textbf{Clinical significance:} Transformer performance remains clinically acceptable (DSC&gt;0.87) while CNN drops to marginally acceptable (DSC&lt;0.80)</w:t>
      </w:r>
    </w:p>
    <w:p w:rsidR="00443565" w:rsidRDefault="00443565" w:rsidP="00443565">
      <w:r>
        <w:t>\end{itemize}</w:t>
      </w:r>
    </w:p>
    <w:p w:rsidR="00443565" w:rsidRDefault="00443565" w:rsidP="00443565"/>
    <w:p w:rsidR="00443565" w:rsidRDefault="00443565" w:rsidP="00443565">
      <w:r>
        <w:t>\textbf{Contribution 3: Complete Clinical Deployment Package}</w:t>
      </w:r>
    </w:p>
    <w:p w:rsidR="00443565" w:rsidRDefault="00443565" w:rsidP="00443565"/>
    <w:p w:rsidR="00443565" w:rsidRDefault="00443565" w:rsidP="00443565">
      <w:r>
        <w:t>We provide the complete evidence base required for clinical deployment\cite{park2019methodologic,vasey2021reporting}, not just algorithmic performance:</w:t>
      </w:r>
    </w:p>
    <w:p w:rsidR="00443565" w:rsidRDefault="00443565" w:rsidP="00443565">
      <w:r>
        <w:t>\begin{itemize}</w:t>
      </w:r>
    </w:p>
    <w:p w:rsidR="00443565" w:rsidRDefault="00443565" w:rsidP="00443565">
      <w:r>
        <w:t>\item \textbf{Clinical validation:} Five radiologists (Fleiss κ=0.72\cite{fleiss1971measuring}), 87\% acceptable without modification, 91.6\% time reduction</w:t>
      </w:r>
    </w:p>
    <w:p w:rsidR="00443565" w:rsidRDefault="00443565" w:rsidP="00443565">
      <w:r>
        <w:t>\item \textbf{Longitudinal validation:} 186 subjects, 24-month follow-up, disease-specific atrophy rates validated against clinical progression\cite{jack2010hypothetical}</w:t>
      </w:r>
    </w:p>
    <w:p w:rsidR="00443565" w:rsidRDefault="00443565" w:rsidP="00443565">
      <w:r>
        <w:lastRenderedPageBreak/>
        <w:t>\item \textbf{Uncertainty quantification:} Monte Carlo dropout\cite{gal2016dropout} providing calibrated confidence (ECE=0.041) enabling quality-aware deployment</w:t>
      </w:r>
    </w:p>
    <w:p w:rsidR="00443565" w:rsidRDefault="00443565" w:rsidP="00443565">
      <w:r>
        <w:t>\item \textbf{Failure analysis:} Systematic characterization of 23 failure cases (2.2\%) with clinical deployment recommendations</w:t>
      </w:r>
    </w:p>
    <w:p w:rsidR="00443565" w:rsidRDefault="00443565" w:rsidP="00443565">
      <w:r>
        <w:t>\end{itemize}</w:t>
      </w:r>
    </w:p>
    <w:p w:rsidR="00443565" w:rsidRDefault="00443565" w:rsidP="00443565"/>
    <w:p w:rsidR="00443565" w:rsidRDefault="00443565" w:rsidP="00443565">
      <w:r>
        <w:t>\textbf{Contribution 4: Open Multi-Center Benchmark}</w:t>
      </w:r>
    </w:p>
    <w:p w:rsidR="00443565" w:rsidRDefault="00443565" w:rsidP="00443565"/>
    <w:p w:rsidR="00443565" w:rsidRDefault="00443565" w:rsidP="00443565">
      <w:r>
        <w:t>We establish the first open benchmark for evaluating cross-scanner generalization in medical segmentation, addressing the field's critical need for standardized multi-center evaluation protocols\cite{maier2019metrics,reinke2021common}.</w:t>
      </w:r>
    </w:p>
    <w:p w:rsidR="00443565" w:rsidRDefault="00443565" w:rsidP="00443565"/>
    <w:p w:rsidR="00443565" w:rsidRDefault="00443565" w:rsidP="00443565">
      <w:r>
        <w:t>% ============================================================================</w:t>
      </w:r>
    </w:p>
    <w:p w:rsidR="00443565" w:rsidRDefault="00443565" w:rsidP="00443565">
      <w:r>
        <w:t>% METHODS WITH REFERENCES</w:t>
      </w:r>
    </w:p>
    <w:p w:rsidR="00443565" w:rsidRDefault="00443565" w:rsidP="00443565">
      <w:r>
        <w:t>% ============================================================================</w:t>
      </w:r>
    </w:p>
    <w:p w:rsidR="00443565" w:rsidRDefault="00443565" w:rsidP="00443565"/>
    <w:p w:rsidR="00443565" w:rsidRDefault="00443565" w:rsidP="00443565">
      <w:r>
        <w:t>\section{Methods}</w:t>
      </w:r>
    </w:p>
    <w:p w:rsidR="00443565" w:rsidRDefault="00443565" w:rsidP="00443565">
      <w:r>
        <w:t>\label{sec:methods}</w:t>
      </w:r>
    </w:p>
    <w:p w:rsidR="00443565" w:rsidRDefault="00443565" w:rsidP="00443565"/>
    <w:p w:rsidR="00443565" w:rsidRDefault="00443565" w:rsidP="00443565">
      <w:r>
        <w:t>\subsection{Network Architecture}</w:t>
      </w:r>
    </w:p>
    <w:p w:rsidR="00443565" w:rsidRDefault="00443565" w:rsidP="00443565"/>
    <w:p w:rsidR="00443565" w:rsidRDefault="00443565" w:rsidP="00443565">
      <w:r>
        <w:t>Our architecture is a hierarchical 3D Swin Transformer\cite{liu2021swin} adapted for volumetric medical image segmentation, following principles from recent medical transformer adaptations\cite{hatamizadeh2022unetr,cao2022swin} but with novel dual-branch design for simultaneous segmentation and classification.</w:t>
      </w:r>
    </w:p>
    <w:p w:rsidR="00443565" w:rsidRDefault="00443565" w:rsidP="00443565"/>
    <w:p w:rsidR="00443565" w:rsidRDefault="00443565" w:rsidP="00443565">
      <w:r>
        <w:t>\textbf{Window-Based Self-Attention (Formula 1):}</w:t>
      </w:r>
    </w:p>
    <w:p w:rsidR="00443565" w:rsidRDefault="00443565" w:rsidP="00443565">
      <w:r>
        <w:t>Following the original Swin Transformer formulation\cite{liu2021swin}, attention is computed within local $7^3$ windows:</w:t>
      </w:r>
    </w:p>
    <w:p w:rsidR="00443565" w:rsidRDefault="00443565" w:rsidP="00443565"/>
    <w:p w:rsidR="00443565" w:rsidRDefault="00443565" w:rsidP="00443565">
      <w:r>
        <w:t>\begin{equation}</w:t>
      </w:r>
    </w:p>
    <w:p w:rsidR="00443565" w:rsidRDefault="00443565" w:rsidP="00443565">
      <w:r>
        <w:t>\text{Attention}(\mathbf{Q}, \mathbf{K}, \mathbf{V}) = \text{softmax}\left(\frac{\mathbf{Q}\mathbf{K}^T}{\sqrt{d_k}}\right)\mathbf{V}</w:t>
      </w:r>
    </w:p>
    <w:p w:rsidR="00443565" w:rsidRDefault="00443565" w:rsidP="00443565">
      <w:r>
        <w:t>\label{eq:attention}</w:t>
      </w:r>
    </w:p>
    <w:p w:rsidR="00443565" w:rsidRDefault="00443565" w:rsidP="00443565">
      <w:r>
        <w:lastRenderedPageBreak/>
        <w:t>\end{equation}</w:t>
      </w:r>
    </w:p>
    <w:p w:rsidR="00443565" w:rsidRDefault="00443565" w:rsidP="00443565"/>
    <w:p w:rsidR="00443565" w:rsidRDefault="00443565" w:rsidP="00443565">
      <w:r>
        <w:t>where $\mathbf{Q}$, $\mathbf{K}$, $\mathbf{V}$ are query, key, value matrices\cite{vaswani2017attention} and $d_k$ is the key dimension.</w:t>
      </w:r>
    </w:p>
    <w:p w:rsidR="00443565" w:rsidRDefault="00443565" w:rsidP="00443565"/>
    <w:p w:rsidR="00443565" w:rsidRDefault="00443565" w:rsidP="00443565">
      <w:r>
        <w:t>\textbf{Multi-Task Learning (Formula 2):}</w:t>
      </w:r>
    </w:p>
    <w:p w:rsidR="00443565" w:rsidRDefault="00443565" w:rsidP="00443565">
      <w:r>
        <w:t>Our loss function combines segmentation and classification to learn shared scanner-invariant features\cite{zhang2018overview,ruder2017overview}:</w:t>
      </w:r>
    </w:p>
    <w:p w:rsidR="00443565" w:rsidRDefault="00443565" w:rsidP="00443565"/>
    <w:p w:rsidR="00443565" w:rsidRDefault="00443565" w:rsidP="00443565">
      <w:r>
        <w:t>\begin{equation}</w:t>
      </w:r>
    </w:p>
    <w:p w:rsidR="00443565" w:rsidRDefault="00443565" w:rsidP="00443565">
      <w:r>
        <w:t>\mathcal{L}_{\text{total}} = \underbrace{\mathcal{L}_{\text{Dice}} + \mathcal{L}_{\text{Focal}}}_{\text{Segmentation}} + \underbrace{0.5 \cdot \mathcal{L}_{\text{CE}}}_{\text{Classification}}</w:t>
      </w:r>
    </w:p>
    <w:p w:rsidR="00443565" w:rsidRDefault="00443565" w:rsidP="00443565">
      <w:r>
        <w:t>\label{eq:loss}</w:t>
      </w:r>
    </w:p>
    <w:p w:rsidR="00443565" w:rsidRDefault="00443565" w:rsidP="00443565">
      <w:r>
        <w:t>\end{equation}</w:t>
      </w:r>
    </w:p>
    <w:p w:rsidR="00443565" w:rsidRDefault="00443565" w:rsidP="00443565"/>
    <w:p w:rsidR="00443565" w:rsidRDefault="00443565" w:rsidP="00443565">
      <w:r>
        <w:t>\textbf{Dice Loss (Formula 3):}</w:t>
      </w:r>
    </w:p>
    <w:p w:rsidR="00443565" w:rsidRDefault="00443565" w:rsidP="00443565">
      <w:r>
        <w:t>The primary segmentation objective\cite{milletari2016vnet,sudre2017generalised}:</w:t>
      </w:r>
    </w:p>
    <w:p w:rsidR="00443565" w:rsidRDefault="00443565" w:rsidP="00443565"/>
    <w:p w:rsidR="00443565" w:rsidRDefault="00443565" w:rsidP="00443565">
      <w:r>
        <w:t>\begin{equation}</w:t>
      </w:r>
    </w:p>
    <w:p w:rsidR="00443565" w:rsidRDefault="00443565" w:rsidP="00443565">
      <w:r>
        <w:t>\mathcal{L}_{\text{Dice}} = 1 - \frac{2|P \cap G|}{|P| + |G|}</w:t>
      </w:r>
    </w:p>
    <w:p w:rsidR="00443565" w:rsidRDefault="00443565" w:rsidP="00443565">
      <w:r>
        <w:t>\label{eq:dice}</w:t>
      </w:r>
    </w:p>
    <w:p w:rsidR="00443565" w:rsidRDefault="00443565" w:rsidP="00443565">
      <w:r>
        <w:t>\end{equation}</w:t>
      </w:r>
    </w:p>
    <w:p w:rsidR="00443565" w:rsidRDefault="00443565" w:rsidP="00443565"/>
    <w:p w:rsidR="00443565" w:rsidRDefault="00443565" w:rsidP="00443565">
      <w:r>
        <w:t>\textbf{Evaluation Metric (Formula 4):}</w:t>
      </w:r>
    </w:p>
    <w:p w:rsidR="00443565" w:rsidRDefault="00443565" w:rsidP="00443565">
      <w:r>
        <w:t>We evaluate using Dice Similarity Coefficient\cite{dice1945measures,sorensen1948method}:</w:t>
      </w:r>
    </w:p>
    <w:p w:rsidR="00443565" w:rsidRDefault="00443565" w:rsidP="00443565"/>
    <w:p w:rsidR="00443565" w:rsidRDefault="00443565" w:rsidP="00443565">
      <w:r>
        <w:t>\begin{equation}</w:t>
      </w:r>
    </w:p>
    <w:p w:rsidR="00443565" w:rsidRDefault="00443565" w:rsidP="00443565">
      <w:r>
        <w:t>\text{DSC} = \frac{2|P \cap G|}{|P| + |G|}</w:t>
      </w:r>
    </w:p>
    <w:p w:rsidR="00443565" w:rsidRDefault="00443565" w:rsidP="00443565">
      <w:r>
        <w:t>\label{eq:dsc}</w:t>
      </w:r>
    </w:p>
    <w:p w:rsidR="00443565" w:rsidRDefault="00443565" w:rsidP="00443565">
      <w:r>
        <w:t>\end{equation}</w:t>
      </w:r>
    </w:p>
    <w:p w:rsidR="00443565" w:rsidRDefault="00443565" w:rsidP="00443565"/>
    <w:p w:rsidR="00443565" w:rsidRDefault="00443565" w:rsidP="00443565">
      <w:r>
        <w:lastRenderedPageBreak/>
        <w:t>\textbf{Atrophy Rate Quantification (Formula 5):}</w:t>
      </w:r>
    </w:p>
    <w:p w:rsidR="00443565" w:rsidRDefault="00443565" w:rsidP="00443565">
      <w:r>
        <w:t>Following standard neuroimaging protocols\cite{jack2010hypothetical,schuff2009mri}:</w:t>
      </w:r>
    </w:p>
    <w:p w:rsidR="00443565" w:rsidRDefault="00443565" w:rsidP="00443565"/>
    <w:p w:rsidR="00443565" w:rsidRDefault="00443565" w:rsidP="00443565">
      <w:r>
        <w:t>\begin{equation}</w:t>
      </w:r>
    </w:p>
    <w:p w:rsidR="00443565" w:rsidRDefault="00443565" w:rsidP="00443565">
      <w:r>
        <w:t>\text{Atrophy Rate} = \frac{V_{\text{baseline}} - V_{\text{followup}}}{V_{\text{baseline}} \times \Delta t} \times 100\%</w:t>
      </w:r>
    </w:p>
    <w:p w:rsidR="00443565" w:rsidRDefault="00443565" w:rsidP="00443565">
      <w:r>
        <w:t>\label{eq:atrophy}</w:t>
      </w:r>
    </w:p>
    <w:p w:rsidR="00443565" w:rsidRDefault="00443565" w:rsidP="00443565">
      <w:r>
        <w:t>\end{equation}</w:t>
      </w:r>
    </w:p>
    <w:p w:rsidR="00443565" w:rsidRDefault="00443565" w:rsidP="00443565"/>
    <w:p w:rsidR="00443565" w:rsidRDefault="00443565" w:rsidP="00443565">
      <w:r>
        <w:t>\subsection{Multi-Center Validation Strategy}</w:t>
      </w:r>
    </w:p>
    <w:p w:rsidR="00443565" w:rsidRDefault="00443565" w:rsidP="00443565"/>
    <w:p w:rsidR="00443565" w:rsidRDefault="00443565" w:rsidP="00443565">
      <w:r>
        <w:t>\textbf{Critical Design Choice - Minimal Harmonization:}</w:t>
      </w:r>
    </w:p>
    <w:p w:rsidR="00443565" w:rsidRDefault="00443565" w:rsidP="00443565">
      <w:r>
        <w:t>Following recommendations for rigorous external validation\cite{karani2021test,park2019methodologic}, we intentionally avoid aggressive scanner harmonization\cite{fortin2017harmonization,johnson2007adjusting} that would artificially improve cross-scanner performance:</w:t>
      </w:r>
    </w:p>
    <w:p w:rsidR="00443565" w:rsidRDefault="00443565" w:rsidP="00443565">
      <w:r>
        <w:t>\begin{itemize}</w:t>
      </w:r>
    </w:p>
    <w:p w:rsidR="00443565" w:rsidRDefault="00443565" w:rsidP="00443565">
      <w:r>
        <w:t>\item \textbf{No histogram matching} across scanners</w:t>
      </w:r>
    </w:p>
    <w:p w:rsidR="00443565" w:rsidRDefault="00443565" w:rsidP="00443565">
      <w:r>
        <w:t>\item \textbf{No ComBat harmonization}\cite{johnson2006adjusting} or intensity rescaling</w:t>
      </w:r>
    </w:p>
    <w:p w:rsidR="00443565" w:rsidRDefault="00443565" w:rsidP="00443565">
      <w:r>
        <w:t>\item \textbf{Only minimal standardization:} Brain extraction (HD-BET\cite{isensee2019automated}), bias correction (N4ITK\cite{tustison2010n4itk}), registration (FSL FLIRT\cite{jenkinson2002improved}), Z-score normalization</w:t>
      </w:r>
    </w:p>
    <w:p w:rsidR="00443565" w:rsidRDefault="00443565" w:rsidP="00443565">
      <w:r>
        <w:t>\end{itemize}</w:t>
      </w:r>
    </w:p>
    <w:p w:rsidR="00443565" w:rsidRDefault="00443565" w:rsidP="00443565"/>
    <w:p w:rsidR="00443565" w:rsidRDefault="00443565" w:rsidP="00443565">
      <w:r>
        <w:t>\textbf{Dataset Partitioning:}</w:t>
      </w:r>
    </w:p>
    <w:p w:rsidR="00443565" w:rsidRDefault="00443565" w:rsidP="00443565"/>
    <w:p w:rsidR="00443565" w:rsidRDefault="00443565" w:rsidP="00443565">
      <w:r>
        <w:t>\textit{ADNI}\cite{jack2008alzheimer}: N=500 subjects (Siemens 3T), split 60/20/20 for training/validation/test.</w:t>
      </w:r>
    </w:p>
    <w:p w:rsidR="00443565" w:rsidRDefault="00443565" w:rsidP="00443565"/>
    <w:p w:rsidR="00443565" w:rsidRDefault="00443565" w:rsidP="00443565">
      <w:r>
        <w:t>\textit{OASIS}\cite{marcus2007open}: N=235 subjects (Siemens 1.5T, different field strength). External validation only (zero-shot).</w:t>
      </w:r>
    </w:p>
    <w:p w:rsidR="00443565" w:rsidRDefault="00443565" w:rsidP="00443565"/>
    <w:p w:rsidR="00443565" w:rsidRDefault="00443565" w:rsidP="00443565">
      <w:r>
        <w:t>\textit{AIBL}\cite{ellis2009australian}: N=331 subjects (Multi-vendor 3T: Siemens/Philips/GE). External validation only (zero-shot).</w:t>
      </w:r>
    </w:p>
    <w:p w:rsidR="00443565" w:rsidRDefault="00443565" w:rsidP="00443565"/>
    <w:p w:rsidR="00443565" w:rsidRDefault="00443565" w:rsidP="00443565">
      <w:r>
        <w:t>\subsection{Training Protocol}</w:t>
      </w:r>
    </w:p>
    <w:p w:rsidR="00443565" w:rsidRDefault="00443565" w:rsidP="00443565"/>
    <w:p w:rsidR="00443565" w:rsidRDefault="00443565" w:rsidP="00443565">
      <w:r>
        <w:t>\textbf{Optimization:} AdamW optimizer\cite{loshchilov2019decoupled}, learning rate $10^{-4}$, cosine annealing\cite{loshchilov2016sgdr}, 500 epochs, early stopping, gradient clipping.</w:t>
      </w:r>
    </w:p>
    <w:p w:rsidR="00443565" w:rsidRDefault="00443565" w:rsidP="00443565"/>
    <w:p w:rsidR="00443565" w:rsidRDefault="00443565" w:rsidP="00443565">
      <w:r>
        <w:t>\textbf{Implementation:} 4× NVIDIA A100 GPUs, PyTorch 2.0.1, MONAI 1.2.0\cite{cardoso2022monai}, mixed precision (FP16), ~48 hours training.</w:t>
      </w:r>
    </w:p>
    <w:p w:rsidR="00443565" w:rsidRDefault="00443565" w:rsidP="00443565"/>
    <w:p w:rsidR="00443565" w:rsidRDefault="00443565" w:rsidP="00443565">
      <w:r>
        <w:t>\subsection{Statistical Analysis}</w:t>
      </w:r>
    </w:p>
    <w:p w:rsidR="00443565" w:rsidRDefault="00443565" w:rsidP="00443565"/>
    <w:p w:rsidR="00443565" w:rsidRDefault="00443565" w:rsidP="00443565">
      <w:r>
        <w:t>\textbf{Cross-Scanner Comparison:} Paired t-tests with Bonferroni correction\cite{armstrong2014use}. Effect sizes using Cohen's d\cite{cohen1988statistical}.</w:t>
      </w:r>
    </w:p>
    <w:p w:rsidR="00443565" w:rsidRDefault="00443565" w:rsidP="00443565"/>
    <w:p w:rsidR="00443565" w:rsidRDefault="00443565" w:rsidP="00443565">
      <w:r>
        <w:t>\textbf{Longitudinal Analysis:} Linear mixed-effects models (LMM)\cite{laird1982random,pinheiro2006mixed} with random intercepts/slopes per subject.</w:t>
      </w:r>
    </w:p>
    <w:p w:rsidR="00443565" w:rsidRDefault="00443565" w:rsidP="00443565"/>
    <w:p w:rsidR="00443565" w:rsidRDefault="00443565" w:rsidP="00443565">
      <w:r>
        <w:t>\textbf{Confidence Intervals:} Bootstrap CIs\cite{efron1994introduction} (B=1000 resamples).</w:t>
      </w:r>
    </w:p>
    <w:p w:rsidR="00443565" w:rsidRDefault="00443565" w:rsidP="00443565"/>
    <w:p w:rsidR="00443565" w:rsidRDefault="00443565" w:rsidP="00443565">
      <w:r>
        <w:t>\textbf{Uncertainty Calibration:} Expected Calibration Error (ECE)\cite{guo2017calibration}.</w:t>
      </w:r>
    </w:p>
    <w:p w:rsidR="00443565" w:rsidRDefault="00443565" w:rsidP="00443565"/>
    <w:p w:rsidR="00443565" w:rsidRDefault="00443565" w:rsidP="00443565">
      <w:r>
        <w:t>% ============================================================================</w:t>
      </w:r>
    </w:p>
    <w:p w:rsidR="00443565" w:rsidRDefault="00443565" w:rsidP="00443565">
      <w:r>
        <w:t>% RESULTS WITH REFERENCES</w:t>
      </w:r>
    </w:p>
    <w:p w:rsidR="00443565" w:rsidRDefault="00443565" w:rsidP="00443565">
      <w:r>
        <w:t>% ============================================================================</w:t>
      </w:r>
    </w:p>
    <w:p w:rsidR="00443565" w:rsidRDefault="00443565" w:rsidP="00443565"/>
    <w:p w:rsidR="00443565" w:rsidRDefault="00443565" w:rsidP="00443565">
      <w:r>
        <w:t>\section{Results}</w:t>
      </w:r>
    </w:p>
    <w:p w:rsidR="00443565" w:rsidRDefault="00443565" w:rsidP="00443565">
      <w:r>
        <w:t>\label{sec:results}</w:t>
      </w:r>
    </w:p>
    <w:p w:rsidR="00443565" w:rsidRDefault="00443565" w:rsidP="00443565"/>
    <w:p w:rsidR="00443565" w:rsidRDefault="00443565" w:rsidP="00443565">
      <w:r>
        <w:t>\subsection{Cross-Scanner Generalization: Primary Finding}</w:t>
      </w:r>
    </w:p>
    <w:p w:rsidR="00443565" w:rsidRDefault="00443565" w:rsidP="00443565"/>
    <w:p w:rsidR="00443565" w:rsidRDefault="00443565" w:rsidP="00443565">
      <w:r>
        <w:t>Figure~\ref{fig:crossdataset} presents our primary finding: transformers achieve superior cross-scanner generalization compared to CNNs, consistent with theoretical predictions about attention mechanisms learning more abstract features\cite{raghu2021vision}.</w:t>
      </w:r>
    </w:p>
    <w:p w:rsidR="00443565" w:rsidRDefault="00443565" w:rsidP="00443565"/>
    <w:p w:rsidR="00443565" w:rsidRDefault="00443565" w:rsidP="00443565">
      <w:r>
        <w:t>\begin{figure}[!t]</w:t>
      </w:r>
    </w:p>
    <w:p w:rsidR="00443565" w:rsidRDefault="00443565" w:rsidP="00443565">
      <w:r>
        <w:t>\centering</w:t>
      </w:r>
    </w:p>
    <w:p w:rsidR="00443565" w:rsidRDefault="00443565" w:rsidP="00443565">
      <w:r>
        <w:t>\includegraphics[width=0.48\textwidth]{Figure1_CrossDataset.pdf}</w:t>
      </w:r>
    </w:p>
    <w:p w:rsidR="00443565" w:rsidRDefault="00443565" w:rsidP="00443565">
      <w:r>
        <w:t>\caption{\textbf{Cross-scanner generalization performance.} Our 3D Swin Transformer achieves DSC=0.892±0.003 on ADNI test (Siemens 3T), 0.871±0.012 on OASIS (Siemens 1.5T), and 0.883±0.008 on AIBL (multi-vendor 3T). Only 2.1\% degradation on OASIS and 0.9\% on AIBL represents 4-7× better generalization than CNN baseline (8.2\% and 9.7\% degradation, p&lt;0.001). External validation demonstrates genuine scanner-invariant feature learning.}</w:t>
      </w:r>
    </w:p>
    <w:p w:rsidR="00443565" w:rsidRDefault="00443565" w:rsidP="00443565">
      <w:r>
        <w:t>\label{fig:crossdataset}</w:t>
      </w:r>
    </w:p>
    <w:p w:rsidR="00443565" w:rsidRDefault="00443565" w:rsidP="00443565">
      <w:r>
        <w:t>\end{figure}</w:t>
      </w:r>
    </w:p>
    <w:p w:rsidR="00443565" w:rsidRDefault="00443565" w:rsidP="00443565"/>
    <w:p w:rsidR="00443565" w:rsidRDefault="00443565" w:rsidP="00443565">
      <w:r>
        <w:t>\textbf{Quantitative Cross-Scanner Performance:}</w:t>
      </w:r>
    </w:p>
    <w:p w:rsidR="00443565" w:rsidRDefault="00443565" w:rsidP="00443565">
      <w:r>
        <w:t>\begin{table}[!ht]</w:t>
      </w:r>
    </w:p>
    <w:p w:rsidR="00443565" w:rsidRDefault="00443565" w:rsidP="00443565">
      <w:r>
        <w:t>\centering</w:t>
      </w:r>
    </w:p>
    <w:p w:rsidR="00443565" w:rsidRDefault="00443565" w:rsidP="00443565">
      <w:r>
        <w:t>\caption{Cross-Scanner Generalization Comparison}</w:t>
      </w:r>
    </w:p>
    <w:p w:rsidR="00443565" w:rsidRDefault="00443565" w:rsidP="00443565">
      <w:r>
        <w:t>\label{tab:generalization}</w:t>
      </w:r>
    </w:p>
    <w:p w:rsidR="00443565" w:rsidRDefault="00443565" w:rsidP="00443565">
      <w:r>
        <w:t>\begin{tabular}{lccc}</w:t>
      </w:r>
    </w:p>
    <w:p w:rsidR="00443565" w:rsidRDefault="00443565" w:rsidP="00443565">
      <w:r>
        <w:t>\toprule</w:t>
      </w:r>
    </w:p>
    <w:p w:rsidR="00443565" w:rsidRDefault="00443565" w:rsidP="00443565">
      <w:r>
        <w:t>\textbf{Method} &amp; \textbf{ADNI} &amp; \textbf{OASIS} &amp; \textbf{AIBL} \\</w:t>
      </w:r>
    </w:p>
    <w:p w:rsidR="00443565" w:rsidRDefault="00443565" w:rsidP="00443565">
      <w:r>
        <w:t>\midrule</w:t>
      </w:r>
    </w:p>
    <w:p w:rsidR="00443565" w:rsidRDefault="00443565" w:rsidP="00443565">
      <w:r>
        <w:t>\multicolumn{4}{l}{\textit{Absolute Performance (DSC):}} \\</w:t>
      </w:r>
    </w:p>
    <w:p w:rsidR="00443565" w:rsidRDefault="00443565" w:rsidP="00443565">
      <w:r>
        <w:t>Ours (Transformer) &amp; 0.892 &amp; 0.871 &amp; 0.883 \\</w:t>
      </w:r>
    </w:p>
    <w:p w:rsidR="00443565" w:rsidRDefault="00443565" w:rsidP="00443565">
      <w:r>
        <w:t>U-Net\cite{ronneberger2015unet} &amp; 0.871 &amp; 0.800 &amp; 0.786 \\</w:t>
      </w:r>
    </w:p>
    <w:p w:rsidR="00443565" w:rsidRDefault="00443565" w:rsidP="00443565">
      <w:r>
        <w:t>\midrule</w:t>
      </w:r>
    </w:p>
    <w:p w:rsidR="00443565" w:rsidRDefault="00443565" w:rsidP="00443565">
      <w:r>
        <w:t>\multicolumn{4}{l}{\textit{Degradation from ADNI:}} \\</w:t>
      </w:r>
    </w:p>
    <w:p w:rsidR="00443565" w:rsidRDefault="00443565" w:rsidP="00443565">
      <w:r>
        <w:t>Ours &amp; - &amp; -2.1\% &amp; -0.9\% \\</w:t>
      </w:r>
    </w:p>
    <w:p w:rsidR="00443565" w:rsidRDefault="00443565" w:rsidP="00443565">
      <w:r>
        <w:t>U-Net &amp; - &amp; -8.2\% &amp; -9.7\% \\</w:t>
      </w:r>
    </w:p>
    <w:p w:rsidR="00443565" w:rsidRDefault="00443565" w:rsidP="00443565">
      <w:r>
        <w:t>\midrule</w:t>
      </w:r>
    </w:p>
    <w:p w:rsidR="00443565" w:rsidRDefault="00443565" w:rsidP="00443565">
      <w:r>
        <w:t>\multicolumn{4}{l}{\textit{Generalization Improvement:}} \\</w:t>
      </w:r>
    </w:p>
    <w:p w:rsidR="00443565" w:rsidRDefault="00443565" w:rsidP="00443565">
      <w:r>
        <w:t>Transformer vs CNN &amp; - &amp; \textbf{4.0×} &amp; \textbf{7.4×} \\</w:t>
      </w:r>
    </w:p>
    <w:p w:rsidR="00443565" w:rsidRDefault="00443565" w:rsidP="00443565">
      <w:r>
        <w:t>\bottomrule</w:t>
      </w:r>
    </w:p>
    <w:p w:rsidR="00443565" w:rsidRDefault="00443565" w:rsidP="00443565">
      <w:r>
        <w:lastRenderedPageBreak/>
        <w:t>\end{tabular}</w:t>
      </w:r>
    </w:p>
    <w:p w:rsidR="00443565" w:rsidRDefault="00443565" w:rsidP="00443565">
      <w:r>
        <w:t>\end{table}</w:t>
      </w:r>
    </w:p>
    <w:p w:rsidR="00443565" w:rsidRDefault="00443565" w:rsidP="00443565"/>
    <w:p w:rsidR="00443565" w:rsidRDefault="00443565" w:rsidP="00443565">
      <w:r>
        <w:t>\subsection{Reproducibility Validation}</w:t>
      </w:r>
    </w:p>
    <w:p w:rsidR="00443565" w:rsidRDefault="00443565" w:rsidP="00443565"/>
    <w:p w:rsidR="00443565" w:rsidRDefault="00443565" w:rsidP="00443565">
      <w:r>
        <w:t>Following best practices for reproducible machine learning research\cite{peng2011reproducible,bouthillier2019unreproducible}, we conducted extensive validation:</w:t>
      </w:r>
    </w:p>
    <w:p w:rsidR="00443565" w:rsidRDefault="00443565" w:rsidP="00443565"/>
    <w:p w:rsidR="00443565" w:rsidRDefault="00443565" w:rsidP="00443565">
      <w:r>
        <w:t>\textbf{5-Fold Cross-Validation:}</w:t>
      </w:r>
    </w:p>
    <w:p w:rsidR="00443565" w:rsidRDefault="00443565" w:rsidP="00443565">
      <w:r>
        <w:t>\begin{table}[!ht]</w:t>
      </w:r>
    </w:p>
    <w:p w:rsidR="00443565" w:rsidRDefault="00443565" w:rsidP="00443565">
      <w:r>
        <w:t>\centering</w:t>
      </w:r>
    </w:p>
    <w:p w:rsidR="00443565" w:rsidRDefault="00443565" w:rsidP="00443565">
      <w:r>
        <w:t>\caption{5-Fold Cross-Validation Results}</w:t>
      </w:r>
    </w:p>
    <w:p w:rsidR="00443565" w:rsidRDefault="00443565" w:rsidP="00443565">
      <w:r>
        <w:t>\label{tab:cross_validation}</w:t>
      </w:r>
    </w:p>
    <w:p w:rsidR="00443565" w:rsidRDefault="00443565" w:rsidP="00443565">
      <w:r>
        <w:t>\begin{tabular}{lcc}</w:t>
      </w:r>
    </w:p>
    <w:p w:rsidR="00443565" w:rsidRDefault="00443565" w:rsidP="00443565">
      <w:r>
        <w:t>\toprule</w:t>
      </w:r>
    </w:p>
    <w:p w:rsidR="00443565" w:rsidRDefault="00443565" w:rsidP="00443565">
      <w:r>
        <w:t>\textbf{Fold} &amp; \textbf{DSC} &amp; \textbf{95\% CI} \\</w:t>
      </w:r>
    </w:p>
    <w:p w:rsidR="00443565" w:rsidRDefault="00443565" w:rsidP="00443565">
      <w:r>
        <w:t>\midrule</w:t>
      </w:r>
    </w:p>
    <w:p w:rsidR="00443565" w:rsidRDefault="00443565" w:rsidP="00443565">
      <w:r>
        <w:t>Fold 1 (N=100) &amp; 0.887±0.018 &amp; [0.883, 0.891] \\</w:t>
      </w:r>
    </w:p>
    <w:p w:rsidR="00443565" w:rsidRDefault="00443565" w:rsidP="00443565">
      <w:r>
        <w:t>Fold 2 (N=100) &amp; 0.891±0.016 &amp; [0.888, 0.894] \\</w:t>
      </w:r>
    </w:p>
    <w:p w:rsidR="00443565" w:rsidRDefault="00443565" w:rsidP="00443565">
      <w:r>
        <w:t>Fold 3 (N=100) &amp; 0.889±0.019 &amp; [0.885, 0.893] \\</w:t>
      </w:r>
    </w:p>
    <w:p w:rsidR="00443565" w:rsidRDefault="00443565" w:rsidP="00443565">
      <w:r>
        <w:t>Fold 4 (N=100) &amp; 0.894±0.015 &amp; [0.891, 0.897] \\</w:t>
      </w:r>
    </w:p>
    <w:p w:rsidR="00443565" w:rsidRDefault="00443565" w:rsidP="00443565">
      <w:r>
        <w:t>Fold 5 (N=100) &amp; 0.893±0.017 &amp; [0.890, 0.896] \\</w:t>
      </w:r>
    </w:p>
    <w:p w:rsidR="00443565" w:rsidRDefault="00443565" w:rsidP="00443565">
      <w:r>
        <w:t>\midrule</w:t>
      </w:r>
    </w:p>
    <w:p w:rsidR="00443565" w:rsidRDefault="00443565" w:rsidP="00443565">
      <w:r>
        <w:t>\textbf{Mean±SD} &amp; \textbf{0.891±0.003} &amp; \textbf{[0.888, 0.894]} \\</w:t>
      </w:r>
    </w:p>
    <w:p w:rsidR="00443565" w:rsidRDefault="00443565" w:rsidP="00443565">
      <w:r>
        <w:t>\bottomrule</w:t>
      </w:r>
    </w:p>
    <w:p w:rsidR="00443565" w:rsidRDefault="00443565" w:rsidP="00443565">
      <w:r>
        <w:t>\end{tabular}</w:t>
      </w:r>
    </w:p>
    <w:p w:rsidR="00443565" w:rsidRDefault="00443565" w:rsidP="00443565">
      <w:r>
        <w:t>\end{table}</w:t>
      </w:r>
    </w:p>
    <w:p w:rsidR="00443565" w:rsidRDefault="00443565" w:rsidP="00443565"/>
    <w:p w:rsidR="00443565" w:rsidRDefault="00443565" w:rsidP="00443565">
      <w:r>
        <w:t>Low inter-fold variance confirms stable performance independent of data split.</w:t>
      </w:r>
    </w:p>
    <w:p w:rsidR="00443565" w:rsidRDefault="00443565" w:rsidP="00443565"/>
    <w:p w:rsidR="00443565" w:rsidRDefault="00443565" w:rsidP="00443565">
      <w:r>
        <w:t>\subsection{Longitudinal Disease Progression Tracking}</w:t>
      </w:r>
    </w:p>
    <w:p w:rsidR="00443565" w:rsidRDefault="00443565" w:rsidP="00443565"/>
    <w:p w:rsidR="00443565" w:rsidRDefault="00443565" w:rsidP="00443565">
      <w:r>
        <w:t>Figures~\ref{fig:trajectories} and \ref{fig:atrophy} demonstrate longitudinal tracking capability essential for clinical trials\cite{jack2010hypothetical,weiner2017alzheimers}.</w:t>
      </w:r>
    </w:p>
    <w:p w:rsidR="00443565" w:rsidRDefault="00443565" w:rsidP="00443565"/>
    <w:p w:rsidR="00443565" w:rsidRDefault="00443565" w:rsidP="00443565">
      <w:r>
        <w:t>\begin{figure}[!t]</w:t>
      </w:r>
    </w:p>
    <w:p w:rsidR="00443565" w:rsidRDefault="00443565" w:rsidP="00443565">
      <w:r>
        <w:t>\centering</w:t>
      </w:r>
    </w:p>
    <w:p w:rsidR="00443565" w:rsidRDefault="00443565" w:rsidP="00443565">
      <w:r>
        <w:t>\includegraphics[width=0.48\textwidth]{Figure2_Trajectories.pdf}</w:t>
      </w:r>
    </w:p>
    <w:p w:rsidR="00443565" w:rsidRDefault="00443565" w:rsidP="00443565">
      <w:r>
        <w:t>\caption{\textbf{Longitudinal trajectories over 24 months.} Individual trajectories (faint lines) and group means (bold) show clear separation between CN (N=62), MCI (N=76), and AD (N=48). Perfect measurement consistency (0\% intra-rater variability) enables tracking subtle longitudinal changes obscured by manual segmentation variability (8-12\%)\cite{patenaude2011fmrib}.}</w:t>
      </w:r>
    </w:p>
    <w:p w:rsidR="00443565" w:rsidRDefault="00443565" w:rsidP="00443565">
      <w:r>
        <w:t>\label{fig:trajectories}</w:t>
      </w:r>
    </w:p>
    <w:p w:rsidR="00443565" w:rsidRDefault="00443565" w:rsidP="00443565">
      <w:r>
        <w:t>\end{figure}</w:t>
      </w:r>
    </w:p>
    <w:p w:rsidR="00443565" w:rsidRDefault="00443565" w:rsidP="00443565"/>
    <w:p w:rsidR="00443565" w:rsidRDefault="00443565" w:rsidP="00443565">
      <w:r>
        <w:t>\begin{figure}[!t]</w:t>
      </w:r>
    </w:p>
    <w:p w:rsidR="00443565" w:rsidRDefault="00443565" w:rsidP="00443565">
      <w:r>
        <w:t>\centering</w:t>
      </w:r>
    </w:p>
    <w:p w:rsidR="00443565" w:rsidRDefault="00443565" w:rsidP="00443565">
      <w:r>
        <w:t>\includegraphics[width=0.48\textwidth]{Figure3_AtrophyRates.pdf}</w:t>
      </w:r>
    </w:p>
    <w:p w:rsidR="00443565" w:rsidRDefault="00443565" w:rsidP="00443565">
      <w:r>
        <w:t>\caption{\textbf{Disease-specific annualized atrophy rates.} CN: -0.8\%/year, MCI: -2.1\%/year, AD: -3.1\%/year (ANOVA F=87.3, p&lt;0.001). Rates correlate with MMSE decline (ρ=0.78, p&lt;0.001), validating clinical relevance\cite{schuff2009mri}.}</w:t>
      </w:r>
    </w:p>
    <w:p w:rsidR="00443565" w:rsidRDefault="00443565" w:rsidP="00443565">
      <w:r>
        <w:t>\label{fig:atrophy}</w:t>
      </w:r>
    </w:p>
    <w:p w:rsidR="00443565" w:rsidRDefault="00443565" w:rsidP="00443565">
      <w:r>
        <w:t>\end{figure}</w:t>
      </w:r>
    </w:p>
    <w:p w:rsidR="00443565" w:rsidRDefault="00443565" w:rsidP="00443565"/>
    <w:p w:rsidR="00443565" w:rsidRDefault="00443565" w:rsidP="00443565">
      <w:r>
        <w:t>\subsection{Classification and Clinical Validation}</w:t>
      </w:r>
    </w:p>
    <w:p w:rsidR="00443565" w:rsidRDefault="00443565" w:rsidP="00443565"/>
    <w:p w:rsidR="00443565" w:rsidRDefault="00443565" w:rsidP="00443565">
      <w:r>
        <w:t>\begin{figure}[!t]</w:t>
      </w:r>
    </w:p>
    <w:p w:rsidR="00443565" w:rsidRDefault="00443565" w:rsidP="00443565">
      <w:r>
        <w:t>\centering</w:t>
      </w:r>
    </w:p>
    <w:p w:rsidR="00443565" w:rsidRDefault="00443565" w:rsidP="00443565">
      <w:r>
        <w:t>\includegraphics[width=0.48\textwidth]{Figure4_ROC.pdf}</w:t>
      </w:r>
    </w:p>
    <w:p w:rsidR="00443565" w:rsidRDefault="00443565" w:rsidP="00443565">
      <w:r>
        <w:t>\caption{\textbf{Multi-class AD staging ROC curves.} Mean AUC=0.990 demonstrates excellent discrimination (CN=0.999, MCI=0.971, AD=1.000). MCI performance reflects inherent clinical heterogeneity\cite{petersen2014mild}.}</w:t>
      </w:r>
    </w:p>
    <w:p w:rsidR="00443565" w:rsidRDefault="00443565" w:rsidP="00443565">
      <w:r>
        <w:t>\label{fig:roc}</w:t>
      </w:r>
    </w:p>
    <w:p w:rsidR="00443565" w:rsidRDefault="00443565" w:rsidP="00443565">
      <w:r>
        <w:t>\end{figure}</w:t>
      </w:r>
    </w:p>
    <w:p w:rsidR="00443565" w:rsidRDefault="00443565" w:rsidP="00443565"/>
    <w:p w:rsidR="00443565" w:rsidRDefault="00443565" w:rsidP="00443565">
      <w:r>
        <w:lastRenderedPageBreak/>
        <w:t>\begin{figure}[!t]</w:t>
      </w:r>
    </w:p>
    <w:p w:rsidR="00443565" w:rsidRDefault="00443565" w:rsidP="00443565">
      <w:r>
        <w:t>\centering</w:t>
      </w:r>
    </w:p>
    <w:p w:rsidR="00443565" w:rsidRDefault="00443565" w:rsidP="00443565">
      <w:r>
        <w:t>\includegraphics[width=0.48\textwidth]{Figure5_Confusion.pdf}</w:t>
      </w:r>
    </w:p>
    <w:p w:rsidR="00443565" w:rsidRDefault="00443565" w:rsidP="00443565">
      <w:r>
        <w:t>\caption{\textbf{Confusion matrix (N=520).} Overall accuracy 90.6\%. Misclassifications predominantly between adjacent stages (biologically plausible error pattern)\cite{dubois2014advancing}.}</w:t>
      </w:r>
    </w:p>
    <w:p w:rsidR="00443565" w:rsidRDefault="00443565" w:rsidP="00443565">
      <w:r>
        <w:t>\label{fig:confusion}</w:t>
      </w:r>
    </w:p>
    <w:p w:rsidR="00443565" w:rsidRDefault="00443565" w:rsidP="00443565">
      <w:r>
        <w:t>\end{figure}</w:t>
      </w:r>
    </w:p>
    <w:p w:rsidR="00443565" w:rsidRDefault="00443565" w:rsidP="00443565"/>
    <w:p w:rsidR="00443565" w:rsidRDefault="00443565" w:rsidP="00443565">
      <w:r>
        <w:t>\textbf{Clinical Validation Results:}</w:t>
      </w:r>
    </w:p>
    <w:p w:rsidR="00443565" w:rsidRDefault="00443565" w:rsidP="00443565">
      <w:r>
        <w:t>\begin{table}[!ht]</w:t>
      </w:r>
    </w:p>
    <w:p w:rsidR="00443565" w:rsidRDefault="00443565" w:rsidP="00443565">
      <w:r>
        <w:t>\centering</w:t>
      </w:r>
    </w:p>
    <w:p w:rsidR="00443565" w:rsidRDefault="00443565" w:rsidP="00443565">
      <w:r>
        <w:t>\caption{Clinical Validation with Radiologists}</w:t>
      </w:r>
    </w:p>
    <w:p w:rsidR="00443565" w:rsidRDefault="00443565" w:rsidP="00443565">
      <w:r>
        <w:t>\label{tab:radiologist}</w:t>
      </w:r>
    </w:p>
    <w:p w:rsidR="00443565" w:rsidRDefault="00443565" w:rsidP="00443565">
      <w:r>
        <w:t>\begin{tabular}{lcc}</w:t>
      </w:r>
    </w:p>
    <w:p w:rsidR="00443565" w:rsidRDefault="00443565" w:rsidP="00443565">
      <w:r>
        <w:t>\toprule</w:t>
      </w:r>
    </w:p>
    <w:p w:rsidR="00443565" w:rsidRDefault="00443565" w:rsidP="00443565">
      <w:r>
        <w:t>\textbf{Metric} &amp; \textbf{Value} &amp; \textbf{95\% CI} \\</w:t>
      </w:r>
    </w:p>
    <w:p w:rsidR="00443565" w:rsidRDefault="00443565" w:rsidP="00443565">
      <w:r>
        <w:t>\midrule</w:t>
      </w:r>
    </w:p>
    <w:p w:rsidR="00443565" w:rsidRDefault="00443565" w:rsidP="00443565">
      <w:r>
        <w:t>Inter-rater Fleiss κ\cite{fleiss1971measuring} &amp; 0.72 &amp; [0.68, 0.76] \\</w:t>
      </w:r>
    </w:p>
    <w:p w:rsidR="00443565" w:rsidRDefault="00443565" w:rsidP="00443565">
      <w:r>
        <w:t>Model vs Consensus DSC &amp; 0.892 &amp; [0.887, 0.897] \\</w:t>
      </w:r>
    </w:p>
    <w:p w:rsidR="00443565" w:rsidRDefault="00443565" w:rsidP="00443565">
      <w:r>
        <w:t>Expert Consensus DSC &amp; 0.869 &amp; [0.863, 0.875] \\</w:t>
      </w:r>
    </w:p>
    <w:p w:rsidR="00443565" w:rsidRDefault="00443565" w:rsidP="00443565">
      <w:r>
        <w:t>\midrule</w:t>
      </w:r>
    </w:p>
    <w:p w:rsidR="00443565" w:rsidRDefault="00443565" w:rsidP="00443565">
      <w:r>
        <w:t>Acceptable (no edits) &amp; 87\% &amp; [79\%, 93\%] \\</w:t>
      </w:r>
    </w:p>
    <w:p w:rsidR="00443565" w:rsidRDefault="00443565" w:rsidP="00443565">
      <w:r>
        <w:t>Time savings &amp; 91.6\% &amp; - \\</w:t>
      </w:r>
    </w:p>
    <w:p w:rsidR="00443565" w:rsidRDefault="00443565" w:rsidP="00443565">
      <w:r>
        <w:t>Annual hours saved\cite{nelson2019patient} &amp; 8,167 &amp; - \\</w:t>
      </w:r>
    </w:p>
    <w:p w:rsidR="00443565" w:rsidRDefault="00443565" w:rsidP="00443565">
      <w:r>
        <w:t>\bottomrule</w:t>
      </w:r>
    </w:p>
    <w:p w:rsidR="00443565" w:rsidRDefault="00443565" w:rsidP="00443565">
      <w:r>
        <w:t>\end{tabular}</w:t>
      </w:r>
    </w:p>
    <w:p w:rsidR="00443565" w:rsidRDefault="00443565" w:rsidP="00443565">
      <w:r>
        <w:t>\end{table}</w:t>
      </w:r>
    </w:p>
    <w:p w:rsidR="00443565" w:rsidRDefault="00443565" w:rsidP="00443565"/>
    <w:p w:rsidR="00443565" w:rsidRDefault="00443565" w:rsidP="00443565">
      <w:r>
        <w:t>\subsection{Subfield Analysis and Ablation Studies}</w:t>
      </w:r>
    </w:p>
    <w:p w:rsidR="00443565" w:rsidRDefault="00443565" w:rsidP="00443565"/>
    <w:p w:rsidR="00443565" w:rsidRDefault="00443565" w:rsidP="00443565">
      <w:r>
        <w:t>\begin{figure}[!t]</w:t>
      </w:r>
    </w:p>
    <w:p w:rsidR="00443565" w:rsidRDefault="00443565" w:rsidP="00443565">
      <w:r>
        <w:lastRenderedPageBreak/>
        <w:t>\centering</w:t>
      </w:r>
    </w:p>
    <w:p w:rsidR="00443565" w:rsidRDefault="00443565" w:rsidP="00443565">
      <w:r>
        <w:t>\includegraphics[width=0.48\textwidth]{Figure6_Subfields.pdf}</w:t>
      </w:r>
    </w:p>
    <w:p w:rsidR="00443565" w:rsidRDefault="00443565" w:rsidP="00443565">
      <w:r>
        <w:t>\caption{\textbf{Hippocampal subfield vulnerability.} CA1 shows earliest atrophy (MCI: 15.2\%), aligning with neuropathological studies\cite{braak1991neuropathological,west1994differences}.}</w:t>
      </w:r>
    </w:p>
    <w:p w:rsidR="00443565" w:rsidRDefault="00443565" w:rsidP="00443565">
      <w:r>
        <w:t>\label{fig:subfields}</w:t>
      </w:r>
    </w:p>
    <w:p w:rsidR="00443565" w:rsidRDefault="00443565" w:rsidP="00443565">
      <w:r>
        <w:t>\end{figure}</w:t>
      </w:r>
    </w:p>
    <w:p w:rsidR="00443565" w:rsidRDefault="00443565" w:rsidP="00443565"/>
    <w:p w:rsidR="00443565" w:rsidRDefault="00443565" w:rsidP="00443565">
      <w:r>
        <w:t>\begin{figure}[!t]</w:t>
      </w:r>
    </w:p>
    <w:p w:rsidR="00443565" w:rsidRDefault="00443565" w:rsidP="00443565">
      <w:r>
        <w:t>\centering</w:t>
      </w:r>
    </w:p>
    <w:p w:rsidR="00443565" w:rsidRDefault="00443565" w:rsidP="00443565">
      <w:r>
        <w:t>\includegraphics[width=0.48\textwidth]{Figure7_Ablation.pdf}</w:t>
      </w:r>
    </w:p>
    <w:p w:rsidR="00443565" w:rsidRDefault="00443565" w:rsidP="00443565">
      <w:r>
        <w:t>\caption{\textbf{Architectural component contributions.} All components significantly improve performance (p&lt;0.01). Consistent patterns across datasets confirm genuine generalization\cite{raghu2021vision}.}</w:t>
      </w:r>
    </w:p>
    <w:p w:rsidR="00443565" w:rsidRDefault="00443565" w:rsidP="00443565">
      <w:r>
        <w:t>\label{fig:ablation}</w:t>
      </w:r>
    </w:p>
    <w:p w:rsidR="00443565" w:rsidRDefault="00443565" w:rsidP="00443565">
      <w:r>
        <w:t>\end{figure}</w:t>
      </w:r>
    </w:p>
    <w:p w:rsidR="00443565" w:rsidRDefault="00443565" w:rsidP="00443565"/>
    <w:p w:rsidR="00443565" w:rsidRDefault="00443565" w:rsidP="00443565">
      <w:r>
        <w:t>\subsection{Uncertainty Quantification}</w:t>
      </w:r>
    </w:p>
    <w:p w:rsidR="00443565" w:rsidRDefault="00443565" w:rsidP="00443565"/>
    <w:p w:rsidR="00443565" w:rsidRDefault="00443565" w:rsidP="00443565">
      <w:r>
        <w:t>\begin{figure}[!t]</w:t>
      </w:r>
    </w:p>
    <w:p w:rsidR="00443565" w:rsidRDefault="00443565" w:rsidP="00443565">
      <w:r>
        <w:t>\centering</w:t>
      </w:r>
    </w:p>
    <w:p w:rsidR="00443565" w:rsidRDefault="00443565" w:rsidP="00443565">
      <w:r>
        <w:t>\includegraphics[width=0.48\textwidth]{Figure8_Uncertainty.pdf}</w:t>
      </w:r>
    </w:p>
    <w:p w:rsidR="00443565" w:rsidRDefault="00443565" w:rsidP="00443565">
      <w:r>
        <w:t>\caption{\textbf{Uncertainty quantification via Monte Carlo dropout}\cite{gal2016dropout}. (a) Strong correlation (r=0.907) enables quality control. (b) Well-calibrated predictions (ECE=0.041)\cite{guo2017calibration}. Threshold=0.25 flags 6\% for review with 87\% failure detection sensitivity.}</w:t>
      </w:r>
    </w:p>
    <w:p w:rsidR="00443565" w:rsidRDefault="00443565" w:rsidP="00443565">
      <w:r>
        <w:t>\label{fig:uncertainty}</w:t>
      </w:r>
    </w:p>
    <w:p w:rsidR="00443565" w:rsidRDefault="00443565" w:rsidP="00443565">
      <w:r>
        <w:t>\end{figure}</w:t>
      </w:r>
    </w:p>
    <w:p w:rsidR="00443565" w:rsidRDefault="00443565" w:rsidP="00443565"/>
    <w:p w:rsidR="00443565" w:rsidRDefault="00443565" w:rsidP="00443565">
      <w:r>
        <w:t>% ============================================================================</w:t>
      </w:r>
    </w:p>
    <w:p w:rsidR="00443565" w:rsidRDefault="00443565" w:rsidP="00443565">
      <w:r>
        <w:t>% DISCUSSION WITH REFERENCES</w:t>
      </w:r>
    </w:p>
    <w:p w:rsidR="00443565" w:rsidRDefault="00443565" w:rsidP="00443565">
      <w:r>
        <w:t>% ============================================================================</w:t>
      </w:r>
    </w:p>
    <w:p w:rsidR="00443565" w:rsidRDefault="00443565" w:rsidP="00443565"/>
    <w:p w:rsidR="00443565" w:rsidRDefault="00443565" w:rsidP="00443565">
      <w:r>
        <w:t>\section{Discussion}</w:t>
      </w:r>
    </w:p>
    <w:p w:rsidR="00443565" w:rsidRDefault="00443565" w:rsidP="00443565"/>
    <w:p w:rsidR="00443565" w:rsidRDefault="00443565" w:rsidP="00443565">
      <w:r>
        <w:t>\subsection{Principal Finding}</w:t>
      </w:r>
    </w:p>
    <w:p w:rsidR="00443565" w:rsidRDefault="00443565" w:rsidP="00443565"/>
    <w:p w:rsidR="00443565" w:rsidRDefault="00443565" w:rsidP="00443565">
      <w:r>
        <w:t>Our principal finding—that transformers achieve 4-7× better cross-scanner generalization than CNNs—addresses the critical barrier identified in recent reviews of medical AI deployment\cite{litjens2017survey,tajbakhsh2020embracing,zhou2021review}. This is not incremental improvement but qualitative difference: transformers maintain clinically acceptable performance across diverse scanners while CNNs fail\cite{zech2018variable,castro2020causality}.</w:t>
      </w:r>
    </w:p>
    <w:p w:rsidR="00443565" w:rsidRDefault="00443565" w:rsidP="00443565"/>
    <w:p w:rsidR="00443565" w:rsidRDefault="00443565" w:rsidP="00443565">
      <w:r>
        <w:t>\subsection{Mechanistic Understanding}</w:t>
      </w:r>
    </w:p>
    <w:p w:rsidR="00443565" w:rsidRDefault="00443565" w:rsidP="00443565"/>
    <w:p w:rsidR="00443565" w:rsidRDefault="00443565" w:rsidP="00443565">
      <w:r>
        <w:t>Our results support theoretical predictions that self-attention mechanisms learn more abstract, anatomically meaningful features\cite{raghu2021vision,dosovitskiy2021image}. Multi-task learning forces encoder to learn disease-relevant anatomical features rather than scanner-specific shortcuts\cite{zhang2018overview}, improving scanner invariance.</w:t>
      </w:r>
    </w:p>
    <w:p w:rsidR="00443565" w:rsidRDefault="00443565" w:rsidP="00443565"/>
    <w:p w:rsidR="00443565" w:rsidRDefault="00443565" w:rsidP="00443565">
      <w:r>
        <w:t>\subsection{Clinical Translation Readiness}</w:t>
      </w:r>
    </w:p>
    <w:p w:rsidR="00443565" w:rsidRDefault="00443565" w:rsidP="00443565"/>
    <w:p w:rsidR="00443565" w:rsidRDefault="00443565" w:rsidP="00443565">
      <w:r>
        <w:t>Our comprehensive validation package addresses requirements outlined in FDA guidance for AI/ML medical devices and STARD-AI reporting guidelines\cite{park2019methodologic,vasey2021reporting,liu2020reporting}:</w:t>
      </w:r>
    </w:p>
    <w:p w:rsidR="00443565" w:rsidRDefault="00443565" w:rsidP="00443565">
      <w:r>
        <w:t>\begin{itemize}</w:t>
      </w:r>
    </w:p>
    <w:p w:rsidR="00443565" w:rsidRDefault="00443565" w:rsidP="00443565">
      <w:r>
        <w:t>\item Multi-center validation across three independent datasets</w:t>
      </w:r>
    </w:p>
    <w:p w:rsidR="00443565" w:rsidRDefault="00443565" w:rsidP="00443565">
      <w:r>
        <w:t>\item Clinical validation with radiologist agreement study</w:t>
      </w:r>
    </w:p>
    <w:p w:rsidR="00443565" w:rsidRDefault="00443565" w:rsidP="00443565">
      <w:r>
        <w:t>\item Longitudinal validation tracking disease progression</w:t>
      </w:r>
    </w:p>
    <w:p w:rsidR="00443565" w:rsidRDefault="00443565" w:rsidP="00443565">
      <w:r>
        <w:t>\item Uncertainty quantification for safe deployment\cite{begoli2019need}</w:t>
      </w:r>
    </w:p>
    <w:p w:rsidR="00443565" w:rsidRDefault="00443565" w:rsidP="00443565">
      <w:r>
        <w:t>\item Systematic failure analysis with deployment guidelines</w:t>
      </w:r>
    </w:p>
    <w:p w:rsidR="00443565" w:rsidRDefault="00443565" w:rsidP="00443565">
      <w:r>
        <w:t>\end{itemize}</w:t>
      </w:r>
    </w:p>
    <w:p w:rsidR="00443565" w:rsidRDefault="00443565" w:rsidP="00443565"/>
    <w:p w:rsidR="00443565" w:rsidRDefault="00443565" w:rsidP="00443565">
      <w:r>
        <w:t>\subsection{Comparison with Recent Work}</w:t>
      </w:r>
    </w:p>
    <w:p w:rsidR="00443565" w:rsidRDefault="00443565" w:rsidP="00443565"/>
    <w:p w:rsidR="00443565" w:rsidRDefault="00443565" w:rsidP="00443565">
      <w:r>
        <w:t>Recent transformer medical segmentation studies\cite{chen2021transunet,hatamizadeh2022unetr,cao2022swin,zhou2021nnformer,wang2022transbts} demonstrate strong single-dataset performance but lack rigorous external validation. Our work uniquely provides: (1) zero-shot external validation on truly independent datasets, (2) head-to-</w:t>
      </w:r>
      <w:r>
        <w:lastRenderedPageBreak/>
        <w:t>head comparison quantifying transformer superiority over CNNs, (3) comprehensive clinical deployment package.</w:t>
      </w:r>
    </w:p>
    <w:p w:rsidR="00443565" w:rsidRDefault="00443565" w:rsidP="00443565"/>
    <w:p w:rsidR="00443565" w:rsidRDefault="00443565" w:rsidP="00443565">
      <w:r>
        <w:t>\subsection{Limitations}</w:t>
      </w:r>
    </w:p>
    <w:p w:rsidR="00443565" w:rsidRDefault="00443565" w:rsidP="00443565"/>
    <w:p w:rsidR="00443565" w:rsidRDefault="00443565" w:rsidP="00443565">
      <w:r>
        <w:t>While we validate across 1.5T/3T and three vendors (Siemens/Philips/GE), additional validation on 7T ultra-high-field scanners\cite{van2018ultra} and newer scanner models would strengthen generalization claims. Training computational requirements (4× A100 GPUs, 48 hours) may limit accessibility, though inference remains fast (4 seconds). Model compression techniques\cite{hinton2015distilling} could improve accessibility.</w:t>
      </w:r>
    </w:p>
    <w:p w:rsidR="00443565" w:rsidRDefault="00443565" w:rsidP="00443565"/>
    <w:p w:rsidR="00443565" w:rsidRDefault="00443565" w:rsidP="00443565">
      <w:r>
        <w:t>\subsection{Broader Impact}</w:t>
      </w:r>
    </w:p>
    <w:p w:rsidR="00443565" w:rsidRDefault="00443565" w:rsidP="00443565"/>
    <w:p w:rsidR="00443565" w:rsidRDefault="00443565" w:rsidP="00443565">
      <w:r>
        <w:t>This work establishes rigorous multi-center validation with zero-shot external evaluation as the new standard for medical imaging deep learning, addressing the reproducibility crisis in AI research\cite{peng2011reproducible,bouthillier2019unreproducible}. Our open benchmark enables community validation and comparison.</w:t>
      </w:r>
    </w:p>
    <w:p w:rsidR="00443565" w:rsidRDefault="00443565" w:rsidP="00443565"/>
    <w:p w:rsidR="00443565" w:rsidRDefault="00443565" w:rsidP="00443565">
      <w:r>
        <w:t>% ============================================================================</w:t>
      </w:r>
    </w:p>
    <w:p w:rsidR="00443565" w:rsidRDefault="00443565" w:rsidP="00443565">
      <w:r>
        <w:t>% CONCLUSION</w:t>
      </w:r>
    </w:p>
    <w:p w:rsidR="00443565" w:rsidRDefault="00443565" w:rsidP="00443565">
      <w:r>
        <w:t>% ============================================================================</w:t>
      </w:r>
    </w:p>
    <w:p w:rsidR="00443565" w:rsidRDefault="00443565" w:rsidP="00443565"/>
    <w:p w:rsidR="00443565" w:rsidRDefault="00443565" w:rsidP="00443565">
      <w:r>
        <w:t>\section{Conclusion}</w:t>
      </w:r>
    </w:p>
    <w:p w:rsidR="00443565" w:rsidRDefault="00443565" w:rsidP="00443565"/>
    <w:p w:rsidR="00443565" w:rsidRDefault="00443565" w:rsidP="00443565">
      <w:r>
        <w:t>We demonstrated that 3D Swin Transformers achieve 4-7× better cross-scanner generalization than CNNs through rigorous zero-shot external validation on 1,066 subjects across three independent datasets. This represents the first comprehensive evidence that transformers fundamentally solve the cross-scanner generalization problem—the critical barrier to multi-center clinical deployment identified in recent medical AI surveys\cite{litjens2017survey,tajbakhsh2020embracing}.</w:t>
      </w:r>
    </w:p>
    <w:p w:rsidR="00443565" w:rsidRDefault="00443565" w:rsidP="00443565"/>
    <w:p w:rsidR="00443565" w:rsidRDefault="00443565" w:rsidP="00443565">
      <w:r>
        <w:t>Beyond algorithmic performance, we provide the complete validation package required for clinical translation\cite{park2019methodologic,vasey2021reporting}: radiologist validation, longitudinal tracking capability, calibrated uncertainty quantification, and systematic failure analysis with deployment guidelines.</w:t>
      </w:r>
    </w:p>
    <w:p w:rsidR="00443565" w:rsidRDefault="00443565" w:rsidP="00443565"/>
    <w:p w:rsidR="00443565" w:rsidRDefault="00443565" w:rsidP="00443565">
      <w:r>
        <w:t xml:space="preserve">Our work establishes transformers as the architecture of choice for multi-center medical imaging applications and provides both the evidence base for clinical adoption and an open benchmark for </w:t>
      </w:r>
      <w:r>
        <w:lastRenderedPageBreak/>
        <w:t>community validation, advancing the field toward practical clinical deployment\cite{begoli2019need,liu2020reporting}.</w:t>
      </w:r>
    </w:p>
    <w:p w:rsidR="00443565" w:rsidRDefault="00443565" w:rsidP="00443565">
      <w:r>
        <w:t>\section*{Funding}</w:t>
      </w:r>
    </w:p>
    <w:p w:rsidR="00443565" w:rsidRDefault="00443565" w:rsidP="00443565">
      <w:r>
        <w:t>This research did not receive any specific grant from funding agencies in the public, commercial, or not-for-profit sectors.</w:t>
      </w:r>
    </w:p>
    <w:p w:rsidR="00443565" w:rsidRDefault="00443565" w:rsidP="00443565">
      <w:r>
        <w:t>\section*{Data Availability}</w:t>
      </w:r>
    </w:p>
    <w:p w:rsidR="00443565" w:rsidRDefault="00443565" w:rsidP="00443565"/>
    <w:p w:rsidR="00443565" w:rsidRDefault="00443565" w:rsidP="00443565">
      <w:r>
        <w:t>The datasets used in this study are publicly available. Data were obtained from the Alzheimer's Disease Neuroimaging Initiative (ADNI), the OASIS project, and the AIBL study. These datasets can be accessed through their respective official websites, subject to registration and data use agreements where applicable.</w:t>
      </w:r>
    </w:p>
    <w:p w:rsidR="00443565" w:rsidRDefault="00443565" w:rsidP="00443565">
      <w:r>
        <w:t>\section*{Conflict of Interest}</w:t>
      </w:r>
    </w:p>
    <w:p w:rsidR="00443565" w:rsidRDefault="00443565" w:rsidP="00443565"/>
    <w:p w:rsidR="00443565" w:rsidRDefault="00443565" w:rsidP="00443565">
      <w:r>
        <w:t>The authors declare that there are no conflicts of interest regarding the publication of this paper.</w:t>
      </w:r>
    </w:p>
    <w:p w:rsidR="00443565" w:rsidRDefault="00443565" w:rsidP="00443565">
      <w:r>
        <w:t>\section*{Acknowledgments}</w:t>
      </w:r>
    </w:p>
    <w:p w:rsidR="00443565" w:rsidRDefault="00443565" w:rsidP="00443565"/>
    <w:p w:rsidR="00443565" w:rsidRDefault="00443565" w:rsidP="00443565">
      <w:r>
        <w:t>The authors declare that no external funding was received for this study. Data used in the preparation of this article were obtained from the Alzheimer's Disease Neuroimaging Initiative (ADNI), the OASIS project, and the AIBL study. The ADNI database is funded by the National Institute on Aging, the National Institute of Biomedical Imaging and Bioengineering, and through contributions from various organizations.</w:t>
      </w:r>
    </w:p>
    <w:p w:rsidR="00443565" w:rsidRDefault="00443565" w:rsidP="00443565">
      <w:r>
        <w:t>% ============================================================================</w:t>
      </w:r>
    </w:p>
    <w:p w:rsidR="00443565" w:rsidRDefault="00443565" w:rsidP="00443565">
      <w:r>
        <w:t>% REFERENCES - 30+ CITATIONS</w:t>
      </w:r>
    </w:p>
    <w:p w:rsidR="00443565" w:rsidRDefault="00443565" w:rsidP="00443565">
      <w:r>
        <w:t>% ============================================================================</w:t>
      </w:r>
    </w:p>
    <w:p w:rsidR="00443565" w:rsidRDefault="00443565" w:rsidP="00443565"/>
    <w:p w:rsidR="00443565" w:rsidRDefault="00443565" w:rsidP="00443565">
      <w:r>
        <w:t>\begin{thebibliography}{99}</w:t>
      </w:r>
    </w:p>
    <w:p w:rsidR="00443565" w:rsidRDefault="00443565" w:rsidP="00443565"/>
    <w:p w:rsidR="00443565" w:rsidRDefault="00443565" w:rsidP="00443565">
      <w:r>
        <w:t>\bibitem{litjens2017survey}</w:t>
      </w:r>
    </w:p>
    <w:p w:rsidR="00443565" w:rsidRDefault="00443565" w:rsidP="00443565">
      <w:r>
        <w:t>G. Litjens et al., ``A survey on deep learning in medical image analysis,'' \textit{Medical Image Analysis}, vol. 42, pp. 60--88, 2017.</w:t>
      </w:r>
    </w:p>
    <w:p w:rsidR="00443565" w:rsidRDefault="00443565" w:rsidP="00443565"/>
    <w:p w:rsidR="00443565" w:rsidRDefault="00443565" w:rsidP="00443565">
      <w:r>
        <w:t>\bibitem{tajbakhsh2020embracing}</w:t>
      </w:r>
    </w:p>
    <w:p w:rsidR="00443565" w:rsidRDefault="00443565" w:rsidP="00443565">
      <w:r>
        <w:t>N. Tajbakhsh et al., ``Embracing imperfect datasets: A review of deep learning solutions for medical image segmentation,'' \textit{Medical Image Analysis}, vol. 63, p. 101693, 2020.</w:t>
      </w:r>
    </w:p>
    <w:p w:rsidR="00443565" w:rsidRDefault="00443565" w:rsidP="00443565"/>
    <w:p w:rsidR="00443565" w:rsidRDefault="00443565" w:rsidP="00443565">
      <w:r>
        <w:lastRenderedPageBreak/>
        <w:t>\bibitem{ronneberger2015unet}</w:t>
      </w:r>
    </w:p>
    <w:p w:rsidR="00443565" w:rsidRDefault="00443565" w:rsidP="00443565">
      <w:r>
        <w:t>O. Ronneberger, P. Fischer, and T. Brox, ``U-Net: Convolutional networks for biomedical image segmentation,'' in \textit{Proc. MICCAI}, 2015, pp. 234--241.</w:t>
      </w:r>
    </w:p>
    <w:p w:rsidR="00443565" w:rsidRDefault="00443565" w:rsidP="00443565"/>
    <w:p w:rsidR="00443565" w:rsidRDefault="00443565" w:rsidP="00443565">
      <w:r>
        <w:t>\bibitem{isensee2021nnu}</w:t>
      </w:r>
    </w:p>
    <w:p w:rsidR="00443565" w:rsidRDefault="00443565" w:rsidP="00443565">
      <w:r>
        <w:t>F. Isensee et al., ``nnU-Net: A self-configuring method for deep learning-based biomedical image segmentation,'' \textit{Nature Methods}, vol. 18, pp. 203--211, 2021.</w:t>
      </w:r>
    </w:p>
    <w:p w:rsidR="00443565" w:rsidRDefault="00443565" w:rsidP="00443565"/>
    <w:p w:rsidR="00443565" w:rsidRDefault="00443565" w:rsidP="00443565">
      <w:r>
        <w:t>\bibitem{cicek20163d}</w:t>
      </w:r>
    </w:p>
    <w:p w:rsidR="00443565" w:rsidRDefault="00443565" w:rsidP="00443565">
      <w:r>
        <w:t>Ö. Çiçek et al., ``3D U-Net: Learning dense volumetric segmentation from sparse annotation,'' in \textit{Proc. MICCAI}, 2016, pp. 424--432.</w:t>
      </w:r>
    </w:p>
    <w:p w:rsidR="00443565" w:rsidRDefault="00443565" w:rsidP="00443565"/>
    <w:p w:rsidR="00443565" w:rsidRDefault="00443565" w:rsidP="00443565">
      <w:r>
        <w:t>\bibitem{vaswani2017attention}</w:t>
      </w:r>
    </w:p>
    <w:p w:rsidR="00443565" w:rsidRDefault="00443565" w:rsidP="00443565">
      <w:r>
        <w:t>A. Vaswani et al., ``Attention is all you need,'' in \textit{Proc. NeurIPS}, 2017, pp. 5998--6008.</w:t>
      </w:r>
    </w:p>
    <w:p w:rsidR="00443565" w:rsidRDefault="00443565" w:rsidP="00443565"/>
    <w:p w:rsidR="00443565" w:rsidRDefault="00443565" w:rsidP="00443565">
      <w:r>
        <w:t>\bibitem{dosovitskiy2021image}</w:t>
      </w:r>
    </w:p>
    <w:p w:rsidR="00443565" w:rsidRDefault="00443565" w:rsidP="00443565">
      <w:r>
        <w:t>A. Dosovitskiy et al., ``An image is worth 16x16 words: Transformers for image recognition at scale,'' in \textit{Proc. ICLR}, 2021.</w:t>
      </w:r>
    </w:p>
    <w:p w:rsidR="00443565" w:rsidRDefault="00443565" w:rsidP="00443565"/>
    <w:p w:rsidR="00443565" w:rsidRDefault="00443565" w:rsidP="00443565">
      <w:r>
        <w:t>\bibitem{liu2021swin}</w:t>
      </w:r>
    </w:p>
    <w:p w:rsidR="00443565" w:rsidRDefault="00443565" w:rsidP="00443565">
      <w:r>
        <w:t>Z. Liu et al., ``Swin Transformer: Hierarchical vision transformer using shifted windows,'' in \textit{Proc. ICCV}, 2021, pp. 10012--10022.</w:t>
      </w:r>
    </w:p>
    <w:p w:rsidR="00443565" w:rsidRDefault="00443565" w:rsidP="00443565"/>
    <w:p w:rsidR="00443565" w:rsidRDefault="00443565" w:rsidP="00443565">
      <w:r>
        <w:t>\bibitem{jack2008alzheimer}</w:t>
      </w:r>
    </w:p>
    <w:p w:rsidR="00443565" w:rsidRDefault="00443565" w:rsidP="00443565">
      <w:r>
        <w:t>C. R. Jack et al., ``The Alzheimer's Disease Neuroimaging Initiative (ADNI): MRI methods,'' \textit{Journal of Magnetic Resonance Imaging}, vol. 27, no. 4, pp. 685--691, 2008.</w:t>
      </w:r>
    </w:p>
    <w:p w:rsidR="00443565" w:rsidRDefault="00443565" w:rsidP="00443565"/>
    <w:p w:rsidR="00443565" w:rsidRDefault="00443565" w:rsidP="00443565">
      <w:r>
        <w:t>\bibitem{marcus2007open}</w:t>
      </w:r>
    </w:p>
    <w:p w:rsidR="00443565" w:rsidRDefault="00443565" w:rsidP="00443565">
      <w:r>
        <w:t>D. S. Marcus et al., ``Open Access Series of Imaging Studies (OASIS): Cross-sectional MRI data in young, middle aged, nondemented, and demented older adults,'' \textit{Journal of Cognitive Neuroscience}, vol. 19, no. 9, pp. 1498--1507, 2007.</w:t>
      </w:r>
    </w:p>
    <w:p w:rsidR="00443565" w:rsidRDefault="00443565" w:rsidP="00443565"/>
    <w:p w:rsidR="00443565" w:rsidRDefault="00443565" w:rsidP="00443565">
      <w:r>
        <w:t>\bibitem{ellis2009australian}</w:t>
      </w:r>
    </w:p>
    <w:p w:rsidR="00443565" w:rsidRDefault="00443565" w:rsidP="00443565">
      <w:r>
        <w:lastRenderedPageBreak/>
        <w:t>K. A. Ellis et al., ``The Australian Imaging, Biomarkers and Lifestyle (AIBL) study of aging: methodology and baseline characteristics,'' \textit{International Psychogeriatrics}, vol. 21, no. 4, pp. 672--687, 2009.</w:t>
      </w:r>
    </w:p>
    <w:p w:rsidR="00443565" w:rsidRDefault="00443565" w:rsidP="00443565"/>
    <w:p w:rsidR="00443565" w:rsidRDefault="00443565" w:rsidP="00443565">
      <w:r>
        <w:t>\bibitem{fortin2017harmonization}</w:t>
      </w:r>
    </w:p>
    <w:p w:rsidR="00443565" w:rsidRDefault="00443565" w:rsidP="00443565">
      <w:r>
        <w:t>J.-P. Fortin et al., ``Harmonization of multi-site diffusion tensor imaging data,'' \textit{NeuroImage}, vol. 161, pp. 149--170, 2017.</w:t>
      </w:r>
    </w:p>
    <w:p w:rsidR="00443565" w:rsidRDefault="00443565" w:rsidP="00443565"/>
    <w:p w:rsidR="00443565" w:rsidRDefault="00443565" w:rsidP="00443565">
      <w:r>
        <w:t>\bibitem{johnson2007adjusting}</w:t>
      </w:r>
    </w:p>
    <w:p w:rsidR="00443565" w:rsidRDefault="00443565" w:rsidP="00443565">
      <w:r>
        <w:t>W. E. Johnson, C. Li, and A. Rabinovic, ``Adjusting batch effects in microarray expression data using empirical Bayes methods,'' \textit{Biostatistics}, vol. 8, no. 1, pp. 118--127, 2007.</w:t>
      </w:r>
    </w:p>
    <w:p w:rsidR="00443565" w:rsidRDefault="00443565" w:rsidP="00443565"/>
    <w:p w:rsidR="00443565" w:rsidRDefault="00443565" w:rsidP="00443565">
      <w:r>
        <w:t>\bibitem{fleiss1971measuring}</w:t>
      </w:r>
    </w:p>
    <w:p w:rsidR="00443565" w:rsidRDefault="00443565" w:rsidP="00443565">
      <w:r>
        <w:t>J. L. Fleiss, ``Measuring nominal scale agreement among many raters,'' \textit{Psychological Bulletin}, vol. 76, no. 5, p. 378, 1971.</w:t>
      </w:r>
    </w:p>
    <w:p w:rsidR="00443565" w:rsidRDefault="00443565" w:rsidP="00443565"/>
    <w:p w:rsidR="00443565" w:rsidRDefault="00443565" w:rsidP="00443565">
      <w:r>
        <w:t>\bibitem{jack2010hypothetical}</w:t>
      </w:r>
    </w:p>
    <w:p w:rsidR="00443565" w:rsidRDefault="00443565" w:rsidP="00443565">
      <w:r>
        <w:t>C. R. Jack et al., ``Hypothetical model of dynamic biomarkers of the Alzheimer's pathological cascade,'' \textit{Lancet Neurology}, vol. 9, no. 1, pp. 119--128, 2010.</w:t>
      </w:r>
    </w:p>
    <w:p w:rsidR="00443565" w:rsidRDefault="00443565" w:rsidP="00443565"/>
    <w:p w:rsidR="00443565" w:rsidRDefault="00443565" w:rsidP="00443565">
      <w:r>
        <w:t>\bibitem{gal2016dropout}</w:t>
      </w:r>
    </w:p>
    <w:p w:rsidR="00443565" w:rsidRDefault="00443565" w:rsidP="00443565">
      <w:r>
        <w:t>Y. Gal and Z. Ghahramani, ``Dropout as a Bayesian approximation: Representing model uncertainty in deep learning,'' in \textit{Proc. ICML}, 2016, pp. 1050--1059.</w:t>
      </w:r>
    </w:p>
    <w:p w:rsidR="00443565" w:rsidRDefault="00443565" w:rsidP="00443565"/>
    <w:p w:rsidR="00443565" w:rsidRDefault="00443565" w:rsidP="00443565">
      <w:r>
        <w:t>\bibitem{zhou2021review}</w:t>
      </w:r>
    </w:p>
    <w:p w:rsidR="00443565" w:rsidRDefault="00443565" w:rsidP="00443565">
      <w:r>
        <w:t>S. K. Zhou et al., ``A review of deep learning in medical imaging: Imaging traits, technology trends, case studies with progress highlights, and future promises,'' \textit{Proceedings of the IEEE}, vol. 109, no. 5, pp. 820--838, 2021.</w:t>
      </w:r>
    </w:p>
    <w:p w:rsidR="00443565" w:rsidRDefault="00443565" w:rsidP="00443565"/>
    <w:p w:rsidR="00443565" w:rsidRDefault="00443565" w:rsidP="00443565">
      <w:r>
        <w:t>\bibitem{alzheimer2021facts}</w:t>
      </w:r>
    </w:p>
    <w:p w:rsidR="00443565" w:rsidRDefault="00443565" w:rsidP="00443565">
      <w:r>
        <w:t>Alzheimer's Association, ``2021 Alzheimer's disease facts and figures,'' \textit{Alzheimer's \&amp; Dementia}, vol. 17, no. 3, pp. 327--406, 2021.</w:t>
      </w:r>
    </w:p>
    <w:p w:rsidR="00443565" w:rsidRDefault="00443565" w:rsidP="00443565"/>
    <w:p w:rsidR="00443565" w:rsidRDefault="00443565" w:rsidP="00443565">
      <w:r>
        <w:t>\bibitem{jack2018niaaa}</w:t>
      </w:r>
    </w:p>
    <w:p w:rsidR="00443565" w:rsidRDefault="00443565" w:rsidP="00443565">
      <w:r>
        <w:lastRenderedPageBreak/>
        <w:t>C. R. Jack et al., ``NIA-AA research framework: Toward a biological definition of Alzheimer's disease,'' \textit{Alzheimer's \&amp; Dementia}, vol. 14, no. 4, pp. 535--562, 2018.</w:t>
      </w:r>
    </w:p>
    <w:p w:rsidR="00443565" w:rsidRDefault="00443565" w:rsidP="00443565"/>
    <w:p w:rsidR="00443565" w:rsidRDefault="00443565" w:rsidP="00443565">
      <w:r>
        <w:t>\bibitem{dubois2014advancing}</w:t>
      </w:r>
    </w:p>
    <w:p w:rsidR="00443565" w:rsidRDefault="00443565" w:rsidP="00443565">
      <w:r>
        <w:t>B. Dubois et al., ``Advancing research diagnostic criteria for Alzheimer's disease: the IWG-2 criteria,'' \textit{Lancet Neurology}, vol. 13, no. 6, pp. 614--629, 2014.</w:t>
      </w:r>
    </w:p>
    <w:p w:rsidR="00443565" w:rsidRDefault="00443565" w:rsidP="00443565"/>
    <w:p w:rsidR="00443565" w:rsidRDefault="00443565" w:rsidP="00443565">
      <w:r>
        <w:t>\bibitem{fischl2002freesurfer}</w:t>
      </w:r>
    </w:p>
    <w:p w:rsidR="00443565" w:rsidRDefault="00443565" w:rsidP="00443565">
      <w:r>
        <w:t>B. Fischl et al., ``Whole brain segmentation: Automated labeling of neuroanatomical structures in the human brain,'' \textit{Neuron}, vol. 33, no. 3, pp. 341--355, 2002.</w:t>
      </w:r>
    </w:p>
    <w:p w:rsidR="00443565" w:rsidRDefault="00443565" w:rsidP="00443565"/>
    <w:p w:rsidR="00443565" w:rsidRDefault="00443565" w:rsidP="00443565">
      <w:r>
        <w:t>\bibitem{patenaude2011fmrib}</w:t>
      </w:r>
    </w:p>
    <w:p w:rsidR="00443565" w:rsidRDefault="00443565" w:rsidP="00443565">
      <w:r>
        <w:t>B. Patenaude et al., ``A Bayesian model of shape and appearance for subcortical brain segmentation,'' \textit{NeuroImage}, vol. 56, no. 3, pp. 907--922, 2011.</w:t>
      </w:r>
    </w:p>
    <w:p w:rsidR="00443565" w:rsidRDefault="00443565" w:rsidP="00443565"/>
    <w:p w:rsidR="00443565" w:rsidRDefault="00443565" w:rsidP="00443565">
      <w:r>
        <w:t>\bibitem{iglesias2015computational}</w:t>
      </w:r>
    </w:p>
    <w:p w:rsidR="00443565" w:rsidRDefault="00443565" w:rsidP="00443565">
      <w:r>
        <w:t>J. E. Iglesias et al., ``A computational atlas of the hippocampal formation using ex vivo, ultra-high resolution MRI,'' \textit{NeuroImage}, vol. 115, pp. 117--137, 2015.</w:t>
      </w:r>
    </w:p>
    <w:p w:rsidR="00443565" w:rsidRDefault="00443565" w:rsidP="00443565"/>
    <w:p w:rsidR="00443565" w:rsidRDefault="00443565" w:rsidP="00443565">
      <w:r>
        <w:t>\bibitem{meyer2018survey}</w:t>
      </w:r>
    </w:p>
    <w:p w:rsidR="00443565" w:rsidRDefault="00443565" w:rsidP="00443565">
      <w:r>
        <w:t>P. Meyer et al., ``Survey on deep learning for radiotherapy,'' \textit{Computers in Biology and Medicine}, vol. 98, pp. 126--146, 2018.</w:t>
      </w:r>
    </w:p>
    <w:p w:rsidR="00443565" w:rsidRDefault="00443565" w:rsidP="00443565"/>
    <w:p w:rsidR="00443565" w:rsidRDefault="00443565" w:rsidP="00443565">
      <w:r>
        <w:t>\bibitem{zech2018variable}</w:t>
      </w:r>
    </w:p>
    <w:p w:rsidR="00443565" w:rsidRDefault="00443565" w:rsidP="00443565">
      <w:r>
        <w:t>J. R. Zech et al., ``Variable generalization performance of a deep learning model to detect pneumonia in chest radiographs,'' \textit{JAMA Network Open}, vol. 1, no. 6, p. e181684, 2018.</w:t>
      </w:r>
    </w:p>
    <w:p w:rsidR="00443565" w:rsidRDefault="00443565" w:rsidP="00443565"/>
    <w:p w:rsidR="00443565" w:rsidRDefault="00443565" w:rsidP="00443565">
      <w:r>
        <w:t>\bibitem{castro2020causality}</w:t>
      </w:r>
    </w:p>
    <w:p w:rsidR="00443565" w:rsidRDefault="00443565" w:rsidP="00443565">
      <w:r>
        <w:t>D. C. Castro, I. Walker, and B. Glocker, ``Causality matters in medical imaging,'' \textit{Nature Communications}, vol. 11, no. 1, pp. 1--10, 2020.</w:t>
      </w:r>
    </w:p>
    <w:p w:rsidR="00443565" w:rsidRDefault="00443565" w:rsidP="00443565"/>
    <w:p w:rsidR="00443565" w:rsidRDefault="00443565" w:rsidP="00443565">
      <w:r>
        <w:t>\bibitem{johnson2006adjusting}</w:t>
      </w:r>
    </w:p>
    <w:p w:rsidR="00443565" w:rsidRDefault="00443565" w:rsidP="00443565">
      <w:r>
        <w:t>W. E. Johnson et al., ``Adjusting batch effects in microarray expression data using empirical Bayes methods,'' \textit{Biostatistics}, vol. 8, no. 1, pp. 118--127, 2007.</w:t>
      </w:r>
    </w:p>
    <w:p w:rsidR="00443565" w:rsidRDefault="00443565" w:rsidP="00443565"/>
    <w:p w:rsidR="00443565" w:rsidRDefault="00443565" w:rsidP="00443565">
      <w:r>
        <w:t>\bibitem{karani2021test}</w:t>
      </w:r>
    </w:p>
    <w:p w:rsidR="00443565" w:rsidRDefault="00443565" w:rsidP="00443565">
      <w:r>
        <w:t>N. Karani, K. Chaitanya, C. Baumgartner, and E. Konukoglu, ``A lifelong learning approach to brain MR segmentation across scanners and protocols,'' in \textit{Proc. MICCAI}, 2018, pp. 476--484.</w:t>
      </w:r>
    </w:p>
    <w:p w:rsidR="00443565" w:rsidRDefault="00443565" w:rsidP="00443565"/>
    <w:p w:rsidR="00443565" w:rsidRDefault="00443565" w:rsidP="00443565">
      <w:r>
        <w:t>\bibitem{touvron2021training}</w:t>
      </w:r>
    </w:p>
    <w:p w:rsidR="00443565" w:rsidRDefault="00443565" w:rsidP="00443565">
      <w:r>
        <w:t>H. Touvron et al., ``Training data-efficient image transformers \&amp; distillation through attention,'' in \textit{Proc. ICML}, 2021, pp. 10347--10357.</w:t>
      </w:r>
    </w:p>
    <w:p w:rsidR="00443565" w:rsidRDefault="00443565" w:rsidP="00443565"/>
    <w:p w:rsidR="00443565" w:rsidRDefault="00443565" w:rsidP="00443565">
      <w:r>
        <w:t>\bibitem{chen2021transunet}</w:t>
      </w:r>
    </w:p>
    <w:p w:rsidR="00443565" w:rsidRDefault="00443565" w:rsidP="00443565">
      <w:r>
        <w:t>J. Chen et al., ``TransUNet: Transformers make strong encoders for medical image segmentation,'' \textit{arXiv:2102.04306}, 2021.</w:t>
      </w:r>
    </w:p>
    <w:p w:rsidR="00443565" w:rsidRDefault="00443565" w:rsidP="00443565"/>
    <w:p w:rsidR="00443565" w:rsidRDefault="00443565" w:rsidP="00443565">
      <w:r>
        <w:t>\bibitem{hatamizadeh2022unetr}</w:t>
      </w:r>
    </w:p>
    <w:p w:rsidR="00443565" w:rsidRDefault="00443565" w:rsidP="00443565">
      <w:r>
        <w:t>A. Hatamizadeh et al., ``UNETR: Transformers for 3D medical image segmentation,'' in \textit{Proc. WACV}, 2022, pp. 574--584.</w:t>
      </w:r>
    </w:p>
    <w:p w:rsidR="00443565" w:rsidRDefault="00443565" w:rsidP="00443565"/>
    <w:p w:rsidR="00443565" w:rsidRDefault="00443565" w:rsidP="00443565">
      <w:r>
        <w:t>\bibitem{cao2022swin}</w:t>
      </w:r>
    </w:p>
    <w:p w:rsidR="00443565" w:rsidRDefault="00443565" w:rsidP="00443565">
      <w:r>
        <w:t>H. Cao et al., ``Swin-Unet: Unet-like pure transformer for medical image segmentation,'' in \textit{Proc. ECCV Workshops}, 2022, pp. 205--218.</w:t>
      </w:r>
    </w:p>
    <w:p w:rsidR="00443565" w:rsidRDefault="00443565" w:rsidP="00443565"/>
    <w:p w:rsidR="00443565" w:rsidRDefault="00443565" w:rsidP="00443565">
      <w:r>
        <w:t>\bibitem{zhou2021nnformer}</w:t>
      </w:r>
    </w:p>
    <w:p w:rsidR="00443565" w:rsidRDefault="00443565" w:rsidP="00443565">
      <w:r>
        <w:t>H.-Y. Zhou et al., ``nnFormer: Interleaved transformer for volumetric segmentation,'' \textit{arXiv:2109.03201}, 2021.</w:t>
      </w:r>
    </w:p>
    <w:p w:rsidR="00443565" w:rsidRDefault="00443565" w:rsidP="00443565"/>
    <w:p w:rsidR="00443565" w:rsidRDefault="00443565" w:rsidP="00443565">
      <w:r>
        <w:t>\bibitem{wang2022transbts}</w:t>
      </w:r>
    </w:p>
    <w:p w:rsidR="00443565" w:rsidRDefault="00443565" w:rsidP="00443565">
      <w:r>
        <w:t>W. Wang et al., ``TransBTS: Multimodal brain tumor segmentation using transformer,'' in \textit{Proc. MICCAI}, 2021, pp. 109--119.</w:t>
      </w:r>
    </w:p>
    <w:p w:rsidR="00443565" w:rsidRDefault="00443565" w:rsidP="00443565"/>
    <w:p w:rsidR="00443565" w:rsidRDefault="00443565" w:rsidP="00443565">
      <w:r>
        <w:t>\bibitem{park2019methodologic}</w:t>
      </w:r>
    </w:p>
    <w:p w:rsidR="00443565" w:rsidRDefault="00443565" w:rsidP="00443565">
      <w:r>
        <w:t>S. H. Park and K. Han, ``Methodologic guide for evaluating clinical performance and effect of artificial intelligence technology for medical diagnosis and prediction,'' \textit{Radiology}, vol. 286, no. 3, pp. 800--809, 2018.</w:t>
      </w:r>
    </w:p>
    <w:p w:rsidR="00443565" w:rsidRDefault="00443565" w:rsidP="00443565"/>
    <w:p w:rsidR="00443565" w:rsidRDefault="00443565" w:rsidP="00443565">
      <w:r>
        <w:lastRenderedPageBreak/>
        <w:t>\bibitem{vasey2021reporting}</w:t>
      </w:r>
    </w:p>
    <w:p w:rsidR="00443565" w:rsidRDefault="00443565" w:rsidP="00443565">
      <w:r>
        <w:t>B. Vasey et al., ``Reporting guideline for the early-stage clinical evaluation of decision support systems driven by artificial intelligence,'' \textit{Nature Medicine}, vol. 28, pp. 924--933, 2022.</w:t>
      </w:r>
    </w:p>
    <w:p w:rsidR="00443565" w:rsidRDefault="00443565" w:rsidP="00443565"/>
    <w:p w:rsidR="00443565" w:rsidRDefault="00443565" w:rsidP="00443565">
      <w:r>
        <w:t>\bibitem{maier2019metrics}</w:t>
      </w:r>
    </w:p>
    <w:p w:rsidR="00443565" w:rsidRDefault="00443565" w:rsidP="00443565">
      <w:r>
        <w:t>O. Maier et al., ``Metrics reloaded: Recommendations for image analysis validation,'' \textit{arXiv:2206.01653}, 2022.</w:t>
      </w:r>
    </w:p>
    <w:p w:rsidR="00443565" w:rsidRDefault="00443565" w:rsidP="00443565"/>
    <w:p w:rsidR="00443565" w:rsidRDefault="00443565" w:rsidP="00443565">
      <w:r>
        <w:t>\bibitem{reinke2021common}</w:t>
      </w:r>
    </w:p>
    <w:p w:rsidR="00443565" w:rsidRDefault="00443565" w:rsidP="00443565">
      <w:r>
        <w:t>A. Reinke et al., ``Common limitations of image processing metrics: A picture story,'' \textit{arXiv:2104.05642}, 2021.</w:t>
      </w:r>
    </w:p>
    <w:p w:rsidR="00443565" w:rsidRDefault="00443565" w:rsidP="00443565"/>
    <w:p w:rsidR="00443565" w:rsidRDefault="00443565" w:rsidP="00443565">
      <w:r>
        <w:t>\bibitem{zhang2018overview}</w:t>
      </w:r>
    </w:p>
    <w:p w:rsidR="00443565" w:rsidRDefault="00443565" w:rsidP="00443565">
      <w:r>
        <w:t>Y. Zhang and Q. Yang, ``A survey on multi-task learning,'' \textit{IEEE Transactions on Knowledge and Data Engineering}, vol. 34, no. 12, pp. 5586--5609, 2021.</w:t>
      </w:r>
    </w:p>
    <w:p w:rsidR="00443565" w:rsidRDefault="00443565" w:rsidP="00443565"/>
    <w:p w:rsidR="00443565" w:rsidRDefault="00443565" w:rsidP="00443565">
      <w:r>
        <w:t>\bibitem{ruder2017overview}</w:t>
      </w:r>
    </w:p>
    <w:p w:rsidR="00443565" w:rsidRDefault="00443565" w:rsidP="00443565">
      <w:r>
        <w:t>S. Ruder, ``An overview of multi-task learning in deep neural networks,'' \textit{arXiv:1706.05098}, 2017.</w:t>
      </w:r>
    </w:p>
    <w:p w:rsidR="00443565" w:rsidRDefault="00443565" w:rsidP="00443565"/>
    <w:p w:rsidR="00443565" w:rsidRDefault="00443565" w:rsidP="00443565">
      <w:r>
        <w:t>\bibitem{milletari2016vnet}</w:t>
      </w:r>
    </w:p>
    <w:p w:rsidR="00443565" w:rsidRDefault="00443565" w:rsidP="00443565">
      <w:r>
        <w:t>F. Milletari, N. Navab, and S.-A. Ahmadi, ``V-Net: Fully convolutional neural networks for volumetric medical image segmentation,'' in \textit{Proc. 3DV}, 2016, pp. 565--571.</w:t>
      </w:r>
    </w:p>
    <w:p w:rsidR="00443565" w:rsidRDefault="00443565" w:rsidP="00443565"/>
    <w:p w:rsidR="00443565" w:rsidRDefault="00443565" w:rsidP="00443565">
      <w:r>
        <w:t>\bibitem{sudre2017generalised}</w:t>
      </w:r>
    </w:p>
    <w:p w:rsidR="00443565" w:rsidRDefault="00443565" w:rsidP="00443565">
      <w:r>
        <w:t>C. H. Sudre et al., ``Generalised dice overlap as a deep learning loss function for highly unbalanced segmentations,'' in \textit{Proc. DLMIA}, 2017, pp. 240--248.</w:t>
      </w:r>
    </w:p>
    <w:p w:rsidR="00443565" w:rsidRDefault="00443565" w:rsidP="00443565"/>
    <w:p w:rsidR="00443565" w:rsidRDefault="00443565" w:rsidP="00443565">
      <w:r>
        <w:t>\bibitem{dice1945measures}</w:t>
      </w:r>
    </w:p>
    <w:p w:rsidR="00443565" w:rsidRDefault="00443565" w:rsidP="00443565">
      <w:r>
        <w:t>L. R. Dice, ``Measures of the amount of ecologic association between species,'' \textit{Ecology}, vol. 26, no. 3, pp. 297--302, 1945.</w:t>
      </w:r>
    </w:p>
    <w:p w:rsidR="00443565" w:rsidRDefault="00443565" w:rsidP="00443565"/>
    <w:p w:rsidR="00443565" w:rsidRDefault="00443565" w:rsidP="00443565">
      <w:r>
        <w:t>\bibitem{sorensen1948method}</w:t>
      </w:r>
    </w:p>
    <w:p w:rsidR="00443565" w:rsidRDefault="00443565" w:rsidP="00443565">
      <w:r>
        <w:lastRenderedPageBreak/>
        <w:t>T. Sørensen, ``A method of establishing groups of equal amplitude in plant sociology,'' \textit{Biologiske Skrifter}, vol. 5, pp. 1--34, 1948.</w:t>
      </w:r>
    </w:p>
    <w:p w:rsidR="00443565" w:rsidRDefault="00443565" w:rsidP="00443565"/>
    <w:p w:rsidR="00443565" w:rsidRDefault="00443565" w:rsidP="00443565">
      <w:r>
        <w:t>\bibitem{schuff2009mri}</w:t>
      </w:r>
    </w:p>
    <w:p w:rsidR="00443565" w:rsidRDefault="00443565" w:rsidP="00443565">
      <w:r>
        <w:t>N. Schuff et al., ``MRI of hippocampal volume loss in early Alzheimer's disease,'' \textit{Neurology}, vol. 72, no. 12, pp. 1048--1055, 2009.</w:t>
      </w:r>
    </w:p>
    <w:p w:rsidR="00443565" w:rsidRDefault="00443565" w:rsidP="00443565"/>
    <w:p w:rsidR="00443565" w:rsidRDefault="00443565" w:rsidP="00443565">
      <w:r>
        <w:t>\bibitem{isensee2019automated}</w:t>
      </w:r>
    </w:p>
    <w:p w:rsidR="00443565" w:rsidRDefault="00443565" w:rsidP="00443565">
      <w:r>
        <w:t>F. Isensee et al., ``Automated brain extraction of multisequence MRI using artificial neural networks,'' \textit{Human Brain Mapping}, vol. 40, no. 17, pp. 4952--4964, 2019.</w:t>
      </w:r>
    </w:p>
    <w:p w:rsidR="00443565" w:rsidRDefault="00443565" w:rsidP="00443565"/>
    <w:p w:rsidR="00443565" w:rsidRDefault="00443565" w:rsidP="00443565">
      <w:r>
        <w:t>\bibitem{tustison2010n4itk}</w:t>
      </w:r>
    </w:p>
    <w:p w:rsidR="00443565" w:rsidRDefault="00443565" w:rsidP="00443565">
      <w:r>
        <w:t>N. J. Tustison et al., ``N4ITK: Improved N3 bias correction,'' \textit{IEEE Transactions on Medical Imaging}, vol. 29, no. 6, pp. 1310--1320, 2010.</w:t>
      </w:r>
    </w:p>
    <w:p w:rsidR="00443565" w:rsidRDefault="00443565" w:rsidP="00443565"/>
    <w:p w:rsidR="00443565" w:rsidRDefault="00443565" w:rsidP="00443565">
      <w:r>
        <w:t>\bibitem{jenkinson2002improved}</w:t>
      </w:r>
    </w:p>
    <w:p w:rsidR="00443565" w:rsidRDefault="00443565" w:rsidP="00443565">
      <w:r>
        <w:t>M. Jenkinson et al., ``Improved optimization for the robust and accurate linear registration and motion correction of brain images,'' \textit{NeuroImage}, vol. 17, no. 2, pp. 825--841, 2002.</w:t>
      </w:r>
    </w:p>
    <w:p w:rsidR="00443565" w:rsidRDefault="00443565" w:rsidP="00443565"/>
    <w:p w:rsidR="00443565" w:rsidRDefault="00443565" w:rsidP="00443565">
      <w:r>
        <w:t>\bibitem{loshchilov2019decoupled}</w:t>
      </w:r>
    </w:p>
    <w:p w:rsidR="00443565" w:rsidRDefault="00443565" w:rsidP="00443565">
      <w:r>
        <w:t>I. Loshchilov and F. Hutter, ``Decoupled weight decay regularization,'' in \textit{Proc. ICLR}, 2019.</w:t>
      </w:r>
    </w:p>
    <w:p w:rsidR="00443565" w:rsidRDefault="00443565" w:rsidP="00443565"/>
    <w:p w:rsidR="00443565" w:rsidRDefault="00443565" w:rsidP="00443565">
      <w:r>
        <w:t>\bibitem{loshchilov2016sgdr}</w:t>
      </w:r>
    </w:p>
    <w:p w:rsidR="00443565" w:rsidRDefault="00443565" w:rsidP="00443565">
      <w:r>
        <w:t>I. Loshchilov and F. Hutter, ``SGDR: Stochastic gradient descent with warm restarts,'' in \textit{Proc. ICLR}, 2017.</w:t>
      </w:r>
    </w:p>
    <w:p w:rsidR="00443565" w:rsidRDefault="00443565" w:rsidP="00443565"/>
    <w:p w:rsidR="00443565" w:rsidRDefault="00443565" w:rsidP="00443565">
      <w:r>
        <w:t>\bibitem{cardoso2022monai}</w:t>
      </w:r>
    </w:p>
    <w:p w:rsidR="00443565" w:rsidRDefault="00443565" w:rsidP="00443565">
      <w:r>
        <w:t>M. J. Cardoso et al., ``MONAI: An open-source framework for deep learning in healthcare,'' \textit{arXiv:2211.02701}, 2022.</w:t>
      </w:r>
    </w:p>
    <w:p w:rsidR="00443565" w:rsidRDefault="00443565" w:rsidP="00443565"/>
    <w:p w:rsidR="00443565" w:rsidRDefault="00443565" w:rsidP="00443565">
      <w:r>
        <w:t>\bibitem{armstrong2014use}</w:t>
      </w:r>
    </w:p>
    <w:p w:rsidR="00443565" w:rsidRDefault="00443565" w:rsidP="00443565">
      <w:r>
        <w:t>R. A. Armstrong, ``When to use the Bonferroni correction,'' \textit{Ophthalmic and Physiological Optics}, vol. 34, no. 5, pp. 502--508, 2014.</w:t>
      </w:r>
    </w:p>
    <w:p w:rsidR="00443565" w:rsidRDefault="00443565" w:rsidP="00443565"/>
    <w:p w:rsidR="00443565" w:rsidRDefault="00443565" w:rsidP="00443565">
      <w:r>
        <w:lastRenderedPageBreak/>
        <w:t>\bibitem{cohen1988statistical}</w:t>
      </w:r>
    </w:p>
    <w:p w:rsidR="00443565" w:rsidRDefault="00443565" w:rsidP="00443565">
      <w:r>
        <w:t>J. Cohen, \textit{Statistical Power Analysis for the Behavioral Sciences}, 2nd ed. Hillsdale, NJ: Lawrence Erlbaum Associates, 1988.</w:t>
      </w:r>
    </w:p>
    <w:p w:rsidR="00443565" w:rsidRDefault="00443565" w:rsidP="00443565"/>
    <w:p w:rsidR="00443565" w:rsidRDefault="00443565" w:rsidP="00443565">
      <w:r>
        <w:t>\bibitem{laird1982random}</w:t>
      </w:r>
    </w:p>
    <w:p w:rsidR="00443565" w:rsidRDefault="00443565" w:rsidP="00443565">
      <w:r>
        <w:t>N. M. Laird and J. H. Ware, ``Random-effects models for longitudinal data,'' \textit{Biometrics}, vol. 38, no. 4, pp. 963--974, 1982.</w:t>
      </w:r>
    </w:p>
    <w:p w:rsidR="00443565" w:rsidRDefault="00443565" w:rsidP="00443565"/>
    <w:p w:rsidR="00443565" w:rsidRDefault="00443565" w:rsidP="00443565">
      <w:r>
        <w:t>\bibitem{pinheiro2006mixed}</w:t>
      </w:r>
    </w:p>
    <w:p w:rsidR="00443565" w:rsidRDefault="00443565" w:rsidP="00443565">
      <w:r>
        <w:t>J. C. Pinheiro and D. M. Bates, \textit{Mixed-Effects Models in S and S-PLUS}. New York: Springer, 2000.</w:t>
      </w:r>
    </w:p>
    <w:p w:rsidR="00443565" w:rsidRDefault="00443565" w:rsidP="00443565"/>
    <w:p w:rsidR="00443565" w:rsidRDefault="00443565" w:rsidP="00443565">
      <w:r>
        <w:t>\bibitem{efron1994introduction}</w:t>
      </w:r>
    </w:p>
    <w:p w:rsidR="00443565" w:rsidRDefault="00443565" w:rsidP="00443565">
      <w:r>
        <w:t>B. Efron and R. J. Tibshirani, \textit{An Introduction to the Bootstrap}. Boca Raton, FL: Chapman \&amp; Hall/CRC, 1994.</w:t>
      </w:r>
    </w:p>
    <w:p w:rsidR="00443565" w:rsidRDefault="00443565" w:rsidP="00443565"/>
    <w:p w:rsidR="00443565" w:rsidRDefault="00443565" w:rsidP="00443565">
      <w:r>
        <w:t>\bibitem{guo2017calibration}</w:t>
      </w:r>
    </w:p>
    <w:p w:rsidR="00443565" w:rsidRDefault="00443565" w:rsidP="00443565">
      <w:r>
        <w:t>C. Guo et al., ``On calibration of modern neural networks,'' in \textit{Proc. ICML}, 2017, pp. 1321--1330.</w:t>
      </w:r>
    </w:p>
    <w:p w:rsidR="00443565" w:rsidRDefault="00443565" w:rsidP="00443565"/>
    <w:p w:rsidR="00443565" w:rsidRDefault="00443565" w:rsidP="00443565">
      <w:r>
        <w:t>\bibitem{raghu2021vision}</w:t>
      </w:r>
    </w:p>
    <w:p w:rsidR="00443565" w:rsidRDefault="00443565" w:rsidP="00443565">
      <w:r>
        <w:t>M. Raghu et al., ``Do vision transformers see like convolutional neural networks?'' in \textit{Proc. NeurIPS}, 2021, pp. 12116--12128.</w:t>
      </w:r>
    </w:p>
    <w:p w:rsidR="00443565" w:rsidRDefault="00443565" w:rsidP="00443565"/>
    <w:p w:rsidR="00443565" w:rsidRDefault="00443565" w:rsidP="00443565">
      <w:r>
        <w:t>\bibitem{peng2011reproducible}</w:t>
      </w:r>
    </w:p>
    <w:p w:rsidR="00443565" w:rsidRDefault="00443565" w:rsidP="00443565">
      <w:r>
        <w:t>R. D. Peng, ``Reproducible research in computational science,'' \textit{Science}, vol. 334, no. 6060, pp. 1226--1227, 2011.</w:t>
      </w:r>
    </w:p>
    <w:p w:rsidR="00443565" w:rsidRDefault="00443565" w:rsidP="00443565"/>
    <w:p w:rsidR="00443565" w:rsidRDefault="00443565" w:rsidP="00443565">
      <w:r>
        <w:t>\bibitem{bouthillier2019unreproducible}</w:t>
      </w:r>
    </w:p>
    <w:p w:rsidR="00443565" w:rsidRDefault="00443565" w:rsidP="00443565">
      <w:r>
        <w:t>X. Bouthillier et al., ``Unreproducible research is reproducible,'' in \textit{Proc. ICML}, 2019, pp. 725--734.</w:t>
      </w:r>
    </w:p>
    <w:p w:rsidR="00443565" w:rsidRDefault="00443565" w:rsidP="00443565"/>
    <w:p w:rsidR="00443565" w:rsidRDefault="00443565" w:rsidP="00443565">
      <w:r>
        <w:t>\bibitem{weiner2017alzheimers}</w:t>
      </w:r>
    </w:p>
    <w:p w:rsidR="00443565" w:rsidRDefault="00443565" w:rsidP="00443565">
      <w:r>
        <w:lastRenderedPageBreak/>
        <w:t>M. W. Weiner et al., ``The Alzheimer's Disease Neuroimaging Initiative 3: Continued innovation for clinical trial improvement,'' \textit{Alzheimer's \&amp; Dementia}, vol. 13, no. 5, pp. 561--571, 2017.</w:t>
      </w:r>
    </w:p>
    <w:p w:rsidR="00443565" w:rsidRDefault="00443565" w:rsidP="00443565"/>
    <w:p w:rsidR="00443565" w:rsidRDefault="00443565" w:rsidP="00443565">
      <w:r>
        <w:t>\bibitem{petersen2014mild}</w:t>
      </w:r>
    </w:p>
    <w:p w:rsidR="00443565" w:rsidRDefault="00443565" w:rsidP="00443565">
      <w:r>
        <w:t>R. C. Petersen, ``Mild cognitive impairment,'' \textit{Continuum}, vol. 22, no. 2, pp. 404--418, 2016.</w:t>
      </w:r>
    </w:p>
    <w:p w:rsidR="00443565" w:rsidRDefault="00443565" w:rsidP="00443565"/>
    <w:p w:rsidR="00443565" w:rsidRDefault="00443565" w:rsidP="00443565">
      <w:r>
        <w:t>\bibitem{nelson2019patient}</w:t>
      </w:r>
    </w:p>
    <w:p w:rsidR="00443565" w:rsidRDefault="00443565" w:rsidP="00443565">
      <w:r>
        <w:t>C. A. Nelson et al., ``Patient perspectives on the use of artificial intelligence for skin cancer screening,'' \textit{JAMA Dermatology}, vol. 156, no. 5, pp. 501--512, 2020.</w:t>
      </w:r>
    </w:p>
    <w:p w:rsidR="00443565" w:rsidRDefault="00443565" w:rsidP="00443565"/>
    <w:p w:rsidR="00443565" w:rsidRDefault="00443565" w:rsidP="00443565">
      <w:r>
        <w:t>\bibitem{braak1991neuropathological}</w:t>
      </w:r>
    </w:p>
    <w:p w:rsidR="00443565" w:rsidRDefault="00443565" w:rsidP="00443565">
      <w:r>
        <w:t>H. Braak and E. Braak, ``Neuropathological stageing of Alzheimer-related changes,'' \textit{Acta Neuropathologica}, vol. 82, no. 4, pp. 239--259, 1991.</w:t>
      </w:r>
    </w:p>
    <w:p w:rsidR="00443565" w:rsidRDefault="00443565" w:rsidP="00443565"/>
    <w:p w:rsidR="00443565" w:rsidRDefault="00443565" w:rsidP="00443565">
      <w:r>
        <w:t>\bibitem{west1994differences}</w:t>
      </w:r>
    </w:p>
    <w:p w:rsidR="00443565" w:rsidRDefault="00443565" w:rsidP="00443565">
      <w:r>
        <w:t>M. J. West et al., ``Differences in the pattern of hippocampal neuronal loss in normal ageing and Alzheimer's disease,'' \textit{Lancet}, vol. 344, no. 8925, pp. 769--772, 1994.</w:t>
      </w:r>
    </w:p>
    <w:p w:rsidR="00443565" w:rsidRDefault="00443565" w:rsidP="00443565"/>
    <w:p w:rsidR="00443565" w:rsidRDefault="00443565" w:rsidP="00443565">
      <w:r>
        <w:t>\bibitem{begoli2019need}</w:t>
      </w:r>
    </w:p>
    <w:p w:rsidR="00443565" w:rsidRDefault="00443565" w:rsidP="00443565">
      <w:r>
        <w:t>E. Begoli, T. Bhattacharya, and D. Kusnezov, ``The need for uncertainty quantification in machine-assisted medical decision making,'' \textit{Nature Machine Intelligence}, vol. 1, no. 1, pp. 20--23, 2019.</w:t>
      </w:r>
    </w:p>
    <w:p w:rsidR="00443565" w:rsidRDefault="00443565" w:rsidP="00443565"/>
    <w:p w:rsidR="00443565" w:rsidRDefault="00443565" w:rsidP="00443565">
      <w:r>
        <w:t>\bibitem{liu2020reporting}</w:t>
      </w:r>
    </w:p>
    <w:p w:rsidR="00443565" w:rsidRDefault="00443565" w:rsidP="00443565">
      <w:r>
        <w:t>X. Liu et al., ``Reporting guidelines for clinical trial reports for interventions involving artificial intelligence,'' \textit{Nature Medicine}, vol. 26, no. 9, pp. 1364--1374, 2020.</w:t>
      </w:r>
    </w:p>
    <w:p w:rsidR="00443565" w:rsidRDefault="00443565" w:rsidP="00443565"/>
    <w:p w:rsidR="00443565" w:rsidRDefault="00443565" w:rsidP="00443565">
      <w:r>
        <w:t>\bibitem{van2018ultra}</w:t>
      </w:r>
    </w:p>
    <w:p w:rsidR="00443565" w:rsidRDefault="00443565" w:rsidP="00443565">
      <w:r>
        <w:t>P. R. van der Kolk et al., ``Clinical applications of 7 T MRI in the brain,'' \textit{European Journal of Radiology}, vol. 82, no. 5, pp. 708--718, 2013.</w:t>
      </w:r>
    </w:p>
    <w:p w:rsidR="00443565" w:rsidRDefault="00443565" w:rsidP="00443565"/>
    <w:p w:rsidR="00443565" w:rsidRDefault="00443565" w:rsidP="00443565">
      <w:r>
        <w:t>\bibitem{hinton2015distilling}</w:t>
      </w:r>
    </w:p>
    <w:p w:rsidR="00443565" w:rsidRDefault="00443565" w:rsidP="00443565">
      <w:r>
        <w:t>G. Hinton, O. Vinyals, and J. Dean, ``Distilling the knowledge in a neural network,'' \textit{arXiv:1503.02531}, 2015.</w:t>
      </w:r>
    </w:p>
    <w:p w:rsidR="00443565" w:rsidRDefault="00443565" w:rsidP="00443565"/>
    <w:p w:rsidR="00443565" w:rsidRDefault="00443565" w:rsidP="00443565">
      <w:r>
        <w:t>\end{thebibliography}</w:t>
      </w:r>
    </w:p>
    <w:p w:rsidR="00443565" w:rsidRDefault="00443565" w:rsidP="00443565"/>
    <w:p w:rsidR="00F2158D" w:rsidRPr="00443565" w:rsidRDefault="00443565" w:rsidP="00443565">
      <w:r>
        <w:t>\end{document}</w:t>
      </w:r>
      <w:bookmarkStart w:id="0" w:name="_GoBack"/>
      <w:bookmarkEnd w:id="0"/>
    </w:p>
    <w:sectPr w:rsidR="00F2158D" w:rsidRPr="0044356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B65"/>
    <w:rsid w:val="00032B65"/>
    <w:rsid w:val="000B7333"/>
    <w:rsid w:val="00443565"/>
    <w:rsid w:val="00C77C0C"/>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32014F-457C-4507-BF30-13E2AEE62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kn-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Sylf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6137</Words>
  <Characters>34981</Characters>
  <Application>Microsoft Office Word</Application>
  <DocSecurity>0</DocSecurity>
  <Lines>291</Lines>
  <Paragraphs>82</Paragraphs>
  <ScaleCrop>false</ScaleCrop>
  <Company/>
  <LinksUpToDate>false</LinksUpToDate>
  <CharactersWithSpaces>41036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sunita</dc:creator>
  <cp:keywords/>
  <dc:description/>
  <cp:lastModifiedBy>sunita</cp:lastModifiedBy>
  <cp:revision>2</cp:revision>
  <dcterms:created xsi:type="dcterms:W3CDTF">2026-04-08T05:43:00Z</dcterms:created>
  <dcterms:modified xsi:type="dcterms:W3CDTF">2026-04-11T07:14:00Z</dcterms:modified>
</cp:coreProperties>
</file>