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568D" w14:textId="77777777" w:rsidR="00BD3755" w:rsidRPr="00E32A47" w:rsidRDefault="00BD3755" w:rsidP="00612E1A">
      <w:pPr>
        <w:spacing w:after="0" w:line="240" w:lineRule="auto"/>
        <w:jc w:val="center"/>
        <w:rPr>
          <w:rFonts w:ascii="Times New Roman" w:hAnsi="Times New Roman" w:cs="Times New Roman"/>
          <w:sz w:val="32"/>
          <w:szCs w:val="32"/>
        </w:rPr>
      </w:pPr>
      <w:r w:rsidRPr="00E32A47">
        <w:rPr>
          <w:rFonts w:ascii="Times New Roman" w:hAnsi="Times New Roman" w:cs="Times New Roman"/>
          <w:sz w:val="32"/>
          <w:szCs w:val="32"/>
        </w:rPr>
        <w:t>Supplementary Note</w:t>
      </w:r>
    </w:p>
    <w:p w14:paraId="3FA75F6D" w14:textId="77777777" w:rsidR="00BD3755" w:rsidRPr="00E32A47" w:rsidRDefault="00BD3755" w:rsidP="00E93DE9">
      <w:pPr>
        <w:spacing w:after="0" w:line="240" w:lineRule="auto"/>
        <w:jc w:val="both"/>
        <w:rPr>
          <w:rFonts w:ascii="Times New Roman" w:hAnsi="Times New Roman" w:cs="Times New Roman"/>
          <w:b/>
          <w:bCs/>
          <w:sz w:val="24"/>
        </w:rPr>
      </w:pPr>
    </w:p>
    <w:p w14:paraId="1304AA59" w14:textId="77777777" w:rsidR="00BD3755" w:rsidRPr="00E32A47" w:rsidRDefault="00BD3755" w:rsidP="00E93DE9">
      <w:pPr>
        <w:spacing w:after="0" w:line="240" w:lineRule="auto"/>
        <w:jc w:val="both"/>
        <w:rPr>
          <w:rFonts w:ascii="Times New Roman" w:hAnsi="Times New Roman" w:cs="Times New Roman"/>
          <w:b/>
          <w:bCs/>
          <w:sz w:val="24"/>
        </w:rPr>
      </w:pPr>
      <w:r w:rsidRPr="00E32A47">
        <w:rPr>
          <w:rFonts w:ascii="Times New Roman" w:hAnsi="Times New Roman" w:cs="Times New Roman"/>
          <w:b/>
          <w:bCs/>
          <w:sz w:val="24"/>
        </w:rPr>
        <w:t>Analytical strategy for decomposing of tumor-associated aging into acceleration and deviation components</w:t>
      </w:r>
    </w:p>
    <w:p w14:paraId="3507D254" w14:textId="77777777" w:rsidR="00BD3755" w:rsidRPr="00E32A47" w:rsidRDefault="00BD3755" w:rsidP="00E93DE9">
      <w:pPr>
        <w:spacing w:after="0" w:line="240" w:lineRule="auto"/>
        <w:jc w:val="both"/>
        <w:rPr>
          <w:rFonts w:ascii="Times New Roman" w:hAnsi="Times New Roman" w:cs="Times New Roman"/>
          <w:sz w:val="24"/>
        </w:rPr>
      </w:pPr>
      <w:r w:rsidRPr="00E32A47">
        <w:rPr>
          <w:rFonts w:ascii="Times New Roman" w:hAnsi="Times New Roman" w:cs="Times New Roman"/>
          <w:sz w:val="24"/>
        </w:rPr>
        <w:t>We compared biological age with chronological age in participants diagnosed with cancer before blood sampling and in age-matched healthy controls (Extended Data Fig. 5a). After adjusting for chronological age and sex using a linear regression model, we defined age acceleration (ΔAA) as the residual term. Specifically, biological age (BA) was regressed on chronological age (CA) and sex:</w:t>
      </w:r>
    </w:p>
    <w:p w14:paraId="081CAAA0" w14:textId="77777777" w:rsidR="00BD3755" w:rsidRPr="00E32A47" w:rsidRDefault="00BD3755" w:rsidP="00A3544B">
      <w:pPr>
        <w:spacing w:after="0"/>
        <w:jc w:val="center"/>
        <w:rPr>
          <w:rFonts w:ascii="Times New Roman" w:hAnsi="Times New Roman" w:cs="Times New Roman"/>
          <w:sz w:val="24"/>
        </w:rPr>
      </w:pPr>
      <m:oMath>
        <m:r>
          <w:rPr>
            <w:rFonts w:ascii="Cambria Math" w:hAnsi="Cambria Math" w:cs="Times New Roman"/>
            <w:sz w:val="24"/>
          </w:rPr>
          <m:t>BA∼CA+Sex</m:t>
        </m:r>
      </m:oMath>
      <w:r w:rsidRPr="00E32A47">
        <w:rPr>
          <w:rFonts w:ascii="Times New Roman" w:hAnsi="Times New Roman" w:cs="Times New Roman"/>
          <w:sz w:val="24"/>
        </w:rPr>
        <w:t>,</w:t>
      </w:r>
    </w:p>
    <w:p w14:paraId="4ECA61E3" w14:textId="77777777" w:rsidR="00BD3755" w:rsidRPr="00E32A47" w:rsidRDefault="00BD3755" w:rsidP="005E2A61">
      <w:pPr>
        <w:spacing w:after="0"/>
        <w:jc w:val="both"/>
        <w:rPr>
          <w:rFonts w:ascii="Times New Roman" w:hAnsi="Times New Roman" w:cs="Times New Roman"/>
          <w:sz w:val="24"/>
        </w:rPr>
      </w:pPr>
      <w:r w:rsidRPr="00E32A47">
        <w:rPr>
          <w:rFonts w:ascii="Times New Roman" w:hAnsi="Times New Roman" w:cs="Times New Roman"/>
          <w:sz w:val="24"/>
        </w:rPr>
        <w:t>the residuals from this model were defined as ΔAA, representing deviation from the expected biological age given chronological age and sex. Cancer patients exhibited significantly elevated ΔAA relative to healthy individuals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5b,</w:t>
      </w:r>
      <w:r w:rsidRPr="00E32A47">
        <w:rPr>
          <w:rFonts w:ascii="Times New Roman" w:eastAsia="宋体" w:hAnsi="Times New Roman" w:cs="Times New Roman"/>
          <w:sz w:val="24"/>
        </w:rPr>
        <w:t xml:space="preserve"> Cancer </w:t>
      </w:r>
      <w:r w:rsidRPr="00E32A47">
        <w:rPr>
          <w:rFonts w:ascii="Times New Roman" w:eastAsia="宋体" w:hAnsi="Times New Roman" w:cs="Times New Roman"/>
          <w:i/>
          <w:iCs/>
          <w:sz w:val="24"/>
        </w:rPr>
        <w:t>N</w:t>
      </w:r>
      <w:r w:rsidRPr="00E32A47">
        <w:rPr>
          <w:rFonts w:ascii="Times New Roman" w:eastAsia="宋体" w:hAnsi="Times New Roman" w:cs="Times New Roman"/>
          <w:sz w:val="24"/>
        </w:rPr>
        <w:t xml:space="preserve"> = 3,289, Health </w:t>
      </w:r>
      <w:r w:rsidRPr="00E32A47">
        <w:rPr>
          <w:rFonts w:ascii="Times New Roman" w:eastAsia="宋体" w:hAnsi="Times New Roman" w:cs="Times New Roman"/>
          <w:i/>
          <w:iCs/>
          <w:sz w:val="24"/>
        </w:rPr>
        <w:t>N</w:t>
      </w:r>
      <w:r w:rsidRPr="00E32A47">
        <w:rPr>
          <w:rFonts w:ascii="Times New Roman" w:eastAsia="宋体" w:hAnsi="Times New Roman" w:cs="Times New Roman"/>
          <w:sz w:val="24"/>
        </w:rPr>
        <w:t xml:space="preserve"> = 5,036, Wilcoxon test </w:t>
      </w:r>
      <w:r w:rsidRPr="00E32A47">
        <w:rPr>
          <w:rFonts w:ascii="Times New Roman" w:eastAsia="宋体" w:hAnsi="Times New Roman" w:cs="Times New Roman"/>
          <w:i/>
          <w:iCs/>
          <w:sz w:val="24"/>
        </w:rPr>
        <w:t>P</w:t>
      </w:r>
      <w:r w:rsidRPr="00E32A47">
        <w:rPr>
          <w:rFonts w:ascii="Times New Roman" w:eastAsia="宋体" w:hAnsi="Times New Roman" w:cs="Times New Roman"/>
          <w:sz w:val="24"/>
        </w:rPr>
        <w:t xml:space="preserve"> = 1.5×10</w:t>
      </w:r>
      <w:r w:rsidRPr="00E32A47">
        <w:rPr>
          <w:rFonts w:ascii="Times New Roman" w:eastAsia="宋体" w:hAnsi="Times New Roman" w:cs="Times New Roman"/>
          <w:sz w:val="24"/>
          <w:vertAlign w:val="superscript"/>
        </w:rPr>
        <w:t>-6</w:t>
      </w:r>
      <w:r w:rsidRPr="00E32A47">
        <w:rPr>
          <w:rFonts w:ascii="Times New Roman" w:hAnsi="Times New Roman" w:cs="Times New Roman"/>
          <w:sz w:val="24"/>
        </w:rPr>
        <w:t>), with the most prominent acceleration observed in younger individuals. These results suggest that cancer is associated with accelerated aging signatures.</w:t>
      </w:r>
    </w:p>
    <w:p w14:paraId="451A3049" w14:textId="77777777" w:rsidR="00BD3755" w:rsidRPr="00E32A47" w:rsidRDefault="00BD3755" w:rsidP="00E93DE9">
      <w:pPr>
        <w:spacing w:after="0" w:line="240" w:lineRule="auto"/>
        <w:ind w:firstLineChars="200" w:firstLine="480"/>
        <w:jc w:val="both"/>
        <w:rPr>
          <w:rFonts w:ascii="Times New Roman" w:hAnsi="Times New Roman" w:cs="Times New Roman"/>
          <w:sz w:val="24"/>
        </w:rPr>
      </w:pPr>
      <w:r w:rsidRPr="00E32A47">
        <w:rPr>
          <w:rFonts w:ascii="Times New Roman" w:hAnsi="Times New Roman" w:cs="Times New Roman"/>
          <w:sz w:val="24"/>
        </w:rPr>
        <w:t>To distinguish aging-related variation from tumor-associated perturbation, we constructed a reference trajectory of natural aging using data from healthy individuals. Specifically, we defined a natural aging axis in Principal Component Analysis (PCA) space by connecting the centroids of age-stratified healthy individuals (Extended Data Fig. 5c–d). We then projected cancer patients into this reference space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5e). For each cancer patient, the displacement from the age-matched healthy centroid was decomposed into two orthogonal components as illustrated in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5f. From a mathematical perspective, the tumor acceleration component (TA) aligns with the natural aging axis, and the tumor deviation component (TD) is orthogonal to TA. TA exhibited a strong correlation with ΔAA among cancer patients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5g,</w:t>
      </w:r>
      <w:r w:rsidRPr="00E32A47">
        <w:rPr>
          <w:rFonts w:ascii="Times New Roman" w:eastAsia="宋体" w:hAnsi="Times New Roman" w:cs="Times New Roman"/>
          <w:i/>
          <w:iCs/>
          <w:sz w:val="24"/>
        </w:rPr>
        <w:t xml:space="preserve"> N</w:t>
      </w:r>
      <w:r w:rsidRPr="00E32A47">
        <w:rPr>
          <w:rFonts w:ascii="Times New Roman" w:eastAsia="宋体" w:hAnsi="Times New Roman" w:cs="Times New Roman"/>
          <w:sz w:val="24"/>
        </w:rPr>
        <w:t xml:space="preserve"> = 3,289, Pearson correlation coefficient </w:t>
      </w:r>
      <w:r w:rsidRPr="00E32A47">
        <w:rPr>
          <w:rFonts w:ascii="Times New Roman" w:eastAsia="宋体" w:hAnsi="Times New Roman" w:cs="Times New Roman"/>
          <w:i/>
          <w:iCs/>
          <w:sz w:val="24"/>
        </w:rPr>
        <w:t>r</w:t>
      </w:r>
      <w:r w:rsidRPr="00E32A47">
        <w:rPr>
          <w:rFonts w:ascii="Times New Roman" w:eastAsia="宋体" w:hAnsi="Times New Roman" w:cs="Times New Roman"/>
          <w:sz w:val="24"/>
        </w:rPr>
        <w:t xml:space="preserve"> = 0.822, </w:t>
      </w:r>
      <w:r w:rsidRPr="00E32A47">
        <w:rPr>
          <w:rFonts w:ascii="Times New Roman" w:eastAsia="宋体" w:hAnsi="Times New Roman" w:cs="Times New Roman"/>
          <w:i/>
          <w:iCs/>
          <w:sz w:val="24"/>
        </w:rPr>
        <w:t>P</w:t>
      </w:r>
      <w:r w:rsidRPr="00E32A47">
        <w:rPr>
          <w:rFonts w:ascii="Times New Roman" w:eastAsia="宋体" w:hAnsi="Times New Roman" w:cs="Times New Roman"/>
          <w:sz w:val="24"/>
        </w:rPr>
        <w:t xml:space="preserve"> &lt; 2.2×10</w:t>
      </w:r>
      <w:r w:rsidRPr="00E32A47">
        <w:rPr>
          <w:rFonts w:ascii="Times New Roman" w:eastAsia="宋体" w:hAnsi="Times New Roman" w:cs="Times New Roman"/>
          <w:sz w:val="24"/>
          <w:vertAlign w:val="superscript"/>
        </w:rPr>
        <w:t>-16</w:t>
      </w:r>
      <w:r w:rsidRPr="00E32A47">
        <w:rPr>
          <w:rFonts w:ascii="Times New Roman" w:eastAsia="宋体" w:hAnsi="Times New Roman" w:cs="Times New Roman"/>
          <w:sz w:val="24"/>
        </w:rPr>
        <w:t xml:space="preserve">; </w:t>
      </w:r>
      <w:r w:rsidRPr="00E32A47">
        <w:rPr>
          <w:rFonts w:ascii="Times New Roman" w:hAnsi="Times New Roman" w:cs="Times New Roman"/>
          <w:sz w:val="24"/>
        </w:rPr>
        <w:t>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5h,</w:t>
      </w:r>
      <w:r w:rsidRPr="00E32A47">
        <w:rPr>
          <w:rFonts w:ascii="Times New Roman" w:hAnsi="Times New Roman" w:cs="Times New Roman"/>
          <w:b/>
          <w:bCs/>
          <w:sz w:val="24"/>
        </w:rPr>
        <w:t xml:space="preserve"> </w:t>
      </w:r>
      <w:r w:rsidRPr="00E32A47">
        <w:rPr>
          <w:rFonts w:ascii="Times New Roman" w:eastAsia="宋体" w:hAnsi="Times New Roman" w:cs="Times New Roman"/>
          <w:sz w:val="24"/>
        </w:rPr>
        <w:t xml:space="preserve">Cancer </w:t>
      </w:r>
      <w:r w:rsidRPr="00E32A47">
        <w:rPr>
          <w:rFonts w:ascii="Times New Roman" w:eastAsia="宋体" w:hAnsi="Times New Roman" w:cs="Times New Roman"/>
          <w:i/>
          <w:iCs/>
          <w:sz w:val="24"/>
        </w:rPr>
        <w:t>N</w:t>
      </w:r>
      <w:r w:rsidRPr="00E32A47">
        <w:rPr>
          <w:rFonts w:ascii="Times New Roman" w:eastAsia="宋体" w:hAnsi="Times New Roman" w:cs="Times New Roman"/>
          <w:sz w:val="24"/>
        </w:rPr>
        <w:t xml:space="preserve"> = 3,289, Health </w:t>
      </w:r>
      <w:r w:rsidRPr="00E32A47">
        <w:rPr>
          <w:rFonts w:ascii="Times New Roman" w:eastAsia="宋体" w:hAnsi="Times New Roman" w:cs="Times New Roman"/>
          <w:i/>
          <w:iCs/>
          <w:sz w:val="24"/>
        </w:rPr>
        <w:t>N</w:t>
      </w:r>
      <w:r w:rsidRPr="00E32A47">
        <w:rPr>
          <w:rFonts w:ascii="Times New Roman" w:eastAsia="宋体" w:hAnsi="Times New Roman" w:cs="Times New Roman"/>
          <w:sz w:val="24"/>
        </w:rPr>
        <w:t xml:space="preserve"> = 5,036, Wilcoxon test </w:t>
      </w:r>
      <w:r w:rsidRPr="00E32A47">
        <w:rPr>
          <w:rFonts w:ascii="Times New Roman" w:eastAsia="宋体" w:hAnsi="Times New Roman" w:cs="Times New Roman"/>
          <w:i/>
          <w:iCs/>
          <w:sz w:val="24"/>
        </w:rPr>
        <w:t>P</w:t>
      </w:r>
      <w:r w:rsidRPr="00E32A47">
        <w:rPr>
          <w:rFonts w:ascii="Times New Roman" w:eastAsia="宋体" w:hAnsi="Times New Roman" w:cs="Times New Roman"/>
          <w:sz w:val="24"/>
        </w:rPr>
        <w:t xml:space="preserve"> = 3.4×10</w:t>
      </w:r>
      <w:r w:rsidRPr="00E32A47">
        <w:rPr>
          <w:rFonts w:ascii="Times New Roman" w:eastAsia="宋体" w:hAnsi="Times New Roman" w:cs="Times New Roman"/>
          <w:sz w:val="24"/>
          <w:vertAlign w:val="superscript"/>
        </w:rPr>
        <w:t>-5</w:t>
      </w:r>
      <w:r w:rsidRPr="00E32A47">
        <w:rPr>
          <w:rFonts w:ascii="Times New Roman" w:hAnsi="Times New Roman" w:cs="Times New Roman"/>
          <w:sz w:val="24"/>
        </w:rPr>
        <w:t>), supporting the interpretation that TA captures key aspects of systemic variation associated with aging. By contrast, TD was largely independent of BA (Extended Data Fig. 5i), indicating that it represents a tumor-related axis less related to aging.</w:t>
      </w:r>
    </w:p>
    <w:p w14:paraId="18BB2CCD" w14:textId="77777777" w:rsidR="00BD3755" w:rsidRPr="00E32A47" w:rsidRDefault="00BD3755" w:rsidP="00AD047E">
      <w:pPr>
        <w:spacing w:after="0" w:line="240" w:lineRule="auto"/>
        <w:jc w:val="both"/>
        <w:rPr>
          <w:rFonts w:ascii="Times New Roman" w:hAnsi="Times New Roman" w:cs="Times New Roman"/>
          <w:sz w:val="24"/>
        </w:rPr>
      </w:pPr>
    </w:p>
    <w:p w14:paraId="5FB26480" w14:textId="77777777" w:rsidR="00BD3755" w:rsidRPr="00E32A47" w:rsidRDefault="00BD3755" w:rsidP="00AD047E">
      <w:pPr>
        <w:spacing w:after="0" w:line="240" w:lineRule="auto"/>
        <w:jc w:val="both"/>
        <w:rPr>
          <w:rFonts w:ascii="Times New Roman" w:hAnsi="Times New Roman" w:cs="Times New Roman"/>
          <w:sz w:val="24"/>
        </w:rPr>
      </w:pPr>
      <w:r w:rsidRPr="00E32A47">
        <w:rPr>
          <w:rFonts w:ascii="Times New Roman" w:hAnsi="Times New Roman" w:cs="Times New Roman"/>
          <w:b/>
          <w:bCs/>
          <w:sz w:val="24"/>
        </w:rPr>
        <w:t>Analytical strategy for identifying candidate perturbation-sensitive molecules in cancer patients</w:t>
      </w:r>
    </w:p>
    <w:p w14:paraId="59C66CE6" w14:textId="030B0F3E" w:rsidR="00BD3755" w:rsidRPr="00E32A47" w:rsidRDefault="00BD3755" w:rsidP="00612DC6">
      <w:pPr>
        <w:spacing w:after="0" w:line="240" w:lineRule="auto"/>
        <w:jc w:val="both"/>
        <w:rPr>
          <w:rFonts w:ascii="Times New Roman" w:hAnsi="Times New Roman" w:cs="Times New Roman"/>
          <w:sz w:val="24"/>
        </w:rPr>
      </w:pPr>
      <w:r w:rsidRPr="00E32A47">
        <w:rPr>
          <w:rFonts w:ascii="Times New Roman" w:hAnsi="Times New Roman" w:cs="Times New Roman"/>
          <w:sz w:val="24"/>
        </w:rPr>
        <w:t xml:space="preserve">To evaluate the association between ΔAA and cancer types, we performed linear regression using </w:t>
      </w:r>
      <w:r w:rsidR="00B55212">
        <w:rPr>
          <w:rFonts w:ascii="Times New Roman" w:hAnsi="Times New Roman" w:cs="Times New Roman"/>
          <w:sz w:val="24"/>
        </w:rPr>
        <w:t>‘</w:t>
      </w:r>
      <w:proofErr w:type="spellStart"/>
      <w:r w:rsidRPr="00E32A47">
        <w:rPr>
          <w:rFonts w:ascii="Times New Roman" w:hAnsi="Times New Roman" w:cs="Times New Roman"/>
          <w:sz w:val="24"/>
        </w:rPr>
        <w:t>lm</w:t>
      </w:r>
      <w:proofErr w:type="spellEnd"/>
      <w:r w:rsidR="00B55212">
        <w:rPr>
          <w:rFonts w:ascii="Times New Roman" w:hAnsi="Times New Roman" w:cs="Times New Roman"/>
          <w:sz w:val="24"/>
        </w:rPr>
        <w:t>’</w:t>
      </w:r>
      <w:r w:rsidRPr="00E32A47">
        <w:rPr>
          <w:rFonts w:ascii="Times New Roman" w:hAnsi="Times New Roman" w:cs="Times New Roman"/>
          <w:sz w:val="24"/>
        </w:rPr>
        <w:t xml:space="preserve"> function in </w:t>
      </w:r>
      <w:r w:rsidR="00B55212">
        <w:rPr>
          <w:rFonts w:ascii="Times New Roman" w:hAnsi="Times New Roman" w:cs="Times New Roman"/>
          <w:sz w:val="24"/>
        </w:rPr>
        <w:t>‘</w:t>
      </w:r>
      <w:r w:rsidRPr="00E32A47">
        <w:rPr>
          <w:rFonts w:ascii="Times New Roman" w:hAnsi="Times New Roman" w:cs="Times New Roman"/>
          <w:sz w:val="24"/>
        </w:rPr>
        <w:t>stats</w:t>
      </w:r>
      <w:r w:rsidR="00B55212">
        <w:rPr>
          <w:rFonts w:ascii="Times New Roman" w:hAnsi="Times New Roman" w:cs="Times New Roman"/>
          <w:sz w:val="24"/>
        </w:rPr>
        <w:t>’</w:t>
      </w:r>
      <w:r w:rsidRPr="00E32A47">
        <w:rPr>
          <w:rFonts w:ascii="Times New Roman" w:hAnsi="Times New Roman" w:cs="Times New Roman"/>
          <w:sz w:val="24"/>
        </w:rPr>
        <w:t xml:space="preserve"> (V.4.2.2) R package. In Extended Data Fig. 6a, the forest plot demonstrated the heterogeneity of ΔAA signals across different cancer types defined by ICD-10 blocks. C81–C96 (</w:t>
      </w:r>
      <w:r w:rsidRPr="00E32A47">
        <w:rPr>
          <w:rFonts w:ascii="Times New Roman" w:eastAsia="宋体" w:hAnsi="Times New Roman" w:cs="Times New Roman"/>
          <w:sz w:val="24"/>
        </w:rPr>
        <w:t xml:space="preserve">malignant neoplasms, stated or presumed to be primary, of lymphoid, </w:t>
      </w:r>
      <w:proofErr w:type="spellStart"/>
      <w:r w:rsidRPr="00E32A47">
        <w:rPr>
          <w:rFonts w:ascii="Times New Roman" w:eastAsia="宋体" w:hAnsi="Times New Roman" w:cs="Times New Roman"/>
          <w:sz w:val="24"/>
        </w:rPr>
        <w:t>haematopoietic</w:t>
      </w:r>
      <w:proofErr w:type="spellEnd"/>
      <w:r w:rsidRPr="00E32A47">
        <w:rPr>
          <w:rFonts w:ascii="Times New Roman" w:eastAsia="宋体" w:hAnsi="Times New Roman" w:cs="Times New Roman"/>
          <w:sz w:val="24"/>
        </w:rPr>
        <w:t xml:space="preserve"> and related tissue</w:t>
      </w:r>
      <w:r w:rsidRPr="00E32A47">
        <w:rPr>
          <w:rFonts w:ascii="Times New Roman" w:hAnsi="Times New Roman" w:cs="Times New Roman"/>
          <w:sz w:val="24"/>
        </w:rPr>
        <w:t>) displayed the largest number of significantly associated cancer types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 xml:space="preserve">Fig. 6b). To identify candidate perturbation-sensitive molecules, we applied DNB analysis to participants </w:t>
      </w:r>
      <w:r w:rsidRPr="00E32A47">
        <w:rPr>
          <w:rFonts w:ascii="Times New Roman" w:hAnsi="Times New Roman" w:cs="Times New Roman"/>
          <w:sz w:val="24"/>
        </w:rPr>
        <w:lastRenderedPageBreak/>
        <w:t>diagnosed with C81–C96. By intersecting latent features associated with TA (red dots in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6c) and DNB peaks, we identified 17 overlapping latent features and 159 corresponding proteins. Using the same strategy for TD (blue dots in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6c) and DNB peaks, we identified 84 overlapping latent features involving 198 proteins.</w:t>
      </w:r>
    </w:p>
    <w:p w14:paraId="2C4C8AB3" w14:textId="77777777" w:rsidR="00BD3755" w:rsidRPr="00E32A47" w:rsidRDefault="00BD3755" w:rsidP="000F339E">
      <w:pPr>
        <w:spacing w:after="0"/>
        <w:ind w:firstLineChars="200" w:firstLine="480"/>
        <w:jc w:val="both"/>
        <w:rPr>
          <w:rFonts w:ascii="Times New Roman" w:hAnsi="Times New Roman" w:cs="Times New Roman"/>
          <w:sz w:val="24"/>
        </w:rPr>
      </w:pPr>
      <w:bookmarkStart w:id="0" w:name="OLE_LINK24"/>
      <w:r w:rsidRPr="00E32A47">
        <w:rPr>
          <w:rFonts w:ascii="Times New Roman" w:hAnsi="Times New Roman" w:cs="Times New Roman"/>
          <w:sz w:val="24"/>
        </w:rPr>
        <w:t>To further identify a refined set of genetically anchored candidate molecules, we integrated protein quantitative trait loci (</w:t>
      </w:r>
      <w:proofErr w:type="spellStart"/>
      <w:r w:rsidRPr="00E32A47">
        <w:rPr>
          <w:rFonts w:ascii="Times New Roman" w:hAnsi="Times New Roman" w:cs="Times New Roman"/>
          <w:sz w:val="24"/>
        </w:rPr>
        <w:t>pQTLs</w:t>
      </w:r>
      <w:proofErr w:type="spellEnd"/>
      <w:r w:rsidRPr="00E32A47">
        <w:rPr>
          <w:rFonts w:ascii="Times New Roman" w:hAnsi="Times New Roman" w:cs="Times New Roman"/>
          <w:sz w:val="24"/>
        </w:rPr>
        <w:t>) with aging-related and cancer-related genome-wide association study (GWAS) data via mediation analyses (Supplementary Table 6). As illustrated in the flowchart of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6d, following mediation analysis on proteins associated with overlapping latent features between TA and DNB, we performed in silico perturbation via VAM to prioritize nine perturbation-sensitive candidate molecules associated with tumor-accelerated aging, including ANGPT2</w:t>
      </w:r>
      <w:r w:rsidRPr="00E32A47">
        <w:rPr>
          <w:rFonts w:ascii="Times New Roman" w:hAnsi="Times New Roman" w:cs="Times New Roman"/>
          <w:noProof/>
          <w:sz w:val="24"/>
          <w:vertAlign w:val="superscript"/>
        </w:rPr>
        <w:t>1</w:t>
      </w:r>
      <w:r w:rsidRPr="00E32A47">
        <w:rPr>
          <w:rFonts w:ascii="Times New Roman" w:hAnsi="Times New Roman" w:cs="Times New Roman"/>
          <w:sz w:val="24"/>
        </w:rPr>
        <w:t>, DHRS4L2</w:t>
      </w:r>
      <w:r w:rsidRPr="00E32A47">
        <w:rPr>
          <w:rFonts w:ascii="Times New Roman" w:hAnsi="Times New Roman" w:cs="Times New Roman"/>
          <w:noProof/>
          <w:sz w:val="24"/>
          <w:vertAlign w:val="superscript"/>
        </w:rPr>
        <w:t>2</w:t>
      </w:r>
      <w:r w:rsidRPr="00E32A47">
        <w:rPr>
          <w:rFonts w:ascii="Times New Roman" w:hAnsi="Times New Roman" w:cs="Times New Roman"/>
          <w:sz w:val="24"/>
        </w:rPr>
        <w:t xml:space="preserve">, </w:t>
      </w:r>
      <w:bookmarkStart w:id="1" w:name="OLE_LINK1"/>
      <w:r w:rsidRPr="00E32A47">
        <w:rPr>
          <w:rFonts w:ascii="Times New Roman" w:hAnsi="Times New Roman" w:cs="Times New Roman"/>
          <w:sz w:val="24"/>
        </w:rPr>
        <w:t>ACRBP</w:t>
      </w:r>
      <w:bookmarkEnd w:id="1"/>
      <w:r w:rsidRPr="00E32A47">
        <w:rPr>
          <w:rFonts w:ascii="Times New Roman" w:hAnsi="Times New Roman" w:cs="Times New Roman"/>
          <w:noProof/>
          <w:sz w:val="24"/>
          <w:vertAlign w:val="superscript"/>
        </w:rPr>
        <w:t>3</w:t>
      </w:r>
      <w:r w:rsidRPr="00E32A47">
        <w:rPr>
          <w:rFonts w:ascii="Times New Roman" w:hAnsi="Times New Roman" w:cs="Times New Roman"/>
          <w:sz w:val="24"/>
        </w:rPr>
        <w:t>, SHISA5</w:t>
      </w:r>
      <w:r w:rsidRPr="00E32A47">
        <w:rPr>
          <w:rFonts w:ascii="Times New Roman" w:hAnsi="Times New Roman" w:cs="Times New Roman"/>
          <w:noProof/>
          <w:sz w:val="24"/>
          <w:vertAlign w:val="superscript"/>
        </w:rPr>
        <w:t>4</w:t>
      </w:r>
      <w:r w:rsidRPr="00E32A47">
        <w:rPr>
          <w:rFonts w:ascii="Times New Roman" w:hAnsi="Times New Roman" w:cs="Times New Roman"/>
          <w:sz w:val="24"/>
        </w:rPr>
        <w:t>, EFNA1</w:t>
      </w:r>
      <w:r w:rsidRPr="00E32A47">
        <w:rPr>
          <w:rFonts w:ascii="Times New Roman" w:hAnsi="Times New Roman" w:cs="Times New Roman"/>
          <w:noProof/>
          <w:sz w:val="24"/>
          <w:vertAlign w:val="superscript"/>
        </w:rPr>
        <w:t>5</w:t>
      </w:r>
      <w:r w:rsidRPr="00E32A47">
        <w:rPr>
          <w:rFonts w:ascii="Times New Roman" w:hAnsi="Times New Roman" w:cs="Times New Roman"/>
          <w:sz w:val="24"/>
        </w:rPr>
        <w:t xml:space="preserve">, </w:t>
      </w:r>
      <w:bookmarkStart w:id="2" w:name="OLE_LINK3"/>
      <w:r w:rsidRPr="00E32A47">
        <w:rPr>
          <w:rFonts w:ascii="Times New Roman" w:hAnsi="Times New Roman" w:cs="Times New Roman"/>
          <w:sz w:val="24"/>
        </w:rPr>
        <w:t>ATRAID</w:t>
      </w:r>
      <w:r w:rsidRPr="00E32A47">
        <w:rPr>
          <w:rFonts w:ascii="Times New Roman" w:hAnsi="Times New Roman" w:cs="Times New Roman"/>
          <w:noProof/>
          <w:sz w:val="24"/>
          <w:vertAlign w:val="superscript"/>
        </w:rPr>
        <w:t>6</w:t>
      </w:r>
      <w:r w:rsidRPr="00E32A47">
        <w:rPr>
          <w:rFonts w:ascii="Times New Roman" w:hAnsi="Times New Roman" w:cs="Times New Roman"/>
          <w:sz w:val="24"/>
        </w:rPr>
        <w:t>, CD48</w:t>
      </w:r>
      <w:bookmarkEnd w:id="2"/>
      <w:r w:rsidRPr="00E32A47">
        <w:rPr>
          <w:rFonts w:ascii="Times New Roman" w:hAnsi="Times New Roman" w:cs="Times New Roman"/>
          <w:noProof/>
          <w:sz w:val="24"/>
          <w:vertAlign w:val="superscript"/>
        </w:rPr>
        <w:t>7</w:t>
      </w:r>
      <w:r w:rsidRPr="00E32A47">
        <w:rPr>
          <w:rFonts w:ascii="Times New Roman" w:hAnsi="Times New Roman" w:cs="Times New Roman"/>
          <w:sz w:val="24"/>
        </w:rPr>
        <w:t xml:space="preserve">, </w:t>
      </w:r>
      <w:bookmarkStart w:id="3" w:name="OLE_LINK2"/>
      <w:r w:rsidRPr="00E32A47">
        <w:rPr>
          <w:rFonts w:ascii="Times New Roman" w:hAnsi="Times New Roman" w:cs="Times New Roman"/>
          <w:sz w:val="24"/>
        </w:rPr>
        <w:t>TXNDC9</w:t>
      </w:r>
      <w:bookmarkEnd w:id="3"/>
      <w:r w:rsidRPr="00E32A47">
        <w:rPr>
          <w:rFonts w:ascii="Times New Roman" w:hAnsi="Times New Roman" w:cs="Times New Roman"/>
          <w:noProof/>
          <w:sz w:val="24"/>
          <w:vertAlign w:val="superscript"/>
        </w:rPr>
        <w:t>8</w:t>
      </w:r>
      <w:r w:rsidRPr="00E32A47">
        <w:rPr>
          <w:rFonts w:ascii="Times New Roman" w:hAnsi="Times New Roman" w:cs="Times New Roman"/>
          <w:sz w:val="24"/>
        </w:rPr>
        <w:t>, and DAG1</w:t>
      </w:r>
      <w:r w:rsidRPr="00E32A47">
        <w:rPr>
          <w:rFonts w:ascii="Times New Roman" w:hAnsi="Times New Roman" w:cs="Times New Roman"/>
          <w:noProof/>
          <w:sz w:val="24"/>
          <w:vertAlign w:val="superscript"/>
        </w:rPr>
        <w:t>9</w:t>
      </w:r>
      <w:r w:rsidRPr="00E32A47">
        <w:rPr>
          <w:rFonts w:ascii="Times New Roman" w:hAnsi="Times New Roman" w:cs="Times New Roman"/>
          <w:sz w:val="24"/>
        </w:rPr>
        <w:t>. Similarly, for overlapping latent features between TD and DNB (Extended Data</w:t>
      </w:r>
      <w:r w:rsidRPr="00E32A47">
        <w:rPr>
          <w:rFonts w:ascii="Times New Roman" w:hAnsi="Times New Roman" w:cs="Times New Roman"/>
          <w:b/>
          <w:bCs/>
          <w:sz w:val="24"/>
        </w:rPr>
        <w:t xml:space="preserve"> </w:t>
      </w:r>
      <w:r w:rsidRPr="00E32A47">
        <w:rPr>
          <w:rFonts w:ascii="Times New Roman" w:hAnsi="Times New Roman" w:cs="Times New Roman"/>
          <w:sz w:val="24"/>
        </w:rPr>
        <w:t>Fig. 6e), in silico perturbation via VAM, conducted after mediation analysis identified perturbation-sensitive candidate plasma molecules in cancer patients. These molecules comprise PSME2</w:t>
      </w:r>
      <w:r w:rsidRPr="00E32A47">
        <w:rPr>
          <w:rFonts w:ascii="Times New Roman" w:hAnsi="Times New Roman" w:cs="Times New Roman"/>
          <w:noProof/>
          <w:sz w:val="24"/>
          <w:vertAlign w:val="superscript"/>
        </w:rPr>
        <w:t>10</w:t>
      </w:r>
      <w:r w:rsidRPr="00E32A47">
        <w:rPr>
          <w:rFonts w:ascii="Times New Roman" w:hAnsi="Times New Roman" w:cs="Times New Roman"/>
          <w:sz w:val="24"/>
        </w:rPr>
        <w:t>, MAN1A2</w:t>
      </w:r>
      <w:r w:rsidRPr="00E32A47">
        <w:rPr>
          <w:rFonts w:ascii="Times New Roman" w:hAnsi="Times New Roman" w:cs="Times New Roman"/>
          <w:noProof/>
          <w:sz w:val="24"/>
          <w:vertAlign w:val="superscript"/>
        </w:rPr>
        <w:t>11</w:t>
      </w:r>
      <w:r w:rsidRPr="00E32A47">
        <w:rPr>
          <w:rFonts w:ascii="Times New Roman" w:hAnsi="Times New Roman" w:cs="Times New Roman"/>
          <w:sz w:val="24"/>
        </w:rPr>
        <w:t>, and TXNDC9</w:t>
      </w:r>
      <w:r w:rsidRPr="00E32A47">
        <w:rPr>
          <w:rFonts w:ascii="Times New Roman" w:hAnsi="Times New Roman" w:cs="Times New Roman"/>
          <w:noProof/>
          <w:sz w:val="24"/>
          <w:vertAlign w:val="superscript"/>
        </w:rPr>
        <w:t>12</w:t>
      </w:r>
      <w:r w:rsidRPr="00E32A47">
        <w:rPr>
          <w:rFonts w:ascii="Times New Roman" w:hAnsi="Times New Roman" w:cs="Times New Roman"/>
          <w:sz w:val="24"/>
        </w:rPr>
        <w:t xml:space="preserve"> in AML patients, as well as BTN3A2</w:t>
      </w:r>
      <w:r w:rsidRPr="00E32A47">
        <w:rPr>
          <w:rFonts w:ascii="Times New Roman" w:hAnsi="Times New Roman" w:cs="Times New Roman"/>
          <w:noProof/>
          <w:sz w:val="24"/>
          <w:vertAlign w:val="superscript"/>
        </w:rPr>
        <w:t>13</w:t>
      </w:r>
      <w:r w:rsidRPr="00E32A47">
        <w:rPr>
          <w:rFonts w:ascii="Times New Roman" w:hAnsi="Times New Roman" w:cs="Times New Roman"/>
          <w:sz w:val="24"/>
        </w:rPr>
        <w:t>, PSME2</w:t>
      </w:r>
      <w:r w:rsidRPr="00E32A47">
        <w:rPr>
          <w:rFonts w:ascii="Times New Roman" w:hAnsi="Times New Roman" w:cs="Times New Roman"/>
          <w:noProof/>
          <w:sz w:val="24"/>
          <w:vertAlign w:val="superscript"/>
        </w:rPr>
        <w:t>14</w:t>
      </w:r>
      <w:r w:rsidRPr="00E32A47">
        <w:rPr>
          <w:rFonts w:ascii="Times New Roman" w:hAnsi="Times New Roman" w:cs="Times New Roman"/>
          <w:sz w:val="24"/>
        </w:rPr>
        <w:t>, RNASET2</w:t>
      </w:r>
      <w:r w:rsidRPr="00E32A47">
        <w:rPr>
          <w:rFonts w:ascii="Times New Roman" w:hAnsi="Times New Roman" w:cs="Times New Roman"/>
          <w:noProof/>
          <w:sz w:val="24"/>
          <w:vertAlign w:val="superscript"/>
        </w:rPr>
        <w:t>15</w:t>
      </w:r>
      <w:r w:rsidRPr="00E32A47">
        <w:rPr>
          <w:rFonts w:ascii="Times New Roman" w:hAnsi="Times New Roman" w:cs="Times New Roman"/>
          <w:sz w:val="24"/>
        </w:rPr>
        <w:t>, and CD48</w:t>
      </w:r>
      <w:r w:rsidRPr="00E32A47">
        <w:rPr>
          <w:rFonts w:ascii="Times New Roman" w:hAnsi="Times New Roman" w:cs="Times New Roman"/>
          <w:noProof/>
          <w:sz w:val="24"/>
          <w:vertAlign w:val="superscript"/>
        </w:rPr>
        <w:t>16</w:t>
      </w:r>
      <w:r w:rsidRPr="00E32A47">
        <w:rPr>
          <w:rFonts w:ascii="Times New Roman" w:hAnsi="Times New Roman" w:cs="Times New Roman"/>
          <w:sz w:val="24"/>
        </w:rPr>
        <w:t xml:space="preserve"> in DLBCL patients. </w:t>
      </w:r>
      <w:bookmarkEnd w:id="0"/>
      <w:r w:rsidRPr="00E32A47">
        <w:rPr>
          <w:rFonts w:ascii="Times New Roman" w:hAnsi="Times New Roman" w:cs="Times New Roman"/>
          <w:sz w:val="24"/>
        </w:rPr>
        <w:t>Perturbation of the overlapping proteins between TD and DNB peaks primarily shifted samples along the axis orthogonal to the aging trajectory, suggesting that they are more consistent with tumor-specific processes than with modulation of the aging-aligned trajectory.</w:t>
      </w:r>
    </w:p>
    <w:p w14:paraId="0F71B206" w14:textId="77777777" w:rsidR="00BD3755" w:rsidRPr="00E32A47" w:rsidRDefault="00BD3755" w:rsidP="000F339E">
      <w:pPr>
        <w:spacing w:after="0" w:line="240" w:lineRule="auto"/>
        <w:jc w:val="both"/>
        <w:rPr>
          <w:rFonts w:ascii="Times New Roman" w:hAnsi="Times New Roman" w:cs="Times New Roman"/>
          <w:sz w:val="24"/>
        </w:rPr>
      </w:pPr>
    </w:p>
    <w:p w14:paraId="17C73E1D" w14:textId="77777777" w:rsidR="00BD3755" w:rsidRPr="00E32A47" w:rsidRDefault="00BD3755" w:rsidP="000F339E">
      <w:pPr>
        <w:spacing w:after="0" w:line="240" w:lineRule="auto"/>
        <w:jc w:val="both"/>
        <w:rPr>
          <w:rFonts w:ascii="Times New Roman" w:hAnsi="Times New Roman" w:cs="Times New Roman"/>
          <w:b/>
          <w:bCs/>
          <w:sz w:val="24"/>
        </w:rPr>
      </w:pPr>
      <w:r w:rsidRPr="00E32A47">
        <w:rPr>
          <w:rFonts w:ascii="Times New Roman" w:hAnsi="Times New Roman" w:cs="Times New Roman"/>
          <w:b/>
          <w:bCs/>
          <w:sz w:val="24"/>
        </w:rPr>
        <w:t>References</w:t>
      </w:r>
    </w:p>
    <w:p w14:paraId="51A69F46" w14:textId="767EF863"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w:t>
      </w:r>
      <w:r w:rsidRPr="00E32A47">
        <w:rPr>
          <w:rFonts w:ascii="Times New Roman" w:hAnsi="Times New Roman" w:cs="Times New Roman"/>
        </w:rPr>
        <w:tab/>
        <w:t>Van Hulle, C.</w:t>
      </w:r>
      <w:r w:rsidRPr="00E32A47">
        <w:rPr>
          <w:rFonts w:ascii="Times New Roman" w:hAnsi="Times New Roman" w:cs="Times New Roman"/>
          <w:i/>
        </w:rPr>
        <w:t xml:space="preserve"> et al.</w:t>
      </w:r>
      <w:r w:rsidRPr="00E32A47">
        <w:rPr>
          <w:rFonts w:ascii="Times New Roman" w:hAnsi="Times New Roman" w:cs="Times New Roman"/>
        </w:rPr>
        <w:t xml:space="preserve"> Elevated CSF angiopoietin-2 correlates with blood-brain barrier leakiness and markers of neuronal injury in early Alzheimer's disease. </w:t>
      </w:r>
      <w:r w:rsidRPr="00E32A47">
        <w:rPr>
          <w:rFonts w:ascii="Times New Roman" w:hAnsi="Times New Roman" w:cs="Times New Roman"/>
          <w:i/>
        </w:rPr>
        <w:t>Transl Psychiatry</w:t>
      </w:r>
      <w:r w:rsidRPr="00E32A47">
        <w:rPr>
          <w:rFonts w:ascii="Times New Roman" w:hAnsi="Times New Roman" w:cs="Times New Roman"/>
        </w:rPr>
        <w:t xml:space="preserve"> </w:t>
      </w:r>
      <w:r w:rsidRPr="00E32A47">
        <w:rPr>
          <w:rFonts w:ascii="Times New Roman" w:hAnsi="Times New Roman" w:cs="Times New Roman"/>
          <w:b/>
        </w:rPr>
        <w:t>14</w:t>
      </w:r>
      <w:r w:rsidRPr="00E32A47">
        <w:rPr>
          <w:rFonts w:ascii="Times New Roman" w:hAnsi="Times New Roman" w:cs="Times New Roman"/>
        </w:rPr>
        <w:t xml:space="preserve">, 3 (2024). </w:t>
      </w:r>
    </w:p>
    <w:p w14:paraId="003917E0" w14:textId="061491F0"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2</w:t>
      </w:r>
      <w:r w:rsidRPr="00E32A47">
        <w:rPr>
          <w:rFonts w:ascii="Times New Roman" w:hAnsi="Times New Roman" w:cs="Times New Roman"/>
        </w:rPr>
        <w:tab/>
        <w:t>Velez, J. I.</w:t>
      </w:r>
      <w:r w:rsidRPr="00E32A47">
        <w:rPr>
          <w:rFonts w:ascii="Times New Roman" w:hAnsi="Times New Roman" w:cs="Times New Roman"/>
          <w:i/>
        </w:rPr>
        <w:t xml:space="preserve"> et al.</w:t>
      </w:r>
      <w:r w:rsidRPr="00E32A47">
        <w:rPr>
          <w:rFonts w:ascii="Times New Roman" w:hAnsi="Times New Roman" w:cs="Times New Roman"/>
        </w:rPr>
        <w:t xml:space="preserve"> Familial Alzheimer's Disease and Recessive Modifiers. </w:t>
      </w:r>
      <w:r w:rsidRPr="00E32A47">
        <w:rPr>
          <w:rFonts w:ascii="Times New Roman" w:hAnsi="Times New Roman" w:cs="Times New Roman"/>
          <w:i/>
        </w:rPr>
        <w:t>Mol Neurobiol</w:t>
      </w:r>
      <w:r w:rsidRPr="00E32A47">
        <w:rPr>
          <w:rFonts w:ascii="Times New Roman" w:hAnsi="Times New Roman" w:cs="Times New Roman"/>
        </w:rPr>
        <w:t xml:space="preserve"> </w:t>
      </w:r>
      <w:r w:rsidRPr="00E32A47">
        <w:rPr>
          <w:rFonts w:ascii="Times New Roman" w:hAnsi="Times New Roman" w:cs="Times New Roman"/>
          <w:b/>
        </w:rPr>
        <w:t>57</w:t>
      </w:r>
      <w:r w:rsidRPr="00E32A47">
        <w:rPr>
          <w:rFonts w:ascii="Times New Roman" w:hAnsi="Times New Roman" w:cs="Times New Roman"/>
        </w:rPr>
        <w:t xml:space="preserve">, 1035-1043 (2020). </w:t>
      </w:r>
    </w:p>
    <w:p w14:paraId="29559EE1" w14:textId="63D6C3B6"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3</w:t>
      </w:r>
      <w:r w:rsidRPr="00E32A47">
        <w:rPr>
          <w:rFonts w:ascii="Times New Roman" w:hAnsi="Times New Roman" w:cs="Times New Roman"/>
        </w:rPr>
        <w:tab/>
        <w:t>Liu, Q.</w:t>
      </w:r>
      <w:r w:rsidRPr="00E32A47">
        <w:rPr>
          <w:rFonts w:ascii="Times New Roman" w:hAnsi="Times New Roman" w:cs="Times New Roman"/>
          <w:i/>
        </w:rPr>
        <w:t xml:space="preserve"> et al.</w:t>
      </w:r>
      <w:r w:rsidRPr="00E32A47">
        <w:rPr>
          <w:rFonts w:ascii="Times New Roman" w:hAnsi="Times New Roman" w:cs="Times New Roman"/>
        </w:rPr>
        <w:t xml:space="preserve"> Global characterization of mouse testis O-glycoproteome landscape during spermatogenesis. </w:t>
      </w:r>
      <w:r w:rsidRPr="00E32A47">
        <w:rPr>
          <w:rFonts w:ascii="Times New Roman" w:hAnsi="Times New Roman" w:cs="Times New Roman"/>
          <w:i/>
        </w:rPr>
        <w:t>Nat Commun</w:t>
      </w:r>
      <w:r w:rsidRPr="00E32A47">
        <w:rPr>
          <w:rFonts w:ascii="Times New Roman" w:hAnsi="Times New Roman" w:cs="Times New Roman"/>
        </w:rPr>
        <w:t xml:space="preserve"> </w:t>
      </w:r>
      <w:r w:rsidRPr="00E32A47">
        <w:rPr>
          <w:rFonts w:ascii="Times New Roman" w:hAnsi="Times New Roman" w:cs="Times New Roman"/>
          <w:b/>
        </w:rPr>
        <w:t>16</w:t>
      </w:r>
      <w:r w:rsidRPr="00E32A47">
        <w:rPr>
          <w:rFonts w:ascii="Times New Roman" w:hAnsi="Times New Roman" w:cs="Times New Roman"/>
        </w:rPr>
        <w:t>, 2676 (2025).</w:t>
      </w:r>
    </w:p>
    <w:p w14:paraId="54BCE18D" w14:textId="6058E1BF"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4</w:t>
      </w:r>
      <w:r w:rsidRPr="00E32A47">
        <w:rPr>
          <w:rFonts w:ascii="Times New Roman" w:hAnsi="Times New Roman" w:cs="Times New Roman"/>
        </w:rPr>
        <w:tab/>
        <w:t>Ma, L. Z.</w:t>
      </w:r>
      <w:r w:rsidRPr="00E32A47">
        <w:rPr>
          <w:rFonts w:ascii="Times New Roman" w:hAnsi="Times New Roman" w:cs="Times New Roman"/>
          <w:i/>
        </w:rPr>
        <w:t xml:space="preserve"> et al.</w:t>
      </w:r>
      <w:r w:rsidRPr="00E32A47">
        <w:rPr>
          <w:rFonts w:ascii="Times New Roman" w:hAnsi="Times New Roman" w:cs="Times New Roman"/>
        </w:rPr>
        <w:t xml:space="preserve"> Plasma proteomics identify novel biomarkers and dynamic patterns of biological aging. </w:t>
      </w:r>
      <w:r w:rsidRPr="00E32A47">
        <w:rPr>
          <w:rFonts w:ascii="Times New Roman" w:hAnsi="Times New Roman" w:cs="Times New Roman"/>
          <w:i/>
        </w:rPr>
        <w:t>J Adv Res</w:t>
      </w:r>
      <w:r w:rsidRPr="00E32A47">
        <w:rPr>
          <w:rFonts w:ascii="Times New Roman" w:hAnsi="Times New Roman" w:cs="Times New Roman"/>
        </w:rPr>
        <w:t xml:space="preserve"> </w:t>
      </w:r>
      <w:r w:rsidRPr="00E32A47">
        <w:rPr>
          <w:rFonts w:ascii="Times New Roman" w:hAnsi="Times New Roman" w:cs="Times New Roman"/>
          <w:b/>
        </w:rPr>
        <w:t>80</w:t>
      </w:r>
      <w:r w:rsidRPr="00E32A47">
        <w:rPr>
          <w:rFonts w:ascii="Times New Roman" w:hAnsi="Times New Roman" w:cs="Times New Roman"/>
        </w:rPr>
        <w:t>, 691-704 (2026).</w:t>
      </w:r>
    </w:p>
    <w:p w14:paraId="6D25AED8" w14:textId="44443DC5"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5</w:t>
      </w:r>
      <w:r w:rsidRPr="00E32A47">
        <w:rPr>
          <w:rFonts w:ascii="Times New Roman" w:hAnsi="Times New Roman" w:cs="Times New Roman"/>
        </w:rPr>
        <w:tab/>
        <w:t>Ding, Y.</w:t>
      </w:r>
      <w:r w:rsidRPr="00E32A47">
        <w:rPr>
          <w:rFonts w:ascii="Times New Roman" w:hAnsi="Times New Roman" w:cs="Times New Roman"/>
          <w:i/>
        </w:rPr>
        <w:t xml:space="preserve"> et al.</w:t>
      </w:r>
      <w:r w:rsidRPr="00E32A47">
        <w:rPr>
          <w:rFonts w:ascii="Times New Roman" w:hAnsi="Times New Roman" w:cs="Times New Roman"/>
        </w:rPr>
        <w:t xml:space="preserve"> Comprehensive human proteome profiles across a 50-year lifespan reveal aging trajectories and signatures. </w:t>
      </w:r>
      <w:r w:rsidRPr="00E32A47">
        <w:rPr>
          <w:rFonts w:ascii="Times New Roman" w:hAnsi="Times New Roman" w:cs="Times New Roman"/>
          <w:i/>
        </w:rPr>
        <w:t>Cell</w:t>
      </w:r>
      <w:r w:rsidRPr="00E32A47">
        <w:rPr>
          <w:rFonts w:ascii="Times New Roman" w:hAnsi="Times New Roman" w:cs="Times New Roman"/>
        </w:rPr>
        <w:t xml:space="preserve"> </w:t>
      </w:r>
      <w:r w:rsidRPr="00E32A47">
        <w:rPr>
          <w:rFonts w:ascii="Times New Roman" w:hAnsi="Times New Roman" w:cs="Times New Roman"/>
          <w:b/>
        </w:rPr>
        <w:t>188</w:t>
      </w:r>
      <w:r w:rsidRPr="00E32A47">
        <w:rPr>
          <w:rFonts w:ascii="Times New Roman" w:hAnsi="Times New Roman" w:cs="Times New Roman"/>
        </w:rPr>
        <w:t>, 5763-5784 e5726 (2025).</w:t>
      </w:r>
    </w:p>
    <w:p w14:paraId="59B17F64" w14:textId="2B5731AB"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6</w:t>
      </w:r>
      <w:r w:rsidRPr="00E32A47">
        <w:rPr>
          <w:rFonts w:ascii="Times New Roman" w:hAnsi="Times New Roman" w:cs="Times New Roman"/>
        </w:rPr>
        <w:tab/>
        <w:t>Surface, L. E.</w:t>
      </w:r>
      <w:r w:rsidRPr="00E32A47">
        <w:rPr>
          <w:rFonts w:ascii="Times New Roman" w:hAnsi="Times New Roman" w:cs="Times New Roman"/>
          <w:i/>
        </w:rPr>
        <w:t xml:space="preserve"> et al.</w:t>
      </w:r>
      <w:r w:rsidRPr="00E32A47">
        <w:rPr>
          <w:rFonts w:ascii="Times New Roman" w:hAnsi="Times New Roman" w:cs="Times New Roman"/>
        </w:rPr>
        <w:t xml:space="preserve"> </w:t>
      </w:r>
      <w:bookmarkStart w:id="4" w:name="OLE_LINK4"/>
      <w:r w:rsidRPr="00E32A47">
        <w:rPr>
          <w:rFonts w:ascii="Times New Roman" w:hAnsi="Times New Roman" w:cs="Times New Roman"/>
        </w:rPr>
        <w:t>ATRAID regulates the action of nitrogen-containing bisphosphonates on bone</w:t>
      </w:r>
      <w:bookmarkEnd w:id="4"/>
      <w:r w:rsidRPr="00E32A47">
        <w:rPr>
          <w:rFonts w:ascii="Times New Roman" w:hAnsi="Times New Roman" w:cs="Times New Roman"/>
        </w:rPr>
        <w:t xml:space="preserve">. </w:t>
      </w:r>
      <w:r w:rsidRPr="00E32A47">
        <w:rPr>
          <w:rFonts w:ascii="Times New Roman" w:hAnsi="Times New Roman" w:cs="Times New Roman"/>
          <w:i/>
        </w:rPr>
        <w:t>Sci Transl Med</w:t>
      </w:r>
      <w:r w:rsidRPr="00E32A47">
        <w:rPr>
          <w:rFonts w:ascii="Times New Roman" w:hAnsi="Times New Roman" w:cs="Times New Roman"/>
        </w:rPr>
        <w:t xml:space="preserve"> </w:t>
      </w:r>
      <w:r w:rsidRPr="00E32A47">
        <w:rPr>
          <w:rFonts w:ascii="Times New Roman" w:hAnsi="Times New Roman" w:cs="Times New Roman"/>
          <w:b/>
        </w:rPr>
        <w:t>12</w:t>
      </w:r>
      <w:r w:rsidRPr="00E32A47">
        <w:rPr>
          <w:rFonts w:ascii="Times New Roman" w:hAnsi="Times New Roman" w:cs="Times New Roman"/>
        </w:rPr>
        <w:t xml:space="preserve"> </w:t>
      </w:r>
      <w:r w:rsidR="00EB5FA9" w:rsidRPr="00EB5FA9">
        <w:rPr>
          <w:rFonts w:ascii="Times New Roman" w:hAnsi="Times New Roman" w:cs="Times New Roman"/>
        </w:rPr>
        <w:t xml:space="preserve">eaav9166 </w:t>
      </w:r>
      <w:r w:rsidRPr="00E32A47">
        <w:rPr>
          <w:rFonts w:ascii="Times New Roman" w:hAnsi="Times New Roman" w:cs="Times New Roman"/>
        </w:rPr>
        <w:t>(2020).</w:t>
      </w:r>
    </w:p>
    <w:p w14:paraId="097100F7" w14:textId="2F2E438A"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7</w:t>
      </w:r>
      <w:r w:rsidRPr="00E32A47">
        <w:rPr>
          <w:rFonts w:ascii="Times New Roman" w:hAnsi="Times New Roman" w:cs="Times New Roman"/>
        </w:rPr>
        <w:tab/>
        <w:t xml:space="preserve">McArdel, S. L., Terhorst, C. &amp; Sharpe, A. H. Roles of CD48 in regulating immunity and tolerance. </w:t>
      </w:r>
      <w:r w:rsidRPr="00E32A47">
        <w:rPr>
          <w:rFonts w:ascii="Times New Roman" w:hAnsi="Times New Roman" w:cs="Times New Roman"/>
          <w:i/>
        </w:rPr>
        <w:t>Clin Immunol</w:t>
      </w:r>
      <w:r w:rsidRPr="00E32A47">
        <w:rPr>
          <w:rFonts w:ascii="Times New Roman" w:hAnsi="Times New Roman" w:cs="Times New Roman"/>
        </w:rPr>
        <w:t xml:space="preserve"> </w:t>
      </w:r>
      <w:r w:rsidRPr="00E32A47">
        <w:rPr>
          <w:rFonts w:ascii="Times New Roman" w:hAnsi="Times New Roman" w:cs="Times New Roman"/>
          <w:b/>
        </w:rPr>
        <w:t>164</w:t>
      </w:r>
      <w:r w:rsidRPr="00E32A47">
        <w:rPr>
          <w:rFonts w:ascii="Times New Roman" w:hAnsi="Times New Roman" w:cs="Times New Roman"/>
        </w:rPr>
        <w:t xml:space="preserve">, 10-20 (2016). </w:t>
      </w:r>
    </w:p>
    <w:p w14:paraId="4F3EAAD8" w14:textId="77777777"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8</w:t>
      </w:r>
      <w:r w:rsidRPr="00E32A47">
        <w:rPr>
          <w:rFonts w:ascii="Times New Roman" w:hAnsi="Times New Roman" w:cs="Times New Roman"/>
        </w:rPr>
        <w:tab/>
        <w:t>Zheng, T.</w:t>
      </w:r>
      <w:r w:rsidRPr="00E32A47">
        <w:rPr>
          <w:rFonts w:ascii="Times New Roman" w:hAnsi="Times New Roman" w:cs="Times New Roman"/>
          <w:i/>
        </w:rPr>
        <w:t xml:space="preserve"> et al.</w:t>
      </w:r>
      <w:r w:rsidRPr="00E32A47">
        <w:rPr>
          <w:rFonts w:ascii="Times New Roman" w:hAnsi="Times New Roman" w:cs="Times New Roman"/>
        </w:rPr>
        <w:t xml:space="preserve"> Knockdown of TXNDC9 induces apoptosis and autophagy in glioma and mediates cell differentiation by p53 activation. </w:t>
      </w:r>
      <w:r w:rsidRPr="00E32A47">
        <w:rPr>
          <w:rFonts w:ascii="Times New Roman" w:hAnsi="Times New Roman" w:cs="Times New Roman"/>
          <w:i/>
        </w:rPr>
        <w:t>Aging (Albany NY)</w:t>
      </w:r>
      <w:r w:rsidRPr="00E32A47">
        <w:rPr>
          <w:rFonts w:ascii="Times New Roman" w:hAnsi="Times New Roman" w:cs="Times New Roman"/>
        </w:rPr>
        <w:t xml:space="preserve"> </w:t>
      </w:r>
      <w:r w:rsidRPr="00E32A47">
        <w:rPr>
          <w:rFonts w:ascii="Times New Roman" w:hAnsi="Times New Roman" w:cs="Times New Roman"/>
          <w:b/>
        </w:rPr>
        <w:t>12</w:t>
      </w:r>
      <w:r w:rsidRPr="00E32A47">
        <w:rPr>
          <w:rFonts w:ascii="Times New Roman" w:hAnsi="Times New Roman" w:cs="Times New Roman"/>
        </w:rPr>
        <w:t xml:space="preserve">, 18649 (2020). </w:t>
      </w:r>
    </w:p>
    <w:p w14:paraId="322CF344" w14:textId="77777777"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9</w:t>
      </w:r>
      <w:r w:rsidRPr="00E32A47">
        <w:rPr>
          <w:rFonts w:ascii="Times New Roman" w:hAnsi="Times New Roman" w:cs="Times New Roman"/>
        </w:rPr>
        <w:tab/>
        <w:t>Cohn, R. D.</w:t>
      </w:r>
      <w:r w:rsidRPr="00E32A47">
        <w:rPr>
          <w:rFonts w:ascii="Times New Roman" w:hAnsi="Times New Roman" w:cs="Times New Roman"/>
          <w:i/>
        </w:rPr>
        <w:t xml:space="preserve"> et al.</w:t>
      </w:r>
      <w:r w:rsidRPr="00E32A47">
        <w:rPr>
          <w:rFonts w:ascii="Times New Roman" w:hAnsi="Times New Roman" w:cs="Times New Roman"/>
        </w:rPr>
        <w:t xml:space="preserve"> Disruption of DAG1 in differentiated skeletal muscle reveals a role </w:t>
      </w:r>
      <w:r w:rsidRPr="00E32A47">
        <w:rPr>
          <w:rFonts w:ascii="Times New Roman" w:hAnsi="Times New Roman" w:cs="Times New Roman"/>
        </w:rPr>
        <w:lastRenderedPageBreak/>
        <w:t xml:space="preserve">for dystroglycan in muscle regeneration. </w:t>
      </w:r>
      <w:r w:rsidRPr="00E32A47">
        <w:rPr>
          <w:rFonts w:ascii="Times New Roman" w:hAnsi="Times New Roman" w:cs="Times New Roman"/>
          <w:i/>
        </w:rPr>
        <w:t>Cell</w:t>
      </w:r>
      <w:r w:rsidRPr="00E32A47">
        <w:rPr>
          <w:rFonts w:ascii="Times New Roman" w:hAnsi="Times New Roman" w:cs="Times New Roman"/>
        </w:rPr>
        <w:t xml:space="preserve"> </w:t>
      </w:r>
      <w:r w:rsidRPr="00E32A47">
        <w:rPr>
          <w:rFonts w:ascii="Times New Roman" w:hAnsi="Times New Roman" w:cs="Times New Roman"/>
          <w:b/>
        </w:rPr>
        <w:t>110</w:t>
      </w:r>
      <w:r w:rsidRPr="00E32A47">
        <w:rPr>
          <w:rFonts w:ascii="Times New Roman" w:hAnsi="Times New Roman" w:cs="Times New Roman"/>
        </w:rPr>
        <w:t xml:space="preserve">, 639-648 (2002). </w:t>
      </w:r>
    </w:p>
    <w:p w14:paraId="017D4688" w14:textId="1C17B777"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10</w:t>
      </w:r>
      <w:r w:rsidRPr="00E32A47">
        <w:rPr>
          <w:rFonts w:ascii="Times New Roman" w:hAnsi="Times New Roman" w:cs="Times New Roman"/>
        </w:rPr>
        <w:tab/>
        <w:t>Qiu, C.</w:t>
      </w:r>
      <w:r w:rsidRPr="00E32A47">
        <w:rPr>
          <w:rFonts w:ascii="Times New Roman" w:hAnsi="Times New Roman" w:cs="Times New Roman"/>
          <w:i/>
        </w:rPr>
        <w:t xml:space="preserve"> et al.</w:t>
      </w:r>
      <w:r w:rsidRPr="00E32A47">
        <w:rPr>
          <w:rFonts w:ascii="Times New Roman" w:hAnsi="Times New Roman" w:cs="Times New Roman"/>
        </w:rPr>
        <w:t xml:space="preserve"> Construction and validation of a hypoxia-related gene signature to predict the prognosis of breast cancer. </w:t>
      </w:r>
      <w:r w:rsidRPr="00E32A47">
        <w:rPr>
          <w:rFonts w:ascii="Times New Roman" w:hAnsi="Times New Roman" w:cs="Times New Roman"/>
          <w:i/>
        </w:rPr>
        <w:t>BMC Cancer</w:t>
      </w:r>
      <w:r w:rsidRPr="00E32A47">
        <w:rPr>
          <w:rFonts w:ascii="Times New Roman" w:hAnsi="Times New Roman" w:cs="Times New Roman"/>
        </w:rPr>
        <w:t xml:space="preserve"> </w:t>
      </w:r>
      <w:r w:rsidRPr="00E32A47">
        <w:rPr>
          <w:rFonts w:ascii="Times New Roman" w:hAnsi="Times New Roman" w:cs="Times New Roman"/>
          <w:b/>
        </w:rPr>
        <w:t>24</w:t>
      </w:r>
      <w:r w:rsidRPr="00E32A47">
        <w:rPr>
          <w:rFonts w:ascii="Times New Roman" w:hAnsi="Times New Roman" w:cs="Times New Roman"/>
        </w:rPr>
        <w:t xml:space="preserve"> (2024).</w:t>
      </w:r>
    </w:p>
    <w:p w14:paraId="3E07862E" w14:textId="4F1E93DA"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11</w:t>
      </w:r>
      <w:r w:rsidRPr="00E32A47">
        <w:rPr>
          <w:rFonts w:ascii="Times New Roman" w:hAnsi="Times New Roman" w:cs="Times New Roman"/>
        </w:rPr>
        <w:tab/>
        <w:t>Kong, Y.</w:t>
      </w:r>
      <w:r w:rsidRPr="00E32A47">
        <w:rPr>
          <w:rFonts w:ascii="Times New Roman" w:hAnsi="Times New Roman" w:cs="Times New Roman"/>
          <w:i/>
        </w:rPr>
        <w:t xml:space="preserve"> et al.</w:t>
      </w:r>
      <w:r w:rsidRPr="00E32A47">
        <w:rPr>
          <w:rFonts w:ascii="Times New Roman" w:hAnsi="Times New Roman" w:cs="Times New Roman"/>
        </w:rPr>
        <w:t xml:space="preserve"> Linear and non-linear proteome-wide association studies provide novel insight into venous thromboembolism. </w:t>
      </w:r>
      <w:r w:rsidRPr="00E32A47">
        <w:rPr>
          <w:rFonts w:ascii="Times New Roman" w:hAnsi="Times New Roman" w:cs="Times New Roman"/>
          <w:i/>
        </w:rPr>
        <w:t>Nat Commun</w:t>
      </w:r>
      <w:r w:rsidRPr="00E32A47">
        <w:rPr>
          <w:rFonts w:ascii="Times New Roman" w:hAnsi="Times New Roman" w:cs="Times New Roman"/>
        </w:rPr>
        <w:t xml:space="preserve"> </w:t>
      </w:r>
      <w:r w:rsidRPr="00E32A47">
        <w:rPr>
          <w:rFonts w:ascii="Times New Roman" w:hAnsi="Times New Roman" w:cs="Times New Roman"/>
          <w:b/>
        </w:rPr>
        <w:t>16</w:t>
      </w:r>
      <w:r w:rsidRPr="00E32A47">
        <w:rPr>
          <w:rFonts w:ascii="Times New Roman" w:hAnsi="Times New Roman" w:cs="Times New Roman"/>
        </w:rPr>
        <w:t xml:space="preserve">, 6517 (2025). </w:t>
      </w:r>
    </w:p>
    <w:p w14:paraId="41B36416" w14:textId="4B9BAFED"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12</w:t>
      </w:r>
      <w:r w:rsidRPr="00E32A47">
        <w:rPr>
          <w:rFonts w:ascii="Times New Roman" w:hAnsi="Times New Roman" w:cs="Times New Roman"/>
        </w:rPr>
        <w:tab/>
        <w:t xml:space="preserve">Qun-Cao, Y., Nan, H., Rui-Hua, L. &amp; Yuan-Yuan, D. High level of TXNDC9 predicts poor prognosis and contributes to the NF-κB-regulated metastatic potential in gastric cancer. </w:t>
      </w:r>
      <w:r w:rsidRPr="00E32A47">
        <w:rPr>
          <w:rFonts w:ascii="Times New Roman" w:hAnsi="Times New Roman" w:cs="Times New Roman"/>
          <w:i/>
        </w:rPr>
        <w:t>Neoplasma</w:t>
      </w:r>
      <w:r w:rsidRPr="00E32A47">
        <w:rPr>
          <w:rFonts w:ascii="Times New Roman" w:hAnsi="Times New Roman" w:cs="Times New Roman"/>
        </w:rPr>
        <w:t xml:space="preserve"> </w:t>
      </w:r>
      <w:r w:rsidRPr="00E32A47">
        <w:rPr>
          <w:rFonts w:ascii="Times New Roman" w:hAnsi="Times New Roman" w:cs="Times New Roman"/>
          <w:b/>
        </w:rPr>
        <w:t>69</w:t>
      </w:r>
      <w:r w:rsidR="00BC4CC0">
        <w:rPr>
          <w:rFonts w:ascii="Times New Roman" w:hAnsi="Times New Roman" w:cs="Times New Roman" w:hint="eastAsia"/>
        </w:rPr>
        <w:t xml:space="preserve">, </w:t>
      </w:r>
      <w:r w:rsidR="00BC4CC0" w:rsidRPr="00BC4CC0">
        <w:rPr>
          <w:rFonts w:ascii="Times New Roman" w:hAnsi="Times New Roman" w:cs="Times New Roman"/>
        </w:rPr>
        <w:t xml:space="preserve">103-112 </w:t>
      </w:r>
      <w:r w:rsidRPr="00E32A47">
        <w:rPr>
          <w:rFonts w:ascii="Times New Roman" w:hAnsi="Times New Roman" w:cs="Times New Roman"/>
        </w:rPr>
        <w:t xml:space="preserve">(2022). </w:t>
      </w:r>
    </w:p>
    <w:p w14:paraId="1A1368FA" w14:textId="68895E41"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13</w:t>
      </w:r>
      <w:r w:rsidRPr="00E32A47">
        <w:rPr>
          <w:rFonts w:ascii="Times New Roman" w:hAnsi="Times New Roman" w:cs="Times New Roman"/>
        </w:rPr>
        <w:tab/>
        <w:t>Went, M.</w:t>
      </w:r>
      <w:r w:rsidRPr="00E32A47">
        <w:rPr>
          <w:rFonts w:ascii="Times New Roman" w:hAnsi="Times New Roman" w:cs="Times New Roman"/>
          <w:i/>
        </w:rPr>
        <w:t xml:space="preserve"> et al.</w:t>
      </w:r>
      <w:r w:rsidRPr="00E32A47">
        <w:rPr>
          <w:rFonts w:ascii="Times New Roman" w:hAnsi="Times New Roman" w:cs="Times New Roman"/>
        </w:rPr>
        <w:t xml:space="preserve"> Proteome-wide Mendelian randomization identifies protein associations and therapeutic targets for B-cell malignancy. </w:t>
      </w:r>
      <w:r w:rsidRPr="00E32A47">
        <w:rPr>
          <w:rFonts w:ascii="Times New Roman" w:hAnsi="Times New Roman" w:cs="Times New Roman"/>
          <w:i/>
        </w:rPr>
        <w:t>Blood Neoplasia</w:t>
      </w:r>
      <w:r w:rsidRPr="00E32A47">
        <w:rPr>
          <w:rFonts w:ascii="Times New Roman" w:hAnsi="Times New Roman" w:cs="Times New Roman"/>
        </w:rPr>
        <w:t xml:space="preserve"> </w:t>
      </w:r>
      <w:r w:rsidRPr="00E32A47">
        <w:rPr>
          <w:rFonts w:ascii="Times New Roman" w:hAnsi="Times New Roman" w:cs="Times New Roman"/>
          <w:b/>
        </w:rPr>
        <w:t>3</w:t>
      </w:r>
      <w:r w:rsidR="00BC4CC0">
        <w:rPr>
          <w:rFonts w:ascii="Times New Roman" w:hAnsi="Times New Roman" w:cs="Times New Roman" w:hint="eastAsia"/>
        </w:rPr>
        <w:t xml:space="preserve">, </w:t>
      </w:r>
      <w:r w:rsidR="00BC4CC0" w:rsidRPr="00BC4CC0">
        <w:rPr>
          <w:rFonts w:ascii="Times New Roman" w:hAnsi="Times New Roman" w:cs="Times New Roman"/>
        </w:rPr>
        <w:t xml:space="preserve">100191 </w:t>
      </w:r>
      <w:r w:rsidRPr="00E32A47">
        <w:rPr>
          <w:rFonts w:ascii="Times New Roman" w:hAnsi="Times New Roman" w:cs="Times New Roman"/>
        </w:rPr>
        <w:t>(2026).</w:t>
      </w:r>
    </w:p>
    <w:p w14:paraId="75AEEF25" w14:textId="1FE80205"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14</w:t>
      </w:r>
      <w:r w:rsidRPr="00E32A47">
        <w:rPr>
          <w:rFonts w:ascii="Times New Roman" w:hAnsi="Times New Roman" w:cs="Times New Roman"/>
        </w:rPr>
        <w:tab/>
        <w:t>Li, R.</w:t>
      </w:r>
      <w:r w:rsidRPr="00E32A47">
        <w:rPr>
          <w:rFonts w:ascii="Times New Roman" w:hAnsi="Times New Roman" w:cs="Times New Roman"/>
          <w:i/>
        </w:rPr>
        <w:t xml:space="preserve"> et al.</w:t>
      </w:r>
      <w:r w:rsidRPr="00E32A47">
        <w:rPr>
          <w:rFonts w:ascii="Times New Roman" w:hAnsi="Times New Roman" w:cs="Times New Roman"/>
        </w:rPr>
        <w:t xml:space="preserve"> PSME2 offers value as a biomarker of M1 macrophage infiltration in pan-cancer and inhibits osteosarcoma malignant phenotypes. </w:t>
      </w:r>
      <w:r w:rsidR="00BC4CC0" w:rsidRPr="00BC4CC0">
        <w:rPr>
          <w:rFonts w:ascii="Times New Roman" w:hAnsi="Times New Roman" w:cs="Times New Roman"/>
          <w:i/>
        </w:rPr>
        <w:t>Int J Biol Sci</w:t>
      </w:r>
      <w:r w:rsidRPr="00E32A47">
        <w:rPr>
          <w:rFonts w:ascii="Times New Roman" w:hAnsi="Times New Roman" w:cs="Times New Roman"/>
        </w:rPr>
        <w:t xml:space="preserve"> </w:t>
      </w:r>
      <w:r w:rsidRPr="00E32A47">
        <w:rPr>
          <w:rFonts w:ascii="Times New Roman" w:hAnsi="Times New Roman" w:cs="Times New Roman"/>
          <w:b/>
        </w:rPr>
        <w:t>20</w:t>
      </w:r>
      <w:r w:rsidRPr="00E32A47">
        <w:rPr>
          <w:rFonts w:ascii="Times New Roman" w:hAnsi="Times New Roman" w:cs="Times New Roman"/>
        </w:rPr>
        <w:t xml:space="preserve">, 1452 (2024). </w:t>
      </w:r>
    </w:p>
    <w:p w14:paraId="531964B6" w14:textId="3CAE764E" w:rsidR="00BD3755" w:rsidRPr="00E32A47" w:rsidRDefault="00BD3755" w:rsidP="0060058F">
      <w:pPr>
        <w:pStyle w:val="EndNoteBibliography"/>
        <w:spacing w:after="0"/>
        <w:ind w:left="720" w:hanging="720"/>
        <w:rPr>
          <w:rFonts w:ascii="Times New Roman" w:hAnsi="Times New Roman" w:cs="Times New Roman"/>
        </w:rPr>
      </w:pPr>
      <w:r w:rsidRPr="00E32A47">
        <w:rPr>
          <w:rFonts w:ascii="Times New Roman" w:hAnsi="Times New Roman" w:cs="Times New Roman"/>
        </w:rPr>
        <w:t>15</w:t>
      </w:r>
      <w:r w:rsidRPr="00E32A47">
        <w:rPr>
          <w:rFonts w:ascii="Times New Roman" w:hAnsi="Times New Roman" w:cs="Times New Roman"/>
        </w:rPr>
        <w:tab/>
        <w:t>Patel, S.</w:t>
      </w:r>
      <w:r w:rsidRPr="00E32A47">
        <w:rPr>
          <w:rFonts w:ascii="Times New Roman" w:hAnsi="Times New Roman" w:cs="Times New Roman"/>
          <w:i/>
        </w:rPr>
        <w:t xml:space="preserve"> et al.</w:t>
      </w:r>
      <w:r w:rsidRPr="00E32A47">
        <w:rPr>
          <w:rFonts w:ascii="Times New Roman" w:hAnsi="Times New Roman" w:cs="Times New Roman"/>
        </w:rPr>
        <w:t xml:space="preserve"> RNASET2—an autoantigen in anaplastic large cell lymphoma identified by protein array analysis. </w:t>
      </w:r>
      <w:r w:rsidR="00BC4CC0" w:rsidRPr="00BC4CC0">
        <w:rPr>
          <w:rFonts w:ascii="Times New Roman" w:hAnsi="Times New Roman" w:cs="Times New Roman"/>
          <w:i/>
        </w:rPr>
        <w:t>J Proteomics</w:t>
      </w:r>
      <w:r w:rsidRPr="00E32A47">
        <w:rPr>
          <w:rFonts w:ascii="Times New Roman" w:hAnsi="Times New Roman" w:cs="Times New Roman"/>
        </w:rPr>
        <w:t xml:space="preserve"> </w:t>
      </w:r>
      <w:r w:rsidRPr="00E32A47">
        <w:rPr>
          <w:rFonts w:ascii="Times New Roman" w:hAnsi="Times New Roman" w:cs="Times New Roman"/>
          <w:b/>
        </w:rPr>
        <w:t>75</w:t>
      </w:r>
      <w:r w:rsidRPr="00E32A47">
        <w:rPr>
          <w:rFonts w:ascii="Times New Roman" w:hAnsi="Times New Roman" w:cs="Times New Roman"/>
        </w:rPr>
        <w:t xml:space="preserve">, 5279-5292 (2012). </w:t>
      </w:r>
    </w:p>
    <w:p w14:paraId="10C15D40" w14:textId="3E4095C4" w:rsidR="00FF05D0" w:rsidRPr="00E32A47" w:rsidRDefault="00BD3755" w:rsidP="00E32A47">
      <w:pPr>
        <w:pStyle w:val="EndNoteBibliography"/>
        <w:ind w:left="720" w:hanging="720"/>
        <w:rPr>
          <w:rFonts w:ascii="Times New Roman" w:hAnsi="Times New Roman" w:cs="Times New Roman"/>
        </w:rPr>
      </w:pPr>
      <w:r w:rsidRPr="00E32A47">
        <w:rPr>
          <w:rFonts w:ascii="Times New Roman" w:hAnsi="Times New Roman" w:cs="Times New Roman"/>
        </w:rPr>
        <w:t>16</w:t>
      </w:r>
      <w:r w:rsidRPr="00E32A47">
        <w:rPr>
          <w:rFonts w:ascii="Times New Roman" w:hAnsi="Times New Roman" w:cs="Times New Roman"/>
        </w:rPr>
        <w:tab/>
        <w:t>Zhang, W.</w:t>
      </w:r>
      <w:r w:rsidRPr="00E32A47">
        <w:rPr>
          <w:rFonts w:ascii="Times New Roman" w:hAnsi="Times New Roman" w:cs="Times New Roman"/>
          <w:i/>
        </w:rPr>
        <w:t xml:space="preserve"> et al.</w:t>
      </w:r>
      <w:r w:rsidRPr="00E32A47">
        <w:rPr>
          <w:rFonts w:ascii="Times New Roman" w:hAnsi="Times New Roman" w:cs="Times New Roman"/>
        </w:rPr>
        <w:t xml:space="preserve"> Molecular Mechanistic Insights and Real-World Clinical Outcomes of Selinexor in Diffuse Large B-Cell Lymphoma. </w:t>
      </w:r>
      <w:r w:rsidRPr="00E32A47">
        <w:rPr>
          <w:rFonts w:ascii="Times New Roman" w:hAnsi="Times New Roman" w:cs="Times New Roman"/>
          <w:i/>
        </w:rPr>
        <w:t>Blood</w:t>
      </w:r>
      <w:r w:rsidRPr="00E32A47">
        <w:rPr>
          <w:rFonts w:ascii="Times New Roman" w:hAnsi="Times New Roman" w:cs="Times New Roman"/>
        </w:rPr>
        <w:t xml:space="preserve"> </w:t>
      </w:r>
      <w:r w:rsidRPr="00E32A47">
        <w:rPr>
          <w:rFonts w:ascii="Times New Roman" w:hAnsi="Times New Roman" w:cs="Times New Roman"/>
          <w:b/>
        </w:rPr>
        <w:t>144</w:t>
      </w:r>
      <w:r w:rsidRPr="00E32A47">
        <w:rPr>
          <w:rFonts w:ascii="Times New Roman" w:hAnsi="Times New Roman" w:cs="Times New Roman"/>
        </w:rPr>
        <w:t>, 6184 (2024).</w:t>
      </w:r>
    </w:p>
    <w:sectPr w:rsidR="00FF05D0" w:rsidRPr="00E32A47" w:rsidSect="00BD3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D3755"/>
    <w:rsid w:val="000004BA"/>
    <w:rsid w:val="00081172"/>
    <w:rsid w:val="000B6879"/>
    <w:rsid w:val="004132A6"/>
    <w:rsid w:val="005B7412"/>
    <w:rsid w:val="00A151CB"/>
    <w:rsid w:val="00B55212"/>
    <w:rsid w:val="00BC4CC0"/>
    <w:rsid w:val="00BD3755"/>
    <w:rsid w:val="00E32A47"/>
    <w:rsid w:val="00E55F81"/>
    <w:rsid w:val="00EB5FA9"/>
    <w:rsid w:val="00FF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B4466"/>
  <w14:defaultImageDpi w14:val="32767"/>
  <w15:chartTrackingRefBased/>
  <w15:docId w15:val="{1FD40603-80A2-45D2-A8E5-B980CF65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755"/>
    <w:pPr>
      <w:widowControl w:val="0"/>
    </w:pPr>
  </w:style>
  <w:style w:type="paragraph" w:styleId="1">
    <w:name w:val="heading 1"/>
    <w:basedOn w:val="a"/>
    <w:next w:val="a"/>
    <w:link w:val="10"/>
    <w:uiPriority w:val="9"/>
    <w:qFormat/>
    <w:rsid w:val="00BD37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37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37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37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375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D375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3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7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37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37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3755"/>
    <w:rPr>
      <w:rFonts w:cstheme="majorBidi"/>
      <w:color w:val="0F4761" w:themeColor="accent1" w:themeShade="BF"/>
      <w:sz w:val="28"/>
      <w:szCs w:val="28"/>
    </w:rPr>
  </w:style>
  <w:style w:type="character" w:customStyle="1" w:styleId="50">
    <w:name w:val="标题 5 字符"/>
    <w:basedOn w:val="a0"/>
    <w:link w:val="5"/>
    <w:uiPriority w:val="9"/>
    <w:semiHidden/>
    <w:rsid w:val="00BD3755"/>
    <w:rPr>
      <w:rFonts w:cstheme="majorBidi"/>
      <w:color w:val="0F4761" w:themeColor="accent1" w:themeShade="BF"/>
      <w:sz w:val="24"/>
    </w:rPr>
  </w:style>
  <w:style w:type="character" w:customStyle="1" w:styleId="60">
    <w:name w:val="标题 6 字符"/>
    <w:basedOn w:val="a0"/>
    <w:link w:val="6"/>
    <w:uiPriority w:val="9"/>
    <w:semiHidden/>
    <w:rsid w:val="00BD3755"/>
    <w:rPr>
      <w:rFonts w:cstheme="majorBidi"/>
      <w:b/>
      <w:bCs/>
      <w:color w:val="0F4761" w:themeColor="accent1" w:themeShade="BF"/>
    </w:rPr>
  </w:style>
  <w:style w:type="character" w:customStyle="1" w:styleId="70">
    <w:name w:val="标题 7 字符"/>
    <w:basedOn w:val="a0"/>
    <w:link w:val="7"/>
    <w:uiPriority w:val="9"/>
    <w:semiHidden/>
    <w:rsid w:val="00BD3755"/>
    <w:rPr>
      <w:rFonts w:cstheme="majorBidi"/>
      <w:b/>
      <w:bCs/>
      <w:color w:val="595959" w:themeColor="text1" w:themeTint="A6"/>
    </w:rPr>
  </w:style>
  <w:style w:type="character" w:customStyle="1" w:styleId="80">
    <w:name w:val="标题 8 字符"/>
    <w:basedOn w:val="a0"/>
    <w:link w:val="8"/>
    <w:uiPriority w:val="9"/>
    <w:semiHidden/>
    <w:rsid w:val="00BD3755"/>
    <w:rPr>
      <w:rFonts w:cstheme="majorBidi"/>
      <w:color w:val="595959" w:themeColor="text1" w:themeTint="A6"/>
    </w:rPr>
  </w:style>
  <w:style w:type="character" w:customStyle="1" w:styleId="90">
    <w:name w:val="标题 9 字符"/>
    <w:basedOn w:val="a0"/>
    <w:link w:val="9"/>
    <w:uiPriority w:val="9"/>
    <w:semiHidden/>
    <w:rsid w:val="00BD3755"/>
    <w:rPr>
      <w:rFonts w:eastAsiaTheme="majorEastAsia" w:cstheme="majorBidi"/>
      <w:color w:val="595959" w:themeColor="text1" w:themeTint="A6"/>
    </w:rPr>
  </w:style>
  <w:style w:type="paragraph" w:styleId="a3">
    <w:name w:val="Title"/>
    <w:basedOn w:val="a"/>
    <w:next w:val="a"/>
    <w:link w:val="a4"/>
    <w:uiPriority w:val="10"/>
    <w:qFormat/>
    <w:rsid w:val="00BD3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755"/>
    <w:pPr>
      <w:spacing w:before="160"/>
      <w:jc w:val="center"/>
    </w:pPr>
    <w:rPr>
      <w:i/>
      <w:iCs/>
      <w:color w:val="404040" w:themeColor="text1" w:themeTint="BF"/>
    </w:rPr>
  </w:style>
  <w:style w:type="character" w:customStyle="1" w:styleId="a8">
    <w:name w:val="引用 字符"/>
    <w:basedOn w:val="a0"/>
    <w:link w:val="a7"/>
    <w:uiPriority w:val="29"/>
    <w:rsid w:val="00BD3755"/>
    <w:rPr>
      <w:i/>
      <w:iCs/>
      <w:color w:val="404040" w:themeColor="text1" w:themeTint="BF"/>
    </w:rPr>
  </w:style>
  <w:style w:type="paragraph" w:styleId="a9">
    <w:name w:val="List Paragraph"/>
    <w:basedOn w:val="a"/>
    <w:uiPriority w:val="34"/>
    <w:qFormat/>
    <w:rsid w:val="00BD3755"/>
    <w:pPr>
      <w:ind w:left="720"/>
      <w:contextualSpacing/>
    </w:pPr>
  </w:style>
  <w:style w:type="character" w:styleId="aa">
    <w:name w:val="Intense Emphasis"/>
    <w:basedOn w:val="a0"/>
    <w:uiPriority w:val="21"/>
    <w:qFormat/>
    <w:rsid w:val="00BD3755"/>
    <w:rPr>
      <w:i/>
      <w:iCs/>
      <w:color w:val="0F4761" w:themeColor="accent1" w:themeShade="BF"/>
    </w:rPr>
  </w:style>
  <w:style w:type="paragraph" w:styleId="ab">
    <w:name w:val="Intense Quote"/>
    <w:basedOn w:val="a"/>
    <w:next w:val="a"/>
    <w:link w:val="ac"/>
    <w:uiPriority w:val="30"/>
    <w:qFormat/>
    <w:rsid w:val="00BD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3755"/>
    <w:rPr>
      <w:i/>
      <w:iCs/>
      <w:color w:val="0F4761" w:themeColor="accent1" w:themeShade="BF"/>
    </w:rPr>
  </w:style>
  <w:style w:type="character" w:styleId="ad">
    <w:name w:val="Intense Reference"/>
    <w:basedOn w:val="a0"/>
    <w:uiPriority w:val="32"/>
    <w:qFormat/>
    <w:rsid w:val="00BD3755"/>
    <w:rPr>
      <w:b/>
      <w:bCs/>
      <w:smallCaps/>
      <w:color w:val="0F4761" w:themeColor="accent1" w:themeShade="BF"/>
      <w:spacing w:val="5"/>
    </w:rPr>
  </w:style>
  <w:style w:type="paragraph" w:styleId="ae">
    <w:name w:val="header"/>
    <w:basedOn w:val="a"/>
    <w:link w:val="af"/>
    <w:uiPriority w:val="99"/>
    <w:unhideWhenUsed/>
    <w:rsid w:val="00BD375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D3755"/>
    <w:rPr>
      <w:sz w:val="18"/>
      <w:szCs w:val="18"/>
    </w:rPr>
  </w:style>
  <w:style w:type="paragraph" w:styleId="af0">
    <w:name w:val="footer"/>
    <w:basedOn w:val="a"/>
    <w:link w:val="af1"/>
    <w:uiPriority w:val="99"/>
    <w:unhideWhenUsed/>
    <w:rsid w:val="00BD375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D3755"/>
    <w:rPr>
      <w:sz w:val="18"/>
      <w:szCs w:val="18"/>
    </w:rPr>
  </w:style>
  <w:style w:type="paragraph" w:customStyle="1" w:styleId="EndNoteBibliographyTitle">
    <w:name w:val="EndNote Bibliography Title"/>
    <w:basedOn w:val="a"/>
    <w:link w:val="EndNoteBibliographyTitle0"/>
    <w:rsid w:val="00BD3755"/>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BD3755"/>
    <w:rPr>
      <w:rFonts w:ascii="等线" w:eastAsia="等线" w:hAnsi="等线"/>
      <w:noProof/>
    </w:rPr>
  </w:style>
  <w:style w:type="paragraph" w:customStyle="1" w:styleId="EndNoteBibliography">
    <w:name w:val="EndNote Bibliography"/>
    <w:basedOn w:val="a"/>
    <w:link w:val="EndNoteBibliography0"/>
    <w:rsid w:val="00BD3755"/>
    <w:pPr>
      <w:spacing w:line="240" w:lineRule="auto"/>
      <w:jc w:val="both"/>
    </w:pPr>
    <w:rPr>
      <w:rFonts w:ascii="等线" w:eastAsia="等线" w:hAnsi="等线"/>
      <w:noProof/>
    </w:rPr>
  </w:style>
  <w:style w:type="character" w:customStyle="1" w:styleId="EndNoteBibliography0">
    <w:name w:val="EndNote Bibliography 字符"/>
    <w:basedOn w:val="a0"/>
    <w:link w:val="EndNoteBibliography"/>
    <w:rsid w:val="00BD3755"/>
    <w:rPr>
      <w:rFonts w:ascii="等线" w:eastAsia="等线" w:hAnsi="等线"/>
      <w:noProof/>
    </w:rPr>
  </w:style>
  <w:style w:type="character" w:styleId="af2">
    <w:name w:val="Hyperlink"/>
    <w:basedOn w:val="a0"/>
    <w:uiPriority w:val="99"/>
    <w:unhideWhenUsed/>
    <w:rsid w:val="00BD3755"/>
    <w:rPr>
      <w:color w:val="467886" w:themeColor="hyperlink"/>
      <w:u w:val="single"/>
    </w:rPr>
  </w:style>
  <w:style w:type="character" w:styleId="af3">
    <w:name w:val="Unresolved Mention"/>
    <w:basedOn w:val="a0"/>
    <w:uiPriority w:val="99"/>
    <w:semiHidden/>
    <w:unhideWhenUsed/>
    <w:rsid w:val="00BD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1034</Words>
  <Characters>6081</Characters>
  <Application>Microsoft Office Word</Application>
  <DocSecurity>0</DocSecurity>
  <Lines>101</Lines>
  <Paragraphs>30</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zhenyi wang</dc:creator>
  <cp:keywords/>
  <dc:description/>
  <cp:lastModifiedBy>zhenyi wang</cp:lastModifiedBy>
  <cp:revision>7</cp:revision>
  <dcterms:created xsi:type="dcterms:W3CDTF">2026-04-12T09:09:00Z</dcterms:created>
  <dcterms:modified xsi:type="dcterms:W3CDTF">2026-04-13T01:14:00Z</dcterms:modified>
</cp:coreProperties>
</file>