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3744F5" w14:textId="2DFD86A1" w:rsidR="00191E65" w:rsidRPr="009A3F9C" w:rsidRDefault="00E210B5" w:rsidP="00542824">
      <w:pPr>
        <w:pStyle w:val="Ttulo1"/>
        <w:spacing w:before="0" w:after="240" w:line="480" w:lineRule="auto"/>
        <w:jc w:val="center"/>
        <w:rPr>
          <w:rFonts w:asciiTheme="minorHAnsi" w:hAnsiTheme="minorHAnsi" w:cstheme="minorHAnsi"/>
          <w:color w:val="auto"/>
        </w:rPr>
      </w:pPr>
      <w:r w:rsidRPr="009A3F9C">
        <w:rPr>
          <w:rFonts w:asciiTheme="minorHAnsi" w:hAnsiTheme="minorHAnsi" w:cstheme="minorHAnsi"/>
          <w:color w:val="4472C4" w:themeColor="accent1"/>
        </w:rPr>
        <w:t>SALIVA AS A NON-INVASIVE SPECIMEN FOR COPD ASSESSEMENT</w:t>
      </w:r>
    </w:p>
    <w:p w14:paraId="48C9867A" w14:textId="3757666E" w:rsidR="00A84847" w:rsidRPr="009A3F9C" w:rsidRDefault="00A84847" w:rsidP="00542824">
      <w:pPr>
        <w:spacing w:line="480" w:lineRule="auto"/>
        <w:jc w:val="both"/>
        <w:rPr>
          <w:vertAlign w:val="superscript"/>
        </w:rPr>
      </w:pPr>
      <w:r w:rsidRPr="009A3F9C">
        <w:t>Sara Melo-Dias</w:t>
      </w:r>
      <w:r w:rsidRPr="009A3F9C">
        <w:rPr>
          <w:vertAlign w:val="superscript"/>
        </w:rPr>
        <w:t>1,2,3</w:t>
      </w:r>
      <w:r w:rsidRPr="009A3F9C">
        <w:t xml:space="preserve">, </w:t>
      </w:r>
      <w:proofErr w:type="spellStart"/>
      <w:r w:rsidRPr="009A3F9C">
        <w:t>Msc</w:t>
      </w:r>
      <w:proofErr w:type="spellEnd"/>
      <w:r w:rsidRPr="009A3F9C">
        <w:t>, Carla Valente</w:t>
      </w:r>
      <w:r w:rsidRPr="009A3F9C">
        <w:rPr>
          <w:vertAlign w:val="superscript"/>
        </w:rPr>
        <w:t>5</w:t>
      </w:r>
      <w:r w:rsidRPr="009A3F9C">
        <w:t>, MD, Lília Andrade</w:t>
      </w:r>
      <w:r w:rsidRPr="009A3F9C">
        <w:rPr>
          <w:vertAlign w:val="superscript"/>
        </w:rPr>
        <w:t>5</w:t>
      </w:r>
      <w:r w:rsidRPr="009A3F9C">
        <w:t>,</w:t>
      </w:r>
      <w:r w:rsidR="00542824">
        <w:t xml:space="preserve"> </w:t>
      </w:r>
      <w:r w:rsidRPr="009A3F9C">
        <w:t>MD, Alda Marques</w:t>
      </w:r>
      <w:proofErr w:type="gramStart"/>
      <w:r w:rsidRPr="009A3F9C">
        <w:rPr>
          <w:vertAlign w:val="superscript"/>
        </w:rPr>
        <w:t>2,3,</w:t>
      </w:r>
      <w:r w:rsidRPr="009A3F9C">
        <w:t>,</w:t>
      </w:r>
      <w:proofErr w:type="gramEnd"/>
      <w:r w:rsidRPr="009A3F9C">
        <w:t xml:space="preserve"> </w:t>
      </w:r>
      <w:proofErr w:type="spellStart"/>
      <w:r w:rsidRPr="009A3F9C">
        <w:t>PhDǂ</w:t>
      </w:r>
      <w:proofErr w:type="spellEnd"/>
      <w:r w:rsidRPr="009A3F9C">
        <w:t xml:space="preserve"> and Ana Sousa</w:t>
      </w:r>
      <w:r w:rsidRPr="009A3F9C">
        <w:rPr>
          <w:vertAlign w:val="superscript"/>
        </w:rPr>
        <w:t>1,3</w:t>
      </w:r>
      <w:r w:rsidRPr="009A3F9C">
        <w:t xml:space="preserve">, </w:t>
      </w:r>
      <w:proofErr w:type="spellStart"/>
      <w:r w:rsidRPr="009A3F9C">
        <w:t>PhDǂ</w:t>
      </w:r>
      <w:proofErr w:type="spellEnd"/>
    </w:p>
    <w:p w14:paraId="7638E37D" w14:textId="32596D83" w:rsidR="00A84847" w:rsidRPr="005B33D4" w:rsidRDefault="00F10FC2" w:rsidP="00542824">
      <w:pPr>
        <w:spacing w:line="480" w:lineRule="auto"/>
        <w:jc w:val="center"/>
        <w:rPr>
          <w:rFonts w:cstheme="minorHAnsi"/>
          <w:b/>
          <w:bCs/>
          <w:color w:val="4472C4" w:themeColor="accent1"/>
          <w:sz w:val="28"/>
          <w:szCs w:val="28"/>
          <w:lang w:val="en-GB"/>
        </w:rPr>
      </w:pPr>
      <w:r w:rsidRPr="005B33D4">
        <w:rPr>
          <w:rFonts w:cstheme="minorHAnsi"/>
          <w:b/>
          <w:bCs/>
          <w:color w:val="4472C4" w:themeColor="accent1"/>
          <w:sz w:val="28"/>
          <w:szCs w:val="28"/>
          <w:lang w:val="en-GB"/>
        </w:rPr>
        <w:t>SUPPLEMENTA</w:t>
      </w:r>
      <w:r w:rsidR="00D4444F">
        <w:rPr>
          <w:rFonts w:cstheme="minorHAnsi"/>
          <w:b/>
          <w:bCs/>
          <w:color w:val="4472C4" w:themeColor="accent1"/>
          <w:sz w:val="28"/>
          <w:szCs w:val="28"/>
          <w:lang w:val="en-GB"/>
        </w:rPr>
        <w:t>RY</w:t>
      </w:r>
      <w:r w:rsidRPr="005B33D4">
        <w:rPr>
          <w:rFonts w:cstheme="minorHAnsi"/>
          <w:b/>
          <w:bCs/>
          <w:color w:val="4472C4" w:themeColor="accent1"/>
          <w:sz w:val="28"/>
          <w:szCs w:val="28"/>
          <w:lang w:val="en-GB"/>
        </w:rPr>
        <w:t xml:space="preserve"> MATERIAL</w:t>
      </w:r>
    </w:p>
    <w:p w14:paraId="7F7C2532" w14:textId="265CAB4B" w:rsidR="00A84847" w:rsidRDefault="00542824" w:rsidP="00542824">
      <w:pPr>
        <w:pStyle w:val="Ttulo1"/>
        <w:spacing w:line="480" w:lineRule="auto"/>
        <w:jc w:val="both"/>
        <w:rPr>
          <w:rFonts w:asciiTheme="minorHAnsi" w:hAnsiTheme="minorHAnsi" w:cstheme="minorHAnsi"/>
          <w:sz w:val="26"/>
          <w:szCs w:val="26"/>
          <w:lang w:val="en-GB"/>
        </w:rPr>
      </w:pPr>
      <w:r>
        <w:rPr>
          <w:rFonts w:asciiTheme="minorHAnsi" w:hAnsiTheme="minorHAnsi" w:cstheme="minorHAnsi"/>
          <w:sz w:val="26"/>
          <w:szCs w:val="26"/>
          <w:lang w:val="en-GB"/>
        </w:rPr>
        <w:t>M</w:t>
      </w:r>
      <w:r w:rsidR="00F10FC2" w:rsidRPr="005B33D4">
        <w:rPr>
          <w:rFonts w:asciiTheme="minorHAnsi" w:hAnsiTheme="minorHAnsi" w:cstheme="minorHAnsi"/>
          <w:sz w:val="26"/>
          <w:szCs w:val="26"/>
          <w:lang w:val="en-GB"/>
        </w:rPr>
        <w:t>ethods</w:t>
      </w:r>
    </w:p>
    <w:p w14:paraId="2AFC9320" w14:textId="7227A65D" w:rsidR="00AA2D09" w:rsidRPr="00AA2D09" w:rsidRDefault="00AA2D09" w:rsidP="00542824">
      <w:pPr>
        <w:spacing w:line="480" w:lineRule="auto"/>
        <w:jc w:val="both"/>
        <w:rPr>
          <w:rFonts w:cstheme="minorHAnsi"/>
          <w:lang w:val="en-GB"/>
        </w:rPr>
      </w:pPr>
      <w:bookmarkStart w:id="0" w:name="_Hlk83399982"/>
      <w:r>
        <w:rPr>
          <w:rFonts w:cstheme="minorHAnsi"/>
          <w:lang w:val="en-GB"/>
        </w:rPr>
        <w:t xml:space="preserve">A cross-sectional study was conducted. Ethical approvals were obtained from </w:t>
      </w:r>
      <w:proofErr w:type="spellStart"/>
      <w:r>
        <w:rPr>
          <w:rFonts w:cstheme="minorHAnsi"/>
          <w:lang w:val="en-GB"/>
        </w:rPr>
        <w:t>Administração</w:t>
      </w:r>
      <w:proofErr w:type="spellEnd"/>
      <w:r>
        <w:rPr>
          <w:rFonts w:cstheme="minorHAnsi"/>
          <w:lang w:val="en-GB"/>
        </w:rPr>
        <w:t xml:space="preserve"> Regional de </w:t>
      </w:r>
      <w:proofErr w:type="spellStart"/>
      <w:r>
        <w:rPr>
          <w:rFonts w:cstheme="minorHAnsi"/>
          <w:lang w:val="en-GB"/>
        </w:rPr>
        <w:t>Saúde</w:t>
      </w:r>
      <w:proofErr w:type="spellEnd"/>
      <w:r>
        <w:rPr>
          <w:rFonts w:cstheme="minorHAnsi"/>
          <w:lang w:val="en-GB"/>
        </w:rPr>
        <w:t xml:space="preserve"> Centro (64/2016) and from Centro </w:t>
      </w:r>
      <w:proofErr w:type="spellStart"/>
      <w:r>
        <w:rPr>
          <w:rFonts w:cstheme="minorHAnsi"/>
          <w:lang w:val="en-GB"/>
        </w:rPr>
        <w:t>Hospitalar</w:t>
      </w:r>
      <w:proofErr w:type="spellEnd"/>
      <w:r>
        <w:rPr>
          <w:rFonts w:cstheme="minorHAnsi"/>
          <w:lang w:val="en-GB"/>
        </w:rPr>
        <w:t xml:space="preserve"> do </w:t>
      </w:r>
      <w:proofErr w:type="spellStart"/>
      <w:r>
        <w:rPr>
          <w:rFonts w:cstheme="minorHAnsi"/>
          <w:lang w:val="en-GB"/>
        </w:rPr>
        <w:t>Baixo</w:t>
      </w:r>
      <w:proofErr w:type="spellEnd"/>
      <w:r>
        <w:rPr>
          <w:rFonts w:cstheme="minorHAnsi"/>
          <w:lang w:val="en-GB"/>
        </w:rPr>
        <w:t xml:space="preserve"> </w:t>
      </w:r>
      <w:proofErr w:type="spellStart"/>
      <w:r>
        <w:rPr>
          <w:rFonts w:cstheme="minorHAnsi"/>
          <w:lang w:val="en-GB"/>
        </w:rPr>
        <w:t>Vouga</w:t>
      </w:r>
      <w:proofErr w:type="spellEnd"/>
      <w:r>
        <w:rPr>
          <w:rFonts w:cstheme="minorHAnsi"/>
          <w:lang w:val="en-GB"/>
        </w:rPr>
        <w:t xml:space="preserve"> (08-03-17). Written informed consent was obtained from all participants.</w:t>
      </w:r>
    </w:p>
    <w:p w14:paraId="58ABF9DB" w14:textId="77777777" w:rsidR="00A84847" w:rsidRPr="00F10FC2" w:rsidRDefault="00A84847" w:rsidP="00542824">
      <w:pPr>
        <w:pStyle w:val="Ttulo2"/>
        <w:spacing w:line="480" w:lineRule="auto"/>
        <w:jc w:val="both"/>
        <w:rPr>
          <w:rFonts w:asciiTheme="minorHAnsi" w:hAnsiTheme="minorHAnsi" w:cstheme="minorHAnsi"/>
          <w:b w:val="0"/>
          <w:bCs w:val="0"/>
          <w:sz w:val="24"/>
          <w:szCs w:val="24"/>
          <w:lang w:val="en-GB"/>
        </w:rPr>
      </w:pPr>
      <w:bookmarkStart w:id="1" w:name="_Hlk54110212"/>
      <w:bookmarkEnd w:id="0"/>
      <w:r w:rsidRPr="00F10FC2">
        <w:rPr>
          <w:rFonts w:asciiTheme="minorHAnsi" w:hAnsiTheme="minorHAnsi" w:cstheme="minorHAnsi"/>
          <w:b w:val="0"/>
          <w:bCs w:val="0"/>
          <w:sz w:val="24"/>
          <w:szCs w:val="24"/>
          <w:lang w:val="en-GB"/>
        </w:rPr>
        <w:t>Subjects and sample collection</w:t>
      </w:r>
    </w:p>
    <w:bookmarkEnd w:id="1"/>
    <w:p w14:paraId="2032AC3F" w14:textId="69E29485" w:rsidR="00A84847" w:rsidRPr="005B33D4" w:rsidRDefault="00A84847" w:rsidP="00542824">
      <w:pPr>
        <w:spacing w:line="480" w:lineRule="auto"/>
        <w:contextualSpacing/>
        <w:jc w:val="both"/>
        <w:rPr>
          <w:b/>
          <w:bCs/>
          <w:lang w:val="en-GB"/>
        </w:rPr>
      </w:pPr>
      <w:r w:rsidRPr="005B33D4">
        <w:rPr>
          <w:rFonts w:cstheme="minorHAnsi"/>
          <w:lang w:val="en-GB"/>
        </w:rPr>
        <w:t xml:space="preserve">Patients were eligible if diagnosed with COPD according to the Global Initiative for Chronic Obstructive Lung Disease (GOLD) criteria </w:t>
      </w:r>
      <w:r w:rsidRPr="005B33D4">
        <w:rPr>
          <w:rFonts w:cstheme="minorHAnsi"/>
          <w:lang w:val="en-GB"/>
        </w:rPr>
        <w:fldChar w:fldCharType="begin"/>
      </w:r>
      <w:r w:rsidR="00F10FC2">
        <w:rPr>
          <w:rFonts w:cstheme="minorHAnsi"/>
          <w:lang w:val="en-GB"/>
        </w:rPr>
        <w:instrText xml:space="preserve"> ADDIN ZOTERO_ITEM CSL_CITATION {"citationID":"lZ8SyqdG","properties":{"formattedCitation":"[1]","plainCitation":"[1]","noteIndex":0},"citationItems":[{"id":88,"uris":["http://zotero.org/users/local/6zWa2PU7/items/AFJCP5D4"],"uri":["http://zotero.org/users/local/6zWa2PU7/items/AFJCP5D4"],"itemData":{"id":88,"type":"article","title":"GOLD - Global Strategy for Diagnosis, Management, and prevention of chronic obstructive pulmonary disease 2020 report. 2020. 1–141"}}],"schema":"https://github.com/citation-style-language/schema/raw/master/csl-citation.json"} </w:instrText>
      </w:r>
      <w:r w:rsidRPr="005B33D4">
        <w:rPr>
          <w:rFonts w:cstheme="minorHAnsi"/>
          <w:lang w:val="en-GB"/>
        </w:rPr>
        <w:fldChar w:fldCharType="separate"/>
      </w:r>
      <w:r w:rsidR="00C71D73" w:rsidRPr="00C71D73">
        <w:rPr>
          <w:rFonts w:ascii="Calibri" w:hAnsi="Calibri" w:cs="Calibri"/>
          <w:lang w:val="en-GB"/>
        </w:rPr>
        <w:t>[1]</w:t>
      </w:r>
      <w:r w:rsidRPr="005B33D4">
        <w:rPr>
          <w:rFonts w:cstheme="minorHAnsi"/>
          <w:lang w:val="en-GB"/>
        </w:rPr>
        <w:fldChar w:fldCharType="end"/>
      </w:r>
      <w:r w:rsidRPr="005B33D4">
        <w:rPr>
          <w:rFonts w:cstheme="minorHAnsi"/>
          <w:lang w:val="en-GB"/>
        </w:rPr>
        <w:t xml:space="preserve"> and were stable with no acute exacerbations in the month prior to enrolment. Exclusion criteria were presence of severe cardiac, </w:t>
      </w:r>
      <w:r w:rsidR="005B33D4" w:rsidRPr="005B33D4">
        <w:rPr>
          <w:rFonts w:cstheme="minorHAnsi"/>
          <w:lang w:val="en-GB"/>
        </w:rPr>
        <w:t>musculoskeletal,</w:t>
      </w:r>
      <w:r w:rsidRPr="005B33D4">
        <w:rPr>
          <w:rFonts w:cstheme="minorHAnsi"/>
          <w:lang w:val="en-GB"/>
        </w:rPr>
        <w:t xml:space="preserve"> or neuromuscular diseases, cognitive impairment, active </w:t>
      </w:r>
      <w:proofErr w:type="gramStart"/>
      <w:r w:rsidRPr="005B33D4">
        <w:rPr>
          <w:rFonts w:cstheme="minorHAnsi"/>
          <w:lang w:val="en-GB"/>
        </w:rPr>
        <w:t>neoplasia</w:t>
      </w:r>
      <w:proofErr w:type="gramEnd"/>
      <w:r w:rsidRPr="005B33D4">
        <w:rPr>
          <w:rFonts w:cstheme="minorHAnsi"/>
          <w:lang w:val="en-GB"/>
        </w:rPr>
        <w:t xml:space="preserve"> or immune diseases. </w:t>
      </w:r>
      <w:r w:rsidRPr="005B33D4">
        <w:rPr>
          <w:rFonts w:cstheme="minorHAnsi"/>
          <w:color w:val="231F20"/>
          <w:lang w:val="en-GB"/>
        </w:rPr>
        <w:t xml:space="preserve">Healthy-individuals were age- and sex-matched to patients and had similar inclusion and exclusion criteria except for the absence of any respiratory disease. Sociodemographic, anthropometric, clinical data and saliva samples (passive drool method) were collected using a structured protocol </w:t>
      </w:r>
      <w:r w:rsidRPr="005B33D4">
        <w:rPr>
          <w:rFonts w:cstheme="minorHAnsi"/>
          <w:color w:val="231F20"/>
          <w:lang w:val="en-GB"/>
        </w:rPr>
        <w:fldChar w:fldCharType="begin"/>
      </w:r>
      <w:r w:rsidR="00F10FC2">
        <w:rPr>
          <w:rFonts w:cstheme="minorHAnsi"/>
          <w:color w:val="231F20"/>
          <w:lang w:val="en-GB"/>
        </w:rPr>
        <w:instrText xml:space="preserve"> ADDIN ZOTERO_ITEM CSL_CITATION {"citationID":"VYhiWwxI","properties":{"formattedCitation":"[2]","plainCitation":"[2]","noteIndex":0},"citationItems":[{"id":12,"uris":["http://zotero.org/users/local/6zWa2PU7/items/D7EIYX92"],"uri":["http://zotero.org/users/local/6zWa2PU7/items/D7EIYX92"],"itemData":{"id":12,"type":"article-journal","container-title":"BMC Public Health","DOI":"10.1186/s12889-019-7045-1","ISSN":"1471-2458","issue":"1","journalAbbreviation":"BMC Public Health","language":"en","page":"676","source":"DOI.org (Crossref)","title":"Improving access to community-based pulmonary rehabilitation: 3R protocol for real-world settings with cost-benefit analysis","title-short":"Improving access to community-based pulmonary rehabilitation","volume":"19","author":[{"family":"Marques","given":"Alda"},{"family":"Jácome","given":"Cristina"},{"family":"Rebelo","given":"Patrícia"},{"family":"Paixão","given":"Cátia"},{"family":"Oliveira","given":"Ana"},{"family":"Cruz","given":"Joana"},{"family":"Freitas","given":"Célia"},{"family":"Rua","given":"Marília"},{"family":"Loureiro","given":"Helena"},{"family":"Peguinho","given":"Cristina"},{"family":"Marques","given":"Fábio"},{"family":"Simões","given":"Adriana"},{"family":"Santos","given":"Madalena"},{"family":"Martins","given":"Paula"},{"family":"André","given":"Alexandra"},{"family":"De Francesco","given":"Sílvia"},{"family":"Martins","given":"Vitória"},{"family":"Brooks","given":"Dina"},{"family":"Simão","given":"Paula"}],"issued":{"date-parts":[["2019",12]]}}}],"schema":"https://github.com/citation-style-language/schema/raw/master/csl-citation.json"} </w:instrText>
      </w:r>
      <w:r w:rsidRPr="005B33D4">
        <w:rPr>
          <w:rFonts w:cstheme="minorHAnsi"/>
          <w:color w:val="231F20"/>
          <w:lang w:val="en-GB"/>
        </w:rPr>
        <w:fldChar w:fldCharType="separate"/>
      </w:r>
      <w:r w:rsidR="00C71D73" w:rsidRPr="00C71D73">
        <w:rPr>
          <w:rFonts w:ascii="Calibri" w:hAnsi="Calibri" w:cs="Calibri"/>
          <w:lang w:val="en-GB"/>
        </w:rPr>
        <w:t>[2]</w:t>
      </w:r>
      <w:r w:rsidRPr="005B33D4">
        <w:rPr>
          <w:rFonts w:cstheme="minorHAnsi"/>
          <w:color w:val="231F20"/>
          <w:lang w:val="en-GB"/>
        </w:rPr>
        <w:fldChar w:fldCharType="end"/>
      </w:r>
      <w:r w:rsidRPr="005B33D4">
        <w:rPr>
          <w:rFonts w:cstheme="minorHAnsi"/>
          <w:color w:val="231F20"/>
          <w:lang w:val="en-GB"/>
        </w:rPr>
        <w:t>.</w:t>
      </w:r>
    </w:p>
    <w:p w14:paraId="53069EB7" w14:textId="3DD3868B" w:rsidR="00A84847" w:rsidRPr="005B33D4" w:rsidRDefault="00A84847" w:rsidP="00542824">
      <w:pPr>
        <w:spacing w:line="480" w:lineRule="auto"/>
        <w:jc w:val="both"/>
        <w:rPr>
          <w:rFonts w:cstheme="minorHAnsi"/>
          <w:lang w:val="en-GB"/>
        </w:rPr>
      </w:pPr>
      <w:r w:rsidRPr="005B33D4">
        <w:rPr>
          <w:rFonts w:cstheme="minorHAnsi"/>
          <w:color w:val="231F20"/>
          <w:lang w:val="en-GB"/>
        </w:rPr>
        <w:t xml:space="preserve">Sociodemographic (age, sex, educational level), anthropometric (weight and height to compute body mass index), clinical </w:t>
      </w:r>
      <w:r w:rsidRPr="005B33D4">
        <w:rPr>
          <w:rFonts w:cstheme="minorHAnsi"/>
          <w:lang w:val="en-GB"/>
        </w:rPr>
        <w:t xml:space="preserve">(smoking habits, number of exacerbations and hospitalizations in the past year, medication used, long-term oxygen, comorbidities - </w:t>
      </w:r>
      <w:proofErr w:type="spellStart"/>
      <w:r w:rsidRPr="005B33D4">
        <w:rPr>
          <w:rFonts w:cstheme="minorHAnsi"/>
          <w:lang w:val="en-GB"/>
        </w:rPr>
        <w:t>Charlson</w:t>
      </w:r>
      <w:proofErr w:type="spellEnd"/>
      <w:r w:rsidRPr="005B33D4">
        <w:rPr>
          <w:rFonts w:cstheme="minorHAnsi"/>
          <w:lang w:val="en-GB"/>
        </w:rPr>
        <w:t xml:space="preserve"> Comorbidity Index </w:t>
      </w:r>
      <w:r w:rsidRPr="005B33D4">
        <w:rPr>
          <w:rFonts w:cstheme="minorHAnsi"/>
          <w:lang w:val="en-GB"/>
        </w:rPr>
        <w:fldChar w:fldCharType="begin"/>
      </w:r>
      <w:r w:rsidR="00F10FC2">
        <w:rPr>
          <w:rFonts w:cstheme="minorHAnsi"/>
          <w:lang w:val="en-GB"/>
        </w:rPr>
        <w:instrText xml:space="preserve"> ADDIN ZOTERO_ITEM CSL_CITATION {"citationID":"df7YuykB","properties":{"formattedCitation":"[3]","plainCitation":"[3]","noteIndex":0},"citationItems":[{"id":171,"uris":["http://zotero.org/users/local/6zWa2PU7/items/VWUFFSC4"],"uri":["http://zotero.org/users/local/6zWa2PU7/items/VWUFFSC4"],"itemData":{"id":171,"type":"article-journal","abstract":"The objective of this study was to develop a prospectively applicable method for classifying comorbid conditions which might alter the risk of mortality for use in longitudinal studies. A weighted index that takes into account the number and the seriousness of comorbid disease was developed in a cohort of 559 medical patients. The 1-yr mortality rates for the different scores were: \"0\", 12% (181); \"1-2\", 26% (225); \"3-4\", 52% (71); and \"greater than or equal to 5\", 85% (82). The index was tested for its ability to predict risk of death from comorbid disease in the second cohort of 685 patients during a 10-yr follow-up. The percent of patients who died of comorbid disease for the different scores were: \"0\", 8% (588); \"1\", 25% (54); \"2\", 48% (25); \"greater than or equal to 3\", 59% (18). With each increased level of the comorbidity index, there were stepwise increases in the cumulative mortality attributable to comorbid disease (log rank chi 2 = 165; p less than 0.0001). In this longer follow-up, age was also a predictor of mortality (p less than 0.001). The new index performed similarly to a previous system devised by Kaplan and Feinstein. The method of classifying comorbidity provides a simple, readily applicable and valid method of estimating risk of death from comorbid disease for use in longitudinal studies. Further work in larger populations is still required to refine the approach because the number of patients with any given condition in this study was relatively small.","container-title":"Journal of Chronic Diseases","DOI":"10.1016/0021-9681(87)90171-8","ISSN":"0021-9681","issue":"5","journalAbbreviation":"J Chronic Dis","language":"eng","note":"PMID: 3558716","page":"373-383","source":"PubMed","title":"A new method of classifying prognostic comorbidity in longitudinal studies: development and validation","title-short":"A new method of classifying prognostic comorbidity in longitudinal studies","volume":"40","author":[{"family":"Charlson","given":"M. E."},{"family":"Pompei","given":"P."},{"family":"Ales","given":"K. L."},{"family":"MacKenzie","given":"C. R."}],"issued":{"date-parts":[["1987"]]}}}],"schema":"https://github.com/citation-style-language/schema/raw/master/csl-citation.json"} </w:instrText>
      </w:r>
      <w:r w:rsidRPr="005B33D4">
        <w:rPr>
          <w:rFonts w:cstheme="minorHAnsi"/>
          <w:lang w:val="en-GB"/>
        </w:rPr>
        <w:fldChar w:fldCharType="separate"/>
      </w:r>
      <w:r w:rsidR="00C71D73" w:rsidRPr="00C71D73">
        <w:rPr>
          <w:rFonts w:ascii="Calibri" w:hAnsi="Calibri" w:cs="Calibri"/>
          <w:lang w:val="en-GB"/>
        </w:rPr>
        <w:t>[3]</w:t>
      </w:r>
      <w:r w:rsidRPr="005B33D4">
        <w:rPr>
          <w:rFonts w:cstheme="minorHAnsi"/>
          <w:lang w:val="en-GB"/>
        </w:rPr>
        <w:fldChar w:fldCharType="end"/>
      </w:r>
      <w:r w:rsidRPr="005B33D4">
        <w:rPr>
          <w:rFonts w:cstheme="minorHAnsi"/>
          <w:lang w:val="en-GB"/>
        </w:rPr>
        <w:t>, level of airway obstruction-spirometry</w:t>
      </w:r>
      <w:r w:rsidR="001A19C0" w:rsidRPr="005B33D4">
        <w:rPr>
          <w:rFonts w:cstheme="minorHAnsi"/>
          <w:lang w:val="en-GB"/>
        </w:rPr>
        <w:t xml:space="preserve"> (FEV</w:t>
      </w:r>
      <w:r w:rsidR="001A19C0" w:rsidRPr="005B33D4">
        <w:rPr>
          <w:rFonts w:cstheme="minorHAnsi"/>
          <w:vertAlign w:val="subscript"/>
          <w:lang w:val="en-GB"/>
        </w:rPr>
        <w:t>1</w:t>
      </w:r>
      <w:r w:rsidR="001A19C0" w:rsidRPr="005B33D4">
        <w:rPr>
          <w:rFonts w:cstheme="minorHAnsi"/>
          <w:lang w:val="en-GB"/>
        </w:rPr>
        <w:t>, FVC, FEV</w:t>
      </w:r>
      <w:r w:rsidR="001A19C0" w:rsidRPr="005B33D4">
        <w:rPr>
          <w:rFonts w:cstheme="minorHAnsi"/>
          <w:vertAlign w:val="subscript"/>
          <w:lang w:val="en-GB"/>
        </w:rPr>
        <w:t>1</w:t>
      </w:r>
      <w:r w:rsidR="001A19C0" w:rsidRPr="005B33D4">
        <w:rPr>
          <w:rFonts w:cstheme="minorHAnsi"/>
          <w:lang w:val="en-GB"/>
        </w:rPr>
        <w:t>pp)</w:t>
      </w:r>
      <w:r w:rsidRPr="005B33D4">
        <w:rPr>
          <w:rFonts w:cstheme="minorHAnsi"/>
          <w:lang w:val="en-GB"/>
        </w:rPr>
        <w:t xml:space="preserve"> </w:t>
      </w:r>
      <w:r w:rsidRPr="005B33D4">
        <w:rPr>
          <w:rFonts w:cstheme="minorHAnsi"/>
          <w:lang w:val="en-GB"/>
        </w:rPr>
        <w:fldChar w:fldCharType="begin"/>
      </w:r>
      <w:r w:rsidR="00F10FC2">
        <w:rPr>
          <w:rFonts w:cstheme="minorHAnsi"/>
          <w:lang w:val="en-GB"/>
        </w:rPr>
        <w:instrText xml:space="preserve"> ADDIN ZOTERO_ITEM CSL_CITATION {"citationID":"6XgGLzEg","properties":{"formattedCitation":"[1]","plainCitation":"[1]","noteIndex":0},"citationItems":[{"id":88,"uris":["http://zotero.org/users/local/6zWa2PU7/items/AFJCP5D4"],"uri":["http://zotero.org/users/local/6zWa2PU7/items/AFJCP5D4"],"itemData":{"id":88,"type":"article","title":"GOLD - Global Strategy for Diagnosis, Management, and prevention of chronic obstructive pulmonary disease 2020 report. 2020. 1–141"}}],"schema":"https://github.com/citation-style-language/schema/raw/master/csl-citation.json"} </w:instrText>
      </w:r>
      <w:r w:rsidRPr="005B33D4">
        <w:rPr>
          <w:rFonts w:cstheme="minorHAnsi"/>
          <w:lang w:val="en-GB"/>
        </w:rPr>
        <w:fldChar w:fldCharType="separate"/>
      </w:r>
      <w:r w:rsidR="00C71D73" w:rsidRPr="00C71D73">
        <w:rPr>
          <w:rFonts w:ascii="Calibri" w:hAnsi="Calibri" w:cs="Calibri"/>
          <w:lang w:val="en-GB"/>
        </w:rPr>
        <w:t>[1]</w:t>
      </w:r>
      <w:r w:rsidRPr="005B33D4">
        <w:rPr>
          <w:rFonts w:cstheme="minorHAnsi"/>
          <w:lang w:val="en-GB"/>
        </w:rPr>
        <w:fldChar w:fldCharType="end"/>
      </w:r>
      <w:r w:rsidRPr="005B33D4">
        <w:rPr>
          <w:rFonts w:cstheme="minorHAnsi"/>
          <w:lang w:val="en-GB"/>
        </w:rPr>
        <w:t>, medication including long term oxygen therapy, self-perceived dyspnoea during</w:t>
      </w:r>
      <w:r w:rsidRPr="005B33D4">
        <w:rPr>
          <w:rFonts w:cstheme="minorHAnsi"/>
          <w:color w:val="231F20"/>
          <w:lang w:val="en-GB"/>
        </w:rPr>
        <w:t xml:space="preserve"> activities - modified Medical Research Council Questionnaire </w:t>
      </w:r>
      <w:r w:rsidRPr="005B33D4">
        <w:rPr>
          <w:rFonts w:cstheme="minorHAnsi"/>
          <w:color w:val="231F20"/>
          <w:lang w:val="en-GB"/>
        </w:rPr>
        <w:fldChar w:fldCharType="begin"/>
      </w:r>
      <w:r w:rsidR="00F10FC2">
        <w:rPr>
          <w:rFonts w:cstheme="minorHAnsi"/>
          <w:color w:val="231F20"/>
          <w:lang w:val="en-GB"/>
        </w:rPr>
        <w:instrText xml:space="preserve"> ADDIN ZOTERO_ITEM CSL_CITATION {"citationID":"VBv599bC","properties":{"formattedCitation":"[4]","plainCitation":"[4]","noteIndex":0},"citationItems":[{"id":168,"uris":["http://zotero.org/users/local/6zWa2PU7/items/G7RM4BP5"],"uri":["http://zotero.org/users/local/6zWa2PU7/items/G7RM4BP5"],"itemData":{"id":168,"type":"article-journal","abstract":"BACKGROUND—Methods of\nclassifying chronic obstructive pulmonary disease (COPD) depend largely\nupon spirometric measurements but disability is only weakly related to\nmeasurements of lung function. With the increased use of pulmonary\nrehabilitation, a need has been identified for a simple and\nstandardised method of categorising disability in COPD. This study\nexamined the validity of the Medical Research Council (MRC) dyspnoea\nscale for this purpose.</w:instrText>
      </w:r>
      <w:r w:rsidR="00F10FC2">
        <w:rPr>
          <w:rFonts w:ascii="Tahoma" w:hAnsi="Tahoma" w:cs="Tahoma"/>
          <w:color w:val="231F20"/>
          <w:lang w:val="en-GB"/>
        </w:rPr>
        <w:instrText> </w:instrText>
      </w:r>
      <w:r w:rsidR="00F10FC2">
        <w:rPr>
          <w:rFonts w:cstheme="minorHAnsi"/>
          <w:color w:val="231F20"/>
          <w:lang w:val="en-GB"/>
        </w:rPr>
        <w:instrText>METHODS</w:instrText>
      </w:r>
      <w:r w:rsidR="00F10FC2">
        <w:rPr>
          <w:rFonts w:ascii="Calibri" w:hAnsi="Calibri" w:cs="Calibri"/>
          <w:color w:val="231F20"/>
          <w:lang w:val="en-GB"/>
        </w:rPr>
        <w:instrText>—</w:instrText>
      </w:r>
      <w:r w:rsidR="00F10FC2">
        <w:rPr>
          <w:rFonts w:cstheme="minorHAnsi"/>
          <w:color w:val="231F20"/>
          <w:lang w:val="en-GB"/>
        </w:rPr>
        <w:instrText>One\nhundred patients with COPD were recruited from an outpatient pulmonary\nrehabilitation programme. Assessments included the MRC dyspnoea scale,\nspirometric tests, blood gas tensions, a shuttle walking test, and Borg\nscores for perceived breathlessness before and after exercise. Health\nstatus was assessed using the St George's Respiratory Questionnaire\n(SGRQ) and Chronic Respiratory Questionnaire (CRQ). The Nottingham\nExtended Activities of Daily Living (EADL) score and Hospital Anxiety\nand Depression (HAD) score were also measured.</w:instrText>
      </w:r>
      <w:r w:rsidR="00F10FC2">
        <w:rPr>
          <w:rFonts w:ascii="Tahoma" w:hAnsi="Tahoma" w:cs="Tahoma"/>
          <w:color w:val="231F20"/>
          <w:lang w:val="en-GB"/>
        </w:rPr>
        <w:instrText> </w:instrText>
      </w:r>
      <w:r w:rsidR="00F10FC2">
        <w:rPr>
          <w:rFonts w:cstheme="minorHAnsi"/>
          <w:color w:val="231F20"/>
          <w:lang w:val="en-GB"/>
        </w:rPr>
        <w:instrText>RESULTS</w:instrText>
      </w:r>
      <w:r w:rsidR="00F10FC2">
        <w:rPr>
          <w:rFonts w:ascii="Calibri" w:hAnsi="Calibri" w:cs="Calibri"/>
          <w:color w:val="231F20"/>
          <w:lang w:val="en-GB"/>
        </w:rPr>
        <w:instrText>—</w:instrText>
      </w:r>
      <w:r w:rsidR="00F10FC2">
        <w:rPr>
          <w:rFonts w:cstheme="minorHAnsi"/>
          <w:color w:val="231F20"/>
          <w:lang w:val="en-GB"/>
        </w:rPr>
        <w:instrText>Of the\npatients studied, 32 were classified as having MRC grade 3 dyspnoea, 34 MRC grade 4 dyspnoea, and 34 MRC grade 5 dyspnoea. Patients with MRC\ngrades 1 and 2 dyspnoea were not included in the study. There was a\nsignificant association between MRC grade and shuttle distance, SGRQ\nand CRQ scores, mood state and EADL. Forced expiratory volume in one\nsecond (FEV1) was not associated with MRC grade. Multiple\nlogistic regression showed that the determinants of disability appeared\nto vary with the level of disability. Between MRC grades 3 and 4 the\nsignificant covariates were exercise performance, SGRQ and depression\nscore, whilst between grades 4 and 5 exercise performance and age were\nthe major determinants.</w:instrText>
      </w:r>
      <w:r w:rsidR="00F10FC2">
        <w:rPr>
          <w:rFonts w:ascii="Tahoma" w:hAnsi="Tahoma" w:cs="Tahoma"/>
          <w:color w:val="231F20"/>
          <w:lang w:val="en-GB"/>
        </w:rPr>
        <w:instrText> </w:instrText>
      </w:r>
      <w:r w:rsidR="00F10FC2">
        <w:rPr>
          <w:rFonts w:cstheme="minorHAnsi"/>
          <w:color w:val="231F20"/>
          <w:lang w:val="en-GB"/>
        </w:rPr>
        <w:instrText>CONCLUSIONS</w:instrText>
      </w:r>
      <w:r w:rsidR="00F10FC2">
        <w:rPr>
          <w:rFonts w:ascii="Calibri" w:hAnsi="Calibri" w:cs="Calibri"/>
          <w:color w:val="231F20"/>
          <w:lang w:val="en-GB"/>
        </w:rPr>
        <w:instrText>—</w:instrText>
      </w:r>
      <w:r w:rsidR="00F10FC2">
        <w:rPr>
          <w:rFonts w:cstheme="minorHAnsi"/>
          <w:color w:val="231F20"/>
          <w:lang w:val="en-GB"/>
        </w:rPr>
        <w:instrText xml:space="preserve">The MRC\ndyspnoea scale is a simple and valid method of categorising patients\nwith COPD in terms of their disability that could be used to complement\nFEV1 in the classification of COPD severity.","container-title":"Thorax","ISSN":"0040-6376","issue":"7","journalAbbreviation":"Thorax","note":"PMID: 10377201\nPMCID: PMC1745516","page":"581-586","source":"PubMed Central","title":"Usefulness of the Medical Research Council (MRC) dyspnoea scale as a measure of disability in patients with chronic obstructive pulmonary disease","volume":"54","author":[{"family":"Bestall","given":"J"},{"family":"Paul","given":"E"},{"family":"Garrod","given":"R"},{"family":"Garnham","given":"R"},{"family":"Jones","given":"P"},{"family":"Wedzicha","given":"J"}],"issued":{"date-parts":[["1999",7]]}}}],"schema":"https://github.com/citation-style-language/schema/raw/master/csl-citation.json"} </w:instrText>
      </w:r>
      <w:r w:rsidRPr="005B33D4">
        <w:rPr>
          <w:rFonts w:cstheme="minorHAnsi"/>
          <w:color w:val="231F20"/>
          <w:lang w:val="en-GB"/>
        </w:rPr>
        <w:fldChar w:fldCharType="separate"/>
      </w:r>
      <w:r w:rsidR="00C71D73" w:rsidRPr="00C71D73">
        <w:rPr>
          <w:rFonts w:ascii="Calibri" w:hAnsi="Calibri" w:cs="Calibri"/>
          <w:lang w:val="en-GB"/>
        </w:rPr>
        <w:t>[4]</w:t>
      </w:r>
      <w:r w:rsidRPr="005B33D4">
        <w:rPr>
          <w:rFonts w:cstheme="minorHAnsi"/>
          <w:color w:val="231F20"/>
          <w:lang w:val="en-GB"/>
        </w:rPr>
        <w:fldChar w:fldCharType="end"/>
      </w:r>
      <w:r w:rsidRPr="005B33D4">
        <w:rPr>
          <w:rFonts w:cstheme="minorHAnsi"/>
          <w:color w:val="231F20"/>
          <w:lang w:val="en-GB"/>
        </w:rPr>
        <w:t>, impact of the disease – COPD Assessment Test</w:t>
      </w:r>
      <w:r w:rsidR="001A19C0" w:rsidRPr="005B33D4">
        <w:rPr>
          <w:rFonts w:cstheme="minorHAnsi"/>
          <w:color w:val="231F20"/>
          <w:lang w:val="en-GB"/>
        </w:rPr>
        <w:t xml:space="preserve"> (CAT)</w:t>
      </w:r>
      <w:r w:rsidRPr="005B33D4">
        <w:rPr>
          <w:rFonts w:cstheme="minorHAnsi"/>
          <w:color w:val="231F20"/>
          <w:lang w:val="en-GB"/>
        </w:rPr>
        <w:t xml:space="preserve"> </w:t>
      </w:r>
      <w:r w:rsidRPr="005B33D4">
        <w:rPr>
          <w:rFonts w:cstheme="minorHAnsi"/>
          <w:color w:val="231F20"/>
          <w:lang w:val="en-GB"/>
        </w:rPr>
        <w:fldChar w:fldCharType="begin"/>
      </w:r>
      <w:r w:rsidR="00F10FC2">
        <w:rPr>
          <w:rFonts w:cstheme="minorHAnsi"/>
          <w:color w:val="231F20"/>
          <w:lang w:val="en-GB"/>
        </w:rPr>
        <w:instrText xml:space="preserve"> ADDIN ZOTERO_ITEM CSL_CITATION {"citationID":"ErglnihC","properties":{"formattedCitation":"[5]","plainCitation":"[5]","noteIndex":0},"citationItems":[{"id":176,"uris":["http://zotero.org/users/local/6zWa2PU7/items/2LCJANH4"],"uri":["http://zotero.org/users/local/6zWa2PU7/items/2LCJANH4"],"itemData":{"id":176,"type":"article-journal","abstract":"There is need for a validated short, simple instrument to quantify chronic obstructive pulmonary disease (COPD) impact in routine practice to aid health status assessment and communication between patient and physician. Current health-related quality of life questionnaires provide valid assessment of COPD, but are complex, which limits routine use.","container-title":"European Respiratory Journal","DOI":"10.1183/09031936.00102509","ISSN":"0903-1936, 1399-3003","issue":"3","journalAbbreviation":"European Respiratory Journal","language":"en","page":"648-654","source":"DOI.org (Crossref)","title":"Development and first validation of the COPD Assessment Test","volume":"34","author":[{"family":"Jones","given":"P. W."},{"family":"Harding","given":"G."},{"family":"Berry","given":"P."},{"family":"Wiklund","given":"I."},{"family":"Chen","given":"W-H."},{"family":"Kline Leidy","given":"N."}],"issued":{"date-parts":[["2009",9,1]]}}}],"schema":"https://github.com/citation-style-language/schema/raw/master/csl-citation.json"} </w:instrText>
      </w:r>
      <w:r w:rsidRPr="005B33D4">
        <w:rPr>
          <w:rFonts w:cstheme="minorHAnsi"/>
          <w:color w:val="231F20"/>
          <w:lang w:val="en-GB"/>
        </w:rPr>
        <w:fldChar w:fldCharType="separate"/>
      </w:r>
      <w:r w:rsidR="00C71D73" w:rsidRPr="00C71D73">
        <w:rPr>
          <w:rFonts w:ascii="Calibri" w:hAnsi="Calibri" w:cs="Calibri"/>
          <w:lang w:val="en-GB"/>
        </w:rPr>
        <w:t>[5]</w:t>
      </w:r>
      <w:r w:rsidRPr="005B33D4">
        <w:rPr>
          <w:rFonts w:cstheme="minorHAnsi"/>
          <w:color w:val="231F20"/>
          <w:lang w:val="en-GB"/>
        </w:rPr>
        <w:fldChar w:fldCharType="end"/>
      </w:r>
      <w:r w:rsidRPr="005B33D4">
        <w:rPr>
          <w:rFonts w:cstheme="minorHAnsi"/>
          <w:color w:val="231F20"/>
          <w:lang w:val="en-GB"/>
        </w:rPr>
        <w:t xml:space="preserve"> data and saliva </w:t>
      </w:r>
      <w:r w:rsidRPr="005B33D4">
        <w:rPr>
          <w:rFonts w:cstheme="minorHAnsi"/>
          <w:color w:val="231F20"/>
          <w:lang w:val="en-GB"/>
        </w:rPr>
        <w:lastRenderedPageBreak/>
        <w:t xml:space="preserve">samples, passive drool method, were collected with a structured protocol adapted from the team published work </w:t>
      </w:r>
      <w:r w:rsidRPr="005B33D4">
        <w:rPr>
          <w:rFonts w:cstheme="minorHAnsi"/>
          <w:color w:val="231F20"/>
          <w:lang w:val="en-GB"/>
        </w:rPr>
        <w:fldChar w:fldCharType="begin"/>
      </w:r>
      <w:r w:rsidR="00F10FC2">
        <w:rPr>
          <w:rFonts w:cstheme="minorHAnsi"/>
          <w:color w:val="231F20"/>
          <w:lang w:val="en-GB"/>
        </w:rPr>
        <w:instrText xml:space="preserve"> ADDIN ZOTERO_ITEM CSL_CITATION {"citationID":"2XeDgqCM","properties":{"formattedCitation":"[2]","plainCitation":"[2]","noteIndex":0},"citationItems":[{"id":12,"uris":["http://zotero.org/users/local/6zWa2PU7/items/D7EIYX92"],"uri":["http://zotero.org/users/local/6zWa2PU7/items/D7EIYX92"],"itemData":{"id":12,"type":"article-journal","container-title":"BMC Public Health","DOI":"10.1186/s12889-019-7045-1","ISSN":"1471-2458","issue":"1","journalAbbreviation":"BMC Public Health","language":"en","page":"676","source":"DOI.org (Crossref)","title":"Improving access to community-based pulmonary rehabilitation: 3R protocol for real-world settings with cost-benefit analysis","title-short":"Improving access to community-based pulmonary rehabilitation","volume":"19","author":[{"family":"Marques","given":"Alda"},{"family":"Jácome","given":"Cristina"},{"family":"Rebelo","given":"Patrícia"},{"family":"Paixão","given":"Cátia"},{"family":"Oliveira","given":"Ana"},{"family":"Cruz","given":"Joana"},{"family":"Freitas","given":"Célia"},{"family":"Rua","given":"Marília"},{"family":"Loureiro","given":"Helena"},{"family":"Peguinho","given":"Cristina"},{"family":"Marques","given":"Fábio"},{"family":"Simões","given":"Adriana"},{"family":"Santos","given":"Madalena"},{"family":"Martins","given":"Paula"},{"family":"André","given":"Alexandra"},{"family":"De Francesco","given":"Sílvia"},{"family":"Martins","given":"Vitória"},{"family":"Brooks","given":"Dina"},{"family":"Simão","given":"Paula"}],"issued":{"date-parts":[["2019",12]]}}}],"schema":"https://github.com/citation-style-language/schema/raw/master/csl-citation.json"} </w:instrText>
      </w:r>
      <w:r w:rsidRPr="005B33D4">
        <w:rPr>
          <w:rFonts w:cstheme="minorHAnsi"/>
          <w:color w:val="231F20"/>
          <w:lang w:val="en-GB"/>
        </w:rPr>
        <w:fldChar w:fldCharType="separate"/>
      </w:r>
      <w:r w:rsidR="00C71D73" w:rsidRPr="00433EEC">
        <w:rPr>
          <w:rFonts w:ascii="Calibri" w:hAnsi="Calibri" w:cs="Calibri"/>
          <w:lang w:val="en-GB"/>
        </w:rPr>
        <w:t>[2]</w:t>
      </w:r>
      <w:r w:rsidRPr="005B33D4">
        <w:rPr>
          <w:rFonts w:cstheme="minorHAnsi"/>
          <w:color w:val="231F20"/>
          <w:lang w:val="en-GB"/>
        </w:rPr>
        <w:fldChar w:fldCharType="end"/>
      </w:r>
      <w:r w:rsidRPr="005B33D4">
        <w:rPr>
          <w:rFonts w:cstheme="minorHAnsi"/>
          <w:color w:val="231F20"/>
          <w:lang w:val="en-GB"/>
        </w:rPr>
        <w:t>.</w:t>
      </w:r>
      <w:r w:rsidRPr="005B33D4">
        <w:rPr>
          <w:rFonts w:cstheme="minorHAnsi"/>
          <w:lang w:val="en-GB"/>
        </w:rPr>
        <w:t xml:space="preserve"> </w:t>
      </w:r>
      <w:bookmarkStart w:id="2" w:name="_Hlk76135793"/>
      <w:r w:rsidR="001A19C0" w:rsidRPr="005B33D4">
        <w:rPr>
          <w:rFonts w:cstheme="minorHAnsi"/>
          <w:lang w:val="en-GB"/>
        </w:rPr>
        <w:t xml:space="preserve">GOLD grades were defined according to FEV1 percentage predicted for </w:t>
      </w:r>
      <w:proofErr w:type="gramStart"/>
      <w:r w:rsidR="001A19C0" w:rsidRPr="005B33D4">
        <w:rPr>
          <w:rFonts w:cstheme="minorHAnsi"/>
          <w:lang w:val="en-GB"/>
        </w:rPr>
        <w:t xml:space="preserve">each </w:t>
      </w:r>
      <w:r w:rsidR="005B33D4" w:rsidRPr="005B33D4">
        <w:rPr>
          <w:rFonts w:cstheme="minorHAnsi"/>
          <w:lang w:val="en-GB"/>
        </w:rPr>
        <w:t>individual</w:t>
      </w:r>
      <w:proofErr w:type="gramEnd"/>
      <w:r w:rsidR="001A19C0" w:rsidRPr="005B33D4">
        <w:rPr>
          <w:rFonts w:cstheme="minorHAnsi"/>
          <w:lang w:val="en-GB"/>
        </w:rPr>
        <w:t>. GOLD groups were defined combining the number of exacerbations and hospital admissions of each patient in the year before enrolment with their CAT scores</w:t>
      </w:r>
      <w:bookmarkEnd w:id="2"/>
      <w:r w:rsidR="001A19C0" w:rsidRPr="005B33D4">
        <w:rPr>
          <w:rFonts w:cstheme="minorHAnsi"/>
          <w:lang w:val="en-GB"/>
        </w:rPr>
        <w:t>.</w:t>
      </w:r>
      <w:r w:rsidR="00F347E5" w:rsidRPr="005B33D4">
        <w:rPr>
          <w:rFonts w:cstheme="minorHAnsi"/>
          <w:lang w:val="en-GB"/>
        </w:rPr>
        <w:t xml:space="preserve"> </w:t>
      </w:r>
      <w:r w:rsidRPr="005B33D4">
        <w:rPr>
          <w:rFonts w:cstheme="minorHAnsi"/>
          <w:lang w:val="en-GB"/>
        </w:rPr>
        <w:t>Before saliva sample collection the patient was advised to drink a glass of water (especially if he had recently drunk coffee or citrus juice) and to provide 3-4 mL of saliva using a labelled sample collection cup. Subsequently, the sample was transported in a cooler to the lab as quickly as possible and preserved at -80ºC until DNA extraction.</w:t>
      </w:r>
    </w:p>
    <w:p w14:paraId="4003A44D" w14:textId="77777777" w:rsidR="00A84847" w:rsidRPr="00F10FC2" w:rsidRDefault="00A84847" w:rsidP="00542824">
      <w:pPr>
        <w:pStyle w:val="Ttulo2"/>
        <w:spacing w:line="480" w:lineRule="auto"/>
        <w:jc w:val="both"/>
        <w:rPr>
          <w:rFonts w:asciiTheme="minorHAnsi" w:hAnsiTheme="minorHAnsi" w:cstheme="minorHAnsi"/>
          <w:b w:val="0"/>
          <w:bCs w:val="0"/>
          <w:sz w:val="24"/>
          <w:szCs w:val="24"/>
          <w:lang w:val="en-GB"/>
        </w:rPr>
      </w:pPr>
      <w:bookmarkStart w:id="3" w:name="_Hlk54110254"/>
      <w:r w:rsidRPr="00F10FC2">
        <w:rPr>
          <w:rFonts w:asciiTheme="minorHAnsi" w:hAnsiTheme="minorHAnsi" w:cstheme="minorHAnsi"/>
          <w:b w:val="0"/>
          <w:bCs w:val="0"/>
          <w:sz w:val="24"/>
          <w:szCs w:val="24"/>
          <w:lang w:val="en-GB"/>
        </w:rPr>
        <w:t>DNA extraction</w:t>
      </w:r>
    </w:p>
    <w:bookmarkEnd w:id="3"/>
    <w:p w14:paraId="66C3054C" w14:textId="1F8FA6D8" w:rsidR="00A84847" w:rsidRPr="005B33D4" w:rsidRDefault="00A84847" w:rsidP="00542824">
      <w:pPr>
        <w:spacing w:line="480" w:lineRule="auto"/>
        <w:jc w:val="both"/>
        <w:rPr>
          <w:rFonts w:cstheme="minorHAnsi"/>
          <w:lang w:val="en-GB"/>
        </w:rPr>
      </w:pPr>
      <w:r w:rsidRPr="005B33D4">
        <w:rPr>
          <w:rFonts w:cstheme="minorHAnsi"/>
          <w:lang w:val="en-GB"/>
        </w:rPr>
        <w:t xml:space="preserve">Prior to DNA extraction, samples were thawed at room temperature and centrifuged at 10,000xg for 10 minutes. Supernatants were discarded and DNA extraction from cell pellets followed </w:t>
      </w:r>
      <w:proofErr w:type="spellStart"/>
      <w:r w:rsidRPr="005B33D4">
        <w:rPr>
          <w:rFonts w:cstheme="minorHAnsi"/>
          <w:lang w:val="en-GB"/>
        </w:rPr>
        <w:t>QIAamp</w:t>
      </w:r>
      <w:proofErr w:type="spellEnd"/>
      <w:r w:rsidRPr="005B33D4">
        <w:rPr>
          <w:rFonts w:cstheme="minorHAnsi"/>
          <w:lang w:val="en-GB"/>
        </w:rPr>
        <w:t xml:space="preserve"> DNA Mini Kit (Qiagen, Hilden, Germany), protocol with minor modifications: initial sample volume was set to 400µL and the volumes of buffers and Qiagen protease were adjusted. Elution volume was reduced to a quarter of the recommended. Thirteen negative controls where saliva was replaced by phosphate-buffered saline were performed </w:t>
      </w:r>
      <w:proofErr w:type="gramStart"/>
      <w:r w:rsidRPr="005B33D4">
        <w:rPr>
          <w:rFonts w:cstheme="minorHAnsi"/>
          <w:lang w:val="en-GB"/>
        </w:rPr>
        <w:t>in order to</w:t>
      </w:r>
      <w:proofErr w:type="gramEnd"/>
      <w:r w:rsidRPr="005B33D4">
        <w:rPr>
          <w:rFonts w:cstheme="minorHAnsi"/>
          <w:lang w:val="en-GB"/>
        </w:rPr>
        <w:t xml:space="preserve"> control for background bacterial contamination. Quality and quantity of the extracted DNA was assessed in </w:t>
      </w:r>
      <w:proofErr w:type="spellStart"/>
      <w:r w:rsidRPr="005B33D4">
        <w:rPr>
          <w:rFonts w:cstheme="minorHAnsi"/>
          <w:lang w:val="en-GB"/>
        </w:rPr>
        <w:t>Denovix</w:t>
      </w:r>
      <w:proofErr w:type="spellEnd"/>
      <w:r w:rsidRPr="005B33D4">
        <w:rPr>
          <w:rFonts w:cstheme="minorHAnsi"/>
          <w:lang w:val="en-GB"/>
        </w:rPr>
        <w:t xml:space="preserve"> DS-11 spectrophotometer, with OD260/280 and OD260/230 ratios.</w:t>
      </w:r>
    </w:p>
    <w:p w14:paraId="62AF20F4" w14:textId="77777777" w:rsidR="00A84847" w:rsidRPr="00F10FC2" w:rsidRDefault="00A84847" w:rsidP="00542824">
      <w:pPr>
        <w:pStyle w:val="Ttulo2"/>
        <w:spacing w:line="480" w:lineRule="auto"/>
        <w:jc w:val="both"/>
        <w:rPr>
          <w:rFonts w:asciiTheme="minorHAnsi" w:hAnsiTheme="minorHAnsi" w:cstheme="minorHAnsi"/>
          <w:b w:val="0"/>
          <w:bCs w:val="0"/>
          <w:sz w:val="24"/>
          <w:szCs w:val="24"/>
          <w:lang w:val="en-GB"/>
        </w:rPr>
      </w:pPr>
      <w:bookmarkStart w:id="4" w:name="_Hlk54110266"/>
      <w:r w:rsidRPr="00F10FC2">
        <w:rPr>
          <w:rFonts w:asciiTheme="minorHAnsi" w:hAnsiTheme="minorHAnsi" w:cstheme="minorHAnsi"/>
          <w:b w:val="0"/>
          <w:bCs w:val="0"/>
          <w:sz w:val="24"/>
          <w:szCs w:val="24"/>
          <w:lang w:val="en-GB"/>
        </w:rPr>
        <w:t>16S rRNA gene amplification and sequencing</w:t>
      </w:r>
    </w:p>
    <w:bookmarkEnd w:id="4"/>
    <w:p w14:paraId="73902381" w14:textId="1480C929" w:rsidR="00A84847" w:rsidRPr="005B33D4" w:rsidRDefault="00A84847" w:rsidP="00542824">
      <w:pPr>
        <w:spacing w:line="480" w:lineRule="auto"/>
        <w:jc w:val="both"/>
        <w:rPr>
          <w:rFonts w:cstheme="minorHAnsi"/>
          <w:lang w:val="en-GB"/>
        </w:rPr>
      </w:pPr>
      <w:r w:rsidRPr="005B33D4">
        <w:rPr>
          <w:noProof/>
          <w:lang w:val="en-GB"/>
        </w:rPr>
        <w:drawing>
          <wp:anchor distT="0" distB="0" distL="114300" distR="114300" simplePos="0" relativeHeight="251659264" behindDoc="0" locked="0" layoutInCell="1" allowOverlap="1" wp14:anchorId="3AED5EA9" wp14:editId="3F554A18">
            <wp:simplePos x="0" y="0"/>
            <wp:positionH relativeFrom="column">
              <wp:posOffset>424815</wp:posOffset>
            </wp:positionH>
            <wp:positionV relativeFrom="paragraph">
              <wp:posOffset>37865685</wp:posOffset>
            </wp:positionV>
            <wp:extent cx="4443095" cy="4638675"/>
            <wp:effectExtent l="0" t="0" r="0" b="9525"/>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43095" cy="4638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5B33D4">
        <w:rPr>
          <w:rFonts w:cstheme="minorHAnsi"/>
          <w:lang w:val="en-GB"/>
        </w:rPr>
        <w:t xml:space="preserve">16S rRNA gene amplification and sequencing was carried out at the Gene Expression Unit from Instituto </w:t>
      </w:r>
      <w:proofErr w:type="spellStart"/>
      <w:r w:rsidRPr="005B33D4">
        <w:rPr>
          <w:rFonts w:cstheme="minorHAnsi"/>
          <w:lang w:val="en-GB"/>
        </w:rPr>
        <w:t>Gulbenkian</w:t>
      </w:r>
      <w:proofErr w:type="spellEnd"/>
      <w:r w:rsidRPr="005B33D4">
        <w:rPr>
          <w:rFonts w:cstheme="minorHAnsi"/>
          <w:lang w:val="en-GB"/>
        </w:rPr>
        <w:t xml:space="preserve"> de Ciência</w:t>
      </w:r>
      <w:r w:rsidR="00763390">
        <w:rPr>
          <w:rFonts w:cstheme="minorHAnsi"/>
          <w:lang w:val="en-GB"/>
        </w:rPr>
        <w:t xml:space="preserve"> following the implemented protocol</w:t>
      </w:r>
      <w:r w:rsidRPr="005B33D4">
        <w:rPr>
          <w:rFonts w:cstheme="minorHAnsi"/>
          <w:lang w:val="en-GB"/>
        </w:rPr>
        <w:t xml:space="preserve">. Briefly, for each sample, the hypervariable V4 region of 16S rRNA gene was amplified, using universal pair of primers F515 (5′-CACGGTCGKCGGCGCCATT-3′) / R806 (5′-GGACTACHVGGGTWTCTAAT-3′).  Samples were then pair-end-sequenced on an Illumina </w:t>
      </w:r>
      <w:proofErr w:type="spellStart"/>
      <w:r w:rsidRPr="005B33D4">
        <w:rPr>
          <w:rFonts w:cstheme="minorHAnsi"/>
          <w:lang w:val="en-GB"/>
        </w:rPr>
        <w:t>MiSeq</w:t>
      </w:r>
      <w:proofErr w:type="spellEnd"/>
      <w:r w:rsidRPr="005B33D4">
        <w:rPr>
          <w:rFonts w:cstheme="minorHAnsi"/>
          <w:lang w:val="en-GB"/>
        </w:rPr>
        <w:t xml:space="preserve"> Benchtop Sequencer, following Illumina recommendations.</w:t>
      </w:r>
    </w:p>
    <w:p w14:paraId="7BAEF728" w14:textId="77777777" w:rsidR="00A84847" w:rsidRPr="00F10FC2" w:rsidRDefault="00A84847" w:rsidP="00542824">
      <w:pPr>
        <w:pStyle w:val="Ttulo2"/>
        <w:spacing w:after="240" w:line="480" w:lineRule="auto"/>
        <w:jc w:val="both"/>
        <w:rPr>
          <w:rFonts w:asciiTheme="minorHAnsi" w:hAnsiTheme="minorHAnsi" w:cstheme="minorHAnsi"/>
          <w:b w:val="0"/>
          <w:bCs w:val="0"/>
          <w:sz w:val="24"/>
          <w:szCs w:val="24"/>
          <w:lang w:val="en-GB"/>
        </w:rPr>
      </w:pPr>
      <w:bookmarkStart w:id="5" w:name="_Hlk54110285"/>
      <w:r w:rsidRPr="00F10FC2">
        <w:rPr>
          <w:rFonts w:asciiTheme="minorHAnsi" w:hAnsiTheme="minorHAnsi" w:cstheme="minorHAnsi"/>
          <w:b w:val="0"/>
          <w:bCs w:val="0"/>
          <w:sz w:val="24"/>
          <w:szCs w:val="24"/>
          <w:lang w:val="en-GB"/>
        </w:rPr>
        <w:lastRenderedPageBreak/>
        <w:t>Microbiota and statistical analyses</w:t>
      </w:r>
    </w:p>
    <w:bookmarkEnd w:id="5"/>
    <w:p w14:paraId="024CBDEF" w14:textId="77777777" w:rsidR="00A84847" w:rsidRPr="00F10FC2" w:rsidRDefault="00A84847" w:rsidP="00542824">
      <w:pPr>
        <w:spacing w:after="0" w:line="480" w:lineRule="auto"/>
        <w:jc w:val="both"/>
        <w:rPr>
          <w:i/>
          <w:color w:val="4472C4" w:themeColor="accent1"/>
          <w:lang w:val="en-GB"/>
        </w:rPr>
      </w:pPr>
      <w:r w:rsidRPr="00F10FC2">
        <w:rPr>
          <w:i/>
          <w:color w:val="4472C4" w:themeColor="accent1"/>
          <w:lang w:val="en-GB"/>
        </w:rPr>
        <w:t>Sample characterisation</w:t>
      </w:r>
    </w:p>
    <w:p w14:paraId="551F2BCD" w14:textId="3B2C6BA1" w:rsidR="00A84847" w:rsidRPr="005B33D4" w:rsidRDefault="005B33D4" w:rsidP="00542824">
      <w:pPr>
        <w:spacing w:line="480" w:lineRule="auto"/>
        <w:jc w:val="both"/>
        <w:rPr>
          <w:lang w:val="en-GB"/>
        </w:rPr>
      </w:pPr>
      <w:bookmarkStart w:id="6" w:name="_Hlk54110348"/>
      <w:r w:rsidRPr="005B33D4">
        <w:rPr>
          <w:lang w:val="en-GB"/>
        </w:rPr>
        <w:t>Descriptive</w:t>
      </w:r>
      <w:r w:rsidR="00A84847" w:rsidRPr="005B33D4">
        <w:rPr>
          <w:lang w:val="en-GB"/>
        </w:rPr>
        <w:t xml:space="preserve"> statistics was used to describe the sampl</w:t>
      </w:r>
      <w:bookmarkEnd w:id="6"/>
      <w:r w:rsidR="00A84847" w:rsidRPr="005B33D4">
        <w:rPr>
          <w:lang w:val="en-GB"/>
        </w:rPr>
        <w:t>e, normality of data was assessed with Shapiro-Wilk normality test, ensuring the assumptions of parametric statistics approach. Comparisons between patients with COPD and Healthy controls were conducted with unpaired t-test with Welch’s correction, when quantitative data followed normal distribution, Mann-Whitney U-test, when quantitative data violated the assumptions of parametric</w:t>
      </w:r>
      <w:r w:rsidR="00C76285">
        <w:rPr>
          <w:lang w:val="en-GB"/>
        </w:rPr>
        <w:t xml:space="preserve"> tests (assessed with </w:t>
      </w:r>
      <w:r w:rsidR="00C76285" w:rsidRPr="00C76285">
        <w:rPr>
          <w:lang w:val="en-GB"/>
        </w:rPr>
        <w:t>Kolmogorov-Smirnov test</w:t>
      </w:r>
      <w:r w:rsidR="00C76285">
        <w:rPr>
          <w:lang w:val="en-GB"/>
        </w:rPr>
        <w:t>)</w:t>
      </w:r>
      <w:r w:rsidR="00A84847" w:rsidRPr="005B33D4">
        <w:rPr>
          <w:lang w:val="en-GB"/>
        </w:rPr>
        <w:t xml:space="preserve"> and Chi-square test, when qualitative data was considered</w:t>
      </w:r>
      <w:r w:rsidR="009C4D93">
        <w:rPr>
          <w:lang w:val="en-GB"/>
        </w:rPr>
        <w:t xml:space="preserve"> (statistical analyses were performed in</w:t>
      </w:r>
      <w:r w:rsidR="004C5186">
        <w:rPr>
          <w:lang w:val="en-GB"/>
        </w:rPr>
        <w:t xml:space="preserve"> </w:t>
      </w:r>
      <w:r w:rsidR="004C5186" w:rsidRPr="00C76285">
        <w:rPr>
          <w:i/>
          <w:iCs/>
          <w:lang w:val="en-GB"/>
        </w:rPr>
        <w:t>GraphPad Prism 8</w:t>
      </w:r>
      <w:r w:rsidR="004C5186">
        <w:rPr>
          <w:lang w:val="en-GB"/>
        </w:rPr>
        <w:t xml:space="preserve"> and</w:t>
      </w:r>
      <w:r w:rsidR="009C4D93">
        <w:rPr>
          <w:lang w:val="en-GB"/>
        </w:rPr>
        <w:t xml:space="preserve"> </w:t>
      </w:r>
      <w:r w:rsidR="009C4D93" w:rsidRPr="00C76285">
        <w:rPr>
          <w:i/>
          <w:iCs/>
          <w:lang w:val="en-GB"/>
        </w:rPr>
        <w:t>R</w:t>
      </w:r>
      <w:r w:rsidR="00C76285">
        <w:rPr>
          <w:lang w:val="en-GB"/>
        </w:rPr>
        <w:t xml:space="preserve"> software</w:t>
      </w:r>
      <w:r w:rsidR="009C4D93">
        <w:rPr>
          <w:lang w:val="en-GB"/>
        </w:rPr>
        <w:t>).</w:t>
      </w:r>
    </w:p>
    <w:p w14:paraId="27E0373C" w14:textId="77777777" w:rsidR="00A84847" w:rsidRPr="00F10FC2" w:rsidRDefault="00A84847" w:rsidP="00542824">
      <w:pPr>
        <w:spacing w:after="0" w:line="480" w:lineRule="auto"/>
        <w:jc w:val="both"/>
        <w:rPr>
          <w:rFonts w:cstheme="minorHAnsi"/>
          <w:i/>
          <w:color w:val="4472C4" w:themeColor="accent1"/>
          <w:lang w:val="en-GB"/>
        </w:rPr>
      </w:pPr>
      <w:r w:rsidRPr="00F10FC2">
        <w:rPr>
          <w:rFonts w:cstheme="minorHAnsi"/>
          <w:i/>
          <w:color w:val="4472C4" w:themeColor="accent1"/>
          <w:lang w:val="en-GB"/>
        </w:rPr>
        <w:t xml:space="preserve">Analysis of </w:t>
      </w:r>
      <w:proofErr w:type="spellStart"/>
      <w:r w:rsidRPr="00F10FC2">
        <w:rPr>
          <w:rFonts w:cstheme="minorHAnsi"/>
          <w:i/>
          <w:color w:val="4472C4" w:themeColor="accent1"/>
          <w:lang w:val="en-GB"/>
        </w:rPr>
        <w:t>illumina</w:t>
      </w:r>
      <w:proofErr w:type="spellEnd"/>
      <w:r w:rsidRPr="00F10FC2">
        <w:rPr>
          <w:rFonts w:cstheme="minorHAnsi"/>
          <w:i/>
          <w:color w:val="4472C4" w:themeColor="accent1"/>
          <w:lang w:val="en-GB"/>
        </w:rPr>
        <w:t xml:space="preserve"> </w:t>
      </w:r>
      <w:proofErr w:type="gramStart"/>
      <w:r w:rsidRPr="00F10FC2">
        <w:rPr>
          <w:rFonts w:cstheme="minorHAnsi"/>
          <w:i/>
          <w:color w:val="4472C4" w:themeColor="accent1"/>
          <w:lang w:val="en-GB"/>
        </w:rPr>
        <w:t>paired-end</w:t>
      </w:r>
      <w:proofErr w:type="gramEnd"/>
      <w:r w:rsidRPr="00F10FC2">
        <w:rPr>
          <w:rFonts w:cstheme="minorHAnsi"/>
          <w:i/>
          <w:color w:val="4472C4" w:themeColor="accent1"/>
          <w:lang w:val="en-GB"/>
        </w:rPr>
        <w:t xml:space="preserve"> reads</w:t>
      </w:r>
    </w:p>
    <w:p w14:paraId="5FB3C885" w14:textId="7B5DC564" w:rsidR="00A84847" w:rsidRPr="005B33D4" w:rsidRDefault="00C76285" w:rsidP="00542824">
      <w:pPr>
        <w:spacing w:line="480" w:lineRule="auto"/>
        <w:jc w:val="both"/>
        <w:rPr>
          <w:rFonts w:cstheme="minorHAnsi"/>
          <w:lang w:val="en-GB"/>
        </w:rPr>
      </w:pPr>
      <w:r w:rsidRPr="00810F8C">
        <w:rPr>
          <w:rFonts w:cstheme="minorHAnsi"/>
          <w:lang w:val="en-GB"/>
        </w:rPr>
        <w:t>QIIME2 2020.</w:t>
      </w:r>
      <w:r>
        <w:rPr>
          <w:rFonts w:cstheme="minorHAnsi"/>
          <w:lang w:val="en-GB"/>
        </w:rPr>
        <w:t>8</w:t>
      </w:r>
      <w:r w:rsidRPr="00810F8C">
        <w:rPr>
          <w:rFonts w:cstheme="minorHAnsi"/>
          <w:lang w:val="en-GB"/>
        </w:rPr>
        <w:t xml:space="preserve"> [2] was used to perform microbiota analyses. </w:t>
      </w:r>
      <w:r w:rsidR="00A84847" w:rsidRPr="005B33D4">
        <w:rPr>
          <w:rFonts w:cstheme="minorHAnsi"/>
          <w:lang w:val="en-GB"/>
        </w:rPr>
        <w:t xml:space="preserve">Demultiplexed 16s paired-end sequences were imported and q2-vsearch plugin was applied to join forward and reverse reads. Quality control was assessed via q-score base filtering, chimera removing and 16S-denoising with Deblur. Next, to exclude bacterial contaminations, we used the DECONTAM package in R which allowed us to identify 171 contaminant ASVs by evaluating the prevalence (presence/absence across samples of each DNA extraction batch) of each ASV in the saliva samples compared to the prevalence in the respective negative controls. These ASVs together with ASVs from </w:t>
      </w:r>
      <w:r w:rsidR="00A84847" w:rsidRPr="005B33D4">
        <w:rPr>
          <w:rFonts w:cstheme="minorHAnsi"/>
          <w:i/>
          <w:iCs/>
          <w:lang w:val="en-GB"/>
        </w:rPr>
        <w:t>mitochondria</w:t>
      </w:r>
      <w:r w:rsidR="00A84847" w:rsidRPr="005B33D4">
        <w:rPr>
          <w:rFonts w:cstheme="minorHAnsi"/>
          <w:lang w:val="en-GB"/>
        </w:rPr>
        <w:t xml:space="preserve">, </w:t>
      </w:r>
      <w:r w:rsidR="00A84847" w:rsidRPr="005B33D4">
        <w:rPr>
          <w:rFonts w:cstheme="minorHAnsi"/>
          <w:i/>
          <w:iCs/>
          <w:lang w:val="en-GB"/>
        </w:rPr>
        <w:t>chloroplasts</w:t>
      </w:r>
      <w:r w:rsidR="00A84847" w:rsidRPr="005B33D4">
        <w:rPr>
          <w:rFonts w:cstheme="minorHAnsi"/>
          <w:lang w:val="en-GB"/>
        </w:rPr>
        <w:t xml:space="preserve"> and </w:t>
      </w:r>
      <w:r w:rsidR="00A84847" w:rsidRPr="005B33D4">
        <w:rPr>
          <w:rFonts w:cstheme="minorHAnsi"/>
          <w:i/>
          <w:iCs/>
          <w:lang w:val="en-GB"/>
        </w:rPr>
        <w:t>cyanobacteria</w:t>
      </w:r>
      <w:r w:rsidR="00A84847" w:rsidRPr="005B33D4">
        <w:rPr>
          <w:rFonts w:cstheme="minorHAnsi"/>
          <w:lang w:val="en-GB"/>
        </w:rPr>
        <w:t xml:space="preserve">, and the negative control samples were removed from the dataset prior to conducting subsequent analyses. Results from previous steps were summarized in a feature table. q2-phylogeny plugin was next employed to produce a MAFFT alignment </w:t>
      </w:r>
      <w:r w:rsidR="00A84847" w:rsidRPr="005B33D4">
        <w:rPr>
          <w:rFonts w:cstheme="minorHAnsi"/>
          <w:lang w:val="en-GB"/>
        </w:rPr>
        <w:fldChar w:fldCharType="begin"/>
      </w:r>
      <w:r w:rsidR="00F10FC2">
        <w:rPr>
          <w:rFonts w:cstheme="minorHAnsi"/>
          <w:lang w:val="en-GB"/>
        </w:rPr>
        <w:instrText xml:space="preserve"> ADDIN ZOTERO_ITEM CSL_CITATION {"citationID":"rCQcI2wh","properties":{"formattedCitation":"[6]","plainCitation":"[6]","noteIndex":0},"citationItems":[{"id":14,"uris":["http://zotero.org/users/local/6zWa2PU7/items/W6H5RJDF"],"uri":["http://zotero.org/users/local/6zWa2PU7/items/W6H5RJDF"],"itemData":{"id":14,"type":"article-journal","abstract":"A multiple sequence alignment program, MAFFT, has been developed. The CPU time is drastically reduced as compared with existing methods. MAFFT includes two novel techniques. (i) Homo logous regions are rapidly identified by the fast Fourier transform (FFT), in which an amino acid sequence is converted to a sequence composed of volume and polarity values of each amino acid residue. (ii) We propose a simplified scoring system that performs well for reducing CPU time and increasing the accuracy of alignments even for sequences having large insertions or extensions as well as distantly related sequences of similar length. Two different heuristics, the progressive method (FFT-NS-2) and the iterative refinement method (FFT-NS-i), are implemented in MAFFT. The performances of FFT-NS-2 and FFT-NS-i were compared with other methods by computer simulations and benchmark tests; the CPU time of FFT-NS-2 is drastically reduced as compared with CLUSTALW with comparable accuracy. FFT-NS-i is over 100 times faster than T-COFFEE, when the number of input sequences exceeds 60, without sacrificing the accuracy.","container-title":"Nucleic Acids Research","DOI":"10.1093/nar/gkf436","ISSN":"1362-4962","issue":"14","journalAbbreviation":"Nucleic Acids Res.","language":"eng","note":"PMID: 12136088\nPMCID: PMC135756","page":"3059-3066","source":"PubMed","title":"MAFFT: a novel method for rapid multiple sequence alignment based on fast Fourier transform","title-short":"MAFFT","volume":"30","author":[{"family":"Katoh","given":"Kazutaka"},{"family":"Misawa","given":"Kazuharu"},{"family":"Kuma","given":"Kei-ichi"},{"family":"Miyata","given":"Takashi"}],"issued":{"date-parts":[["2002",7,15]]}}}],"schema":"https://github.com/citation-style-language/schema/raw/master/csl-citation.json"} </w:instrText>
      </w:r>
      <w:r w:rsidR="00A84847" w:rsidRPr="005B33D4">
        <w:rPr>
          <w:rFonts w:cstheme="minorHAnsi"/>
          <w:lang w:val="en-GB"/>
        </w:rPr>
        <w:fldChar w:fldCharType="separate"/>
      </w:r>
      <w:r w:rsidR="00C71D73" w:rsidRPr="00C71D73">
        <w:rPr>
          <w:rFonts w:ascii="Calibri" w:hAnsi="Calibri" w:cs="Calibri"/>
          <w:lang w:val="en-GB"/>
        </w:rPr>
        <w:t>[6]</w:t>
      </w:r>
      <w:r w:rsidR="00A84847" w:rsidRPr="005B33D4">
        <w:rPr>
          <w:rFonts w:cstheme="minorHAnsi"/>
          <w:lang w:val="en-GB"/>
        </w:rPr>
        <w:fldChar w:fldCharType="end"/>
      </w:r>
      <w:r w:rsidR="00A84847" w:rsidRPr="005B33D4">
        <w:rPr>
          <w:rFonts w:cstheme="minorHAnsi"/>
          <w:lang w:val="en-GB"/>
        </w:rPr>
        <w:t xml:space="preserve"> of ASVs which was consequently used to construct a rooted phylogeny with FastTree2 </w:t>
      </w:r>
      <w:r w:rsidR="00A84847" w:rsidRPr="005B33D4">
        <w:rPr>
          <w:rFonts w:cstheme="minorHAnsi"/>
          <w:lang w:val="en-GB"/>
        </w:rPr>
        <w:fldChar w:fldCharType="begin"/>
      </w:r>
      <w:r w:rsidR="00F10FC2">
        <w:rPr>
          <w:rFonts w:cstheme="minorHAnsi"/>
          <w:lang w:val="en-GB"/>
        </w:rPr>
        <w:instrText xml:space="preserve"> ADDIN ZOTERO_ITEM CSL_CITATION {"citationID":"2l5TpuMt","properties":{"formattedCitation":"[7]","plainCitation":"[7]","noteIndex":0},"citationItems":[{"id":16,"uris":["http://zotero.org/users/local/6zWa2PU7/items/SICSLMLB"],"uri":["http://zotero.org/users/local/6zWa2PU7/items/SICSLMLB"],"itemData":{"id":16,"type":"webpage","title":"FastTree 2 – Approximately Maximum-Likelihood Trees for Large Alignments","URL":"https://journals.plos.org/plosone/article?id=10.1371/journal.pone.0009490","accessed":{"date-parts":[["2019",7,23]]}}}],"schema":"https://github.com/citation-style-language/schema/raw/master/csl-citation.json"} </w:instrText>
      </w:r>
      <w:r w:rsidR="00A84847" w:rsidRPr="005B33D4">
        <w:rPr>
          <w:rFonts w:cstheme="minorHAnsi"/>
          <w:lang w:val="en-GB"/>
        </w:rPr>
        <w:fldChar w:fldCharType="separate"/>
      </w:r>
      <w:r w:rsidR="00C71D73" w:rsidRPr="00C71D73">
        <w:rPr>
          <w:rFonts w:ascii="Calibri" w:hAnsi="Calibri" w:cs="Calibri"/>
          <w:lang w:val="en-GB"/>
        </w:rPr>
        <w:t>[7]</w:t>
      </w:r>
      <w:r w:rsidR="00A84847" w:rsidRPr="005B33D4">
        <w:rPr>
          <w:rFonts w:cstheme="minorHAnsi"/>
          <w:lang w:val="en-GB"/>
        </w:rPr>
        <w:fldChar w:fldCharType="end"/>
      </w:r>
      <w:r w:rsidR="00A84847" w:rsidRPr="005B33D4">
        <w:rPr>
          <w:rFonts w:cstheme="minorHAnsi"/>
          <w:lang w:val="en-GB"/>
        </w:rPr>
        <w:t xml:space="preserve"> for subsequent applications.</w:t>
      </w:r>
    </w:p>
    <w:p w14:paraId="314F06F8" w14:textId="2E8A9B20" w:rsidR="000A2F6B" w:rsidRDefault="00A84847" w:rsidP="00542824">
      <w:pPr>
        <w:spacing w:line="480" w:lineRule="auto"/>
        <w:jc w:val="both"/>
        <w:rPr>
          <w:rFonts w:cstheme="minorHAnsi"/>
          <w:lang w:val="en-GB"/>
        </w:rPr>
      </w:pPr>
      <w:bookmarkStart w:id="7" w:name="_Hlk76995313"/>
      <w:r w:rsidRPr="005B33D4">
        <w:rPr>
          <w:rFonts w:cstheme="minorHAnsi"/>
          <w:lang w:val="en-GB"/>
        </w:rPr>
        <w:t xml:space="preserve">Taxonomy assignment of ASVs was performed with q2-feature-classifier plugin </w:t>
      </w:r>
      <w:r w:rsidRPr="005B33D4">
        <w:rPr>
          <w:rFonts w:cstheme="minorHAnsi"/>
          <w:lang w:val="en-GB"/>
        </w:rPr>
        <w:fldChar w:fldCharType="begin"/>
      </w:r>
      <w:r w:rsidR="00F10FC2">
        <w:rPr>
          <w:rFonts w:cstheme="minorHAnsi"/>
          <w:lang w:val="en-GB"/>
        </w:rPr>
        <w:instrText xml:space="preserve"> ADDIN ZOTERO_ITEM CSL_CITATION {"citationID":"manQ933c","properties":{"formattedCitation":"[8]","plainCitation":"[8]","noteIndex":0},"citationItems":[{"id":4,"uris":["http://zotero.org/users/local/6zWa2PU7/items/HL9IS6SB"],"uri":["http://zotero.org/users/local/6zWa2PU7/items/HL9IS6SB"],"itemData":{"id":4,"type":"article-journal","container-title":"Microbiome","DOI":"10.1186/s40168-018-0470-z","ISSN":"2049-2618","issue":"1","journalAbbreviation":"Microbiome","language":"en","page":"90","source":"DOI.org (Crossref)","title":"Optimizing taxonomic classification of marker-gene amplicon sequences with QIIME 2’s q2-feature-classifier plugin","volume":"6","author":[{"family":"Bokulich","given":"Nicholas A."},{"family":"Kaehler","given":"Benjamin D."},{"family":"Rideout","given":"Jai Ram"},{"family":"Dillon","given":"Matthew"},{"family":"Bolyen","given":"Evan"},{"family":"Knight","given":"Rob"},{"family":"Huttley","given":"Gavin A."},{"family":"Gregory Caporaso","given":"J."}],"issued":{"date-parts":[["2018",12]]}}}],"schema":"https://github.com/citation-style-language/schema/raw/master/csl-citation.json"} </w:instrText>
      </w:r>
      <w:r w:rsidRPr="005B33D4">
        <w:rPr>
          <w:rFonts w:cstheme="minorHAnsi"/>
          <w:lang w:val="en-GB"/>
        </w:rPr>
        <w:fldChar w:fldCharType="separate"/>
      </w:r>
      <w:r w:rsidR="00C71D73" w:rsidRPr="00C71D73">
        <w:rPr>
          <w:rFonts w:ascii="Calibri" w:hAnsi="Calibri" w:cs="Calibri"/>
          <w:lang w:val="en-GB"/>
        </w:rPr>
        <w:t>[8]</w:t>
      </w:r>
      <w:r w:rsidRPr="005B33D4">
        <w:rPr>
          <w:rFonts w:cstheme="minorHAnsi"/>
          <w:lang w:val="en-GB"/>
        </w:rPr>
        <w:fldChar w:fldCharType="end"/>
      </w:r>
      <w:r w:rsidRPr="005B33D4">
        <w:rPr>
          <w:rFonts w:cstheme="minorHAnsi"/>
          <w:lang w:val="en-GB"/>
        </w:rPr>
        <w:t>, through classify-</w:t>
      </w:r>
      <w:proofErr w:type="spellStart"/>
      <w:r w:rsidRPr="005B33D4">
        <w:rPr>
          <w:rFonts w:cstheme="minorHAnsi"/>
          <w:lang w:val="en-GB"/>
        </w:rPr>
        <w:t>sklearn</w:t>
      </w:r>
      <w:proofErr w:type="spellEnd"/>
      <w:r w:rsidRPr="005B33D4">
        <w:rPr>
          <w:rFonts w:cstheme="minorHAnsi"/>
          <w:lang w:val="en-GB"/>
        </w:rPr>
        <w:t xml:space="preserve"> method with pre-trained Naïve Bayes classifier against 99%-eHOMD_v15.1 </w:t>
      </w:r>
      <w:r w:rsidRPr="005B33D4">
        <w:rPr>
          <w:rFonts w:cstheme="minorHAnsi"/>
          <w:lang w:val="en-GB"/>
        </w:rPr>
        <w:lastRenderedPageBreak/>
        <w:t>reference sequences</w:t>
      </w:r>
      <w:r w:rsidRPr="005B33D4">
        <w:rPr>
          <w:rFonts w:cstheme="minorHAnsi"/>
          <w:lang w:val="en-GB"/>
        </w:rPr>
        <w:fldChar w:fldCharType="begin"/>
      </w:r>
      <w:r w:rsidR="00F10FC2">
        <w:rPr>
          <w:rFonts w:cstheme="minorHAnsi"/>
          <w:lang w:val="en-GB"/>
        </w:rPr>
        <w:instrText xml:space="preserve"> ADDIN ZOTERO_ITEM CSL_CITATION {"citationID":"tZDbb2b4","properties":{"formattedCitation":"[9]","plainCitation":"[9]","noteIndex":0},"citationItems":[{"id":242,"uris":["http://zotero.org/users/local/6zWa2PU7/items/2QPPL8TH"],"uri":["http://zotero.org/users/local/6zWa2PU7/items/2QPPL8TH"],"itemData":{"id":242,"type":"article-journal","abstract":"Abstract\n            \n              Background\n              The low cost of 16S rRNA gene sequencing facilitates population-scale molecular epidemiological studies. Existing computational algorithms can resolve 16S rRNA gene sequences into high-resolution amplicon sequence variants (ASVs), which represent consistent labels comparable across studies. Assigning these ASVs to species-level taxonomy strengthens the ecological and/or clinical relevance of 16S rRNA gene-based microbiota studies and further facilitates data comparison across studies.\n            \n            \n              Results\n              \n                To achieve this, we developed a broadly applicable method for constructing high-resolution training sets based on the phylogenic relationships among microbes found in a habitat of interest. When used with the naïve Bayesian Ribosomal Database Project (RDP) Classifier, this training set achieved species/supraspecies-level taxonomic assignment of 16S rRNA gene-derived ASVs. The key steps for generating such a training set are (1) constructing an accurate and comprehensive phylogenetic-based, habitat-specific database; (2) compiling multiple 16S rRNA gene sequences to represent the natural sequence variability of each taxon in the database; (3) trimming the training set to match the sequenced regions, if necessary; and (4) placing species sharing closely related sequences into a training-set-specific supraspecies taxonomic level to preserve subgenus-level resolution. As proof of principle, we developed a V1–V3 region training set for the bacterial microbiota of the human aerodigestive tract using the full-length 16S rRNA gene reference sequences compiled in our expanded Human Oral Microbiome Database (\n                eHOMD\n                ). We also overcame technical limitations to successfully use Illumina sequences for the 16S rRNA gene V1–V3 region, the most informative segment for classifying bacteria native to the human aerodigestive tract. Finally, we generated a full-length eHOMD 16S rRNA gene training set, which we used in conjunction with an independent PacBio single molecule, real-time (SMRT)-sequenced sinonasal dataset to validate the representation of species in our training set. This also established the effectiveness of a full-length training set for assigning taxonomy of long-read 16S rRNA gene datasets.\n              \n            \n            \n              Conclusion\n              Here, we present a systematic approach for constructing a phylogeny-based, high-resolution, habitat-specific training set that permits species/supraspecies-level taxonomic assignment to short- and long-read 16S rRNA gene-derived ASVs. This advancement enhances the ecological and/or clinical relevance of 16S rRNA gene-based microbiota studies.","container-title":"Microbiome","DOI":"10.1186/s40168-020-00841-w","ISSN":"2049-2618","issue":"1","journalAbbreviation":"Microbiome","language":"en","page":"65","source":"DOI.org (Crossref)","title":"Construction of habitat-specific training sets to achieve species-level assignment in 16S rRNA gene datasets","volume":"8","author":[{"family":"F. Escapa","given":"Isabel"},{"family":"Huang","given":"Yanmei"},{"family":"Chen","given":"Tsute"},{"family":"Lin","given":"Maoxuan"},{"family":"Kokaras","given":"Alexis"},{"family":"Dewhirst","given":"Floyd E."},{"family":"Lemon","given":"Katherine P."}],"issued":{"date-parts":[["2020",12]]}}}],"schema":"https://github.com/citation-style-language/schema/raw/master/csl-citation.json"} </w:instrText>
      </w:r>
      <w:r w:rsidRPr="005B33D4">
        <w:rPr>
          <w:rFonts w:cstheme="minorHAnsi"/>
          <w:lang w:val="en-GB"/>
        </w:rPr>
        <w:fldChar w:fldCharType="separate"/>
      </w:r>
      <w:r w:rsidR="00C71D73" w:rsidRPr="00C71D73">
        <w:rPr>
          <w:rFonts w:ascii="Calibri" w:hAnsi="Calibri" w:cs="Calibri"/>
          <w:lang w:val="en-GB"/>
        </w:rPr>
        <w:t>[9]</w:t>
      </w:r>
      <w:r w:rsidRPr="005B33D4">
        <w:rPr>
          <w:rFonts w:cstheme="minorHAnsi"/>
          <w:lang w:val="en-GB"/>
        </w:rPr>
        <w:fldChar w:fldCharType="end"/>
      </w:r>
      <w:r w:rsidRPr="005B33D4">
        <w:rPr>
          <w:rFonts w:cstheme="minorHAnsi"/>
          <w:lang w:val="en-GB"/>
        </w:rPr>
        <w:t xml:space="preserve"> </w:t>
      </w:r>
      <w:bookmarkEnd w:id="7"/>
      <w:r w:rsidRPr="005B33D4">
        <w:rPr>
          <w:rFonts w:cstheme="minorHAnsi"/>
          <w:lang w:val="en-GB"/>
        </w:rPr>
        <w:t xml:space="preserve">(sequences trimmed to only include 250bp of V4 region, bound by the </w:t>
      </w:r>
      <w:bookmarkStart w:id="8" w:name="_Hlk76995185"/>
      <w:r w:rsidRPr="005B33D4">
        <w:rPr>
          <w:rFonts w:cstheme="minorHAnsi"/>
          <w:lang w:val="en-GB"/>
        </w:rPr>
        <w:t>F515/R806 primer pair</w:t>
      </w:r>
      <w:bookmarkEnd w:id="8"/>
      <w:r w:rsidRPr="005B33D4">
        <w:rPr>
          <w:rFonts w:cstheme="minorHAnsi"/>
          <w:lang w:val="en-GB"/>
        </w:rPr>
        <w:t>).</w:t>
      </w:r>
      <w:r w:rsidR="000A2F6B">
        <w:rPr>
          <w:rFonts w:cstheme="minorHAnsi"/>
          <w:lang w:val="en-GB"/>
        </w:rPr>
        <w:t xml:space="preserve"> </w:t>
      </w:r>
    </w:p>
    <w:p w14:paraId="7522BB1E" w14:textId="3598564B" w:rsidR="000A2F6B" w:rsidRPr="005B33D4" w:rsidRDefault="000A2F6B" w:rsidP="00542824">
      <w:pPr>
        <w:spacing w:line="480" w:lineRule="auto"/>
        <w:jc w:val="both"/>
        <w:rPr>
          <w:rFonts w:cstheme="minorHAnsi"/>
          <w:lang w:val="en-GB"/>
        </w:rPr>
      </w:pPr>
      <w:r>
        <w:rPr>
          <w:rFonts w:cstheme="minorHAnsi"/>
          <w:lang w:val="en-GB"/>
        </w:rPr>
        <w:t>All the subsequent analyses, excepting the differential abundance, were performed with data upon ASVs.</w:t>
      </w:r>
      <w:r w:rsidR="000C026F">
        <w:rPr>
          <w:rFonts w:cstheme="minorHAnsi"/>
          <w:lang w:val="en-GB"/>
        </w:rPr>
        <w:t xml:space="preserve"> Differential abundance analyses were done with data upon OTUs at taxonomic level 6.</w:t>
      </w:r>
    </w:p>
    <w:p w14:paraId="6C026E9D" w14:textId="77777777" w:rsidR="00A84847" w:rsidRPr="00F10FC2" w:rsidRDefault="00A84847" w:rsidP="00542824">
      <w:pPr>
        <w:spacing w:after="0" w:line="480" w:lineRule="auto"/>
        <w:jc w:val="both"/>
        <w:rPr>
          <w:rFonts w:cstheme="minorHAnsi"/>
          <w:i/>
          <w:color w:val="4472C4" w:themeColor="accent1"/>
          <w:lang w:val="en-GB"/>
        </w:rPr>
      </w:pPr>
      <w:r w:rsidRPr="00F10FC2">
        <w:rPr>
          <w:rFonts w:cstheme="minorHAnsi"/>
          <w:i/>
          <w:color w:val="4472C4" w:themeColor="accent1"/>
          <w:lang w:val="en-GB"/>
        </w:rPr>
        <w:t>Diversity analyses</w:t>
      </w:r>
    </w:p>
    <w:p w14:paraId="345A6569" w14:textId="27B80169" w:rsidR="00A84847" w:rsidRPr="00C76285" w:rsidRDefault="00A84847" w:rsidP="00542824">
      <w:pPr>
        <w:spacing w:line="480" w:lineRule="auto"/>
        <w:jc w:val="both"/>
        <w:rPr>
          <w:rFonts w:eastAsia="HqcmsqAdvTT86d47313+22" w:cstheme="minorHAnsi"/>
          <w:color w:val="131413"/>
          <w:sz w:val="20"/>
          <w:szCs w:val="20"/>
          <w:lang w:val="en-GB"/>
        </w:rPr>
      </w:pPr>
      <w:r w:rsidRPr="005B33D4">
        <w:rPr>
          <w:rFonts w:cstheme="minorHAnsi"/>
          <w:lang w:val="en-GB"/>
        </w:rPr>
        <w:t xml:space="preserve">Alpha- and beta-diversities were estimated q2-diversity plugin </w:t>
      </w:r>
      <w:bookmarkStart w:id="9" w:name="_Hlk76994483"/>
      <w:r w:rsidRPr="005B33D4">
        <w:rPr>
          <w:rFonts w:cstheme="minorHAnsi"/>
          <w:lang w:val="en-GB"/>
        </w:rPr>
        <w:t>after rarefaction of samples (subsample without replacement) to 4000 sequences per sample</w:t>
      </w:r>
      <w:bookmarkEnd w:id="9"/>
      <w:r w:rsidRPr="005B33D4">
        <w:rPr>
          <w:rFonts w:cstheme="minorHAnsi"/>
          <w:lang w:val="en-GB"/>
        </w:rPr>
        <w:t xml:space="preserve">. Spatial dissimilarities between bacterial communities of different groups were assessed with </w:t>
      </w:r>
      <w:r w:rsidR="003709F2" w:rsidRPr="005B33D4">
        <w:rPr>
          <w:rFonts w:cstheme="minorHAnsi"/>
          <w:lang w:val="en-GB"/>
        </w:rPr>
        <w:t>principal</w:t>
      </w:r>
      <w:r w:rsidRPr="005B33D4">
        <w:rPr>
          <w:rFonts w:cstheme="minorHAnsi"/>
          <w:lang w:val="en-GB"/>
        </w:rPr>
        <w:t xml:space="preserve"> coordinate analyses (PCoA) and </w:t>
      </w:r>
      <w:r w:rsidR="005B33D4" w:rsidRPr="005B33D4">
        <w:rPr>
          <w:rFonts w:cstheme="minorHAnsi"/>
          <w:lang w:val="en-GB"/>
        </w:rPr>
        <w:t>biplots based</w:t>
      </w:r>
      <w:r w:rsidRPr="005B33D4">
        <w:rPr>
          <w:rFonts w:cstheme="minorHAnsi"/>
          <w:lang w:val="en-GB"/>
        </w:rPr>
        <w:t xml:space="preserve"> on Weighted Unifrac distance. </w:t>
      </w:r>
      <w:bookmarkStart w:id="10" w:name="_Hlk67921747"/>
      <w:r w:rsidRPr="005B33D4">
        <w:rPr>
          <w:rFonts w:cstheme="minorHAnsi"/>
          <w:lang w:val="en-GB"/>
        </w:rPr>
        <w:t>Mann-W</w:t>
      </w:r>
      <w:r w:rsidR="005B33D4">
        <w:rPr>
          <w:rFonts w:cstheme="minorHAnsi"/>
          <w:lang w:val="en-GB"/>
        </w:rPr>
        <w:t>hit</w:t>
      </w:r>
      <w:r w:rsidRPr="005B33D4">
        <w:rPr>
          <w:rFonts w:cstheme="minorHAnsi"/>
          <w:lang w:val="en-GB"/>
        </w:rPr>
        <w:t>ney U-test and Kruskal-Wallis with Dunn’s correction were employed to compare alpha diversity among groups</w:t>
      </w:r>
      <w:r w:rsidR="009C4D93">
        <w:rPr>
          <w:rFonts w:cstheme="minorHAnsi"/>
          <w:lang w:val="en-GB"/>
        </w:rPr>
        <w:t xml:space="preserve"> </w:t>
      </w:r>
      <w:r w:rsidR="009C4D93">
        <w:rPr>
          <w:lang w:val="en-GB"/>
        </w:rPr>
        <w:t xml:space="preserve">(statistical analyses were performed in </w:t>
      </w:r>
      <w:r w:rsidR="004C5186" w:rsidRPr="00C76285">
        <w:rPr>
          <w:i/>
          <w:iCs/>
          <w:lang w:val="en-GB"/>
        </w:rPr>
        <w:t>GraphPad Prism 8</w:t>
      </w:r>
      <w:r w:rsidR="004C5186" w:rsidRPr="00C76285">
        <w:rPr>
          <w:lang w:val="en-GB"/>
        </w:rPr>
        <w:t xml:space="preserve"> and </w:t>
      </w:r>
      <w:r w:rsidR="004C5186" w:rsidRPr="00C76285">
        <w:rPr>
          <w:i/>
          <w:iCs/>
          <w:lang w:val="en-GB"/>
        </w:rPr>
        <w:t>R</w:t>
      </w:r>
      <w:r w:rsidR="00C76285" w:rsidRPr="00C76285">
        <w:rPr>
          <w:lang w:val="en-GB"/>
        </w:rPr>
        <w:t xml:space="preserve"> software</w:t>
      </w:r>
      <w:r w:rsidR="009C4D93" w:rsidRPr="00C76285">
        <w:rPr>
          <w:lang w:val="en-GB"/>
        </w:rPr>
        <w:t>)</w:t>
      </w:r>
      <w:r w:rsidRPr="00C76285">
        <w:rPr>
          <w:rFonts w:cstheme="minorHAnsi"/>
          <w:lang w:val="en-GB"/>
        </w:rPr>
        <w:t>.</w:t>
      </w:r>
      <w:bookmarkEnd w:id="10"/>
      <w:r w:rsidRPr="00C76285">
        <w:rPr>
          <w:rFonts w:cstheme="minorHAnsi"/>
          <w:lang w:val="en-GB"/>
        </w:rPr>
        <w:t xml:space="preserve"> </w:t>
      </w:r>
      <w:r w:rsidR="00B006EB" w:rsidRPr="00B006EB">
        <w:rPr>
          <w:rFonts w:cstheme="minorHAnsi"/>
          <w:lang w:val="en-GB"/>
        </w:rPr>
        <w:t>Ad</w:t>
      </w:r>
      <w:bookmarkStart w:id="11" w:name="_Hlk83134196"/>
      <w:r w:rsidR="00B006EB" w:rsidRPr="00B006EB">
        <w:rPr>
          <w:rFonts w:cstheme="minorHAnsi"/>
          <w:lang w:val="en-GB"/>
        </w:rPr>
        <w:t>ditionally, the effect of disease state (COPD vs healthy) on alpha diversity indexes was adjusted for pack-years using a Linear Regression Model</w:t>
      </w:r>
      <w:r w:rsidR="00B006EB">
        <w:rPr>
          <w:rFonts w:cstheme="minorHAnsi"/>
          <w:lang w:val="en-GB"/>
        </w:rPr>
        <w:t xml:space="preserve"> (</w:t>
      </w:r>
      <w:r w:rsidR="00B006EB" w:rsidRPr="00C76285">
        <w:rPr>
          <w:i/>
          <w:iCs/>
          <w:lang w:val="en-GB"/>
        </w:rPr>
        <w:t>R</w:t>
      </w:r>
      <w:r w:rsidR="00B006EB" w:rsidRPr="00C76285">
        <w:rPr>
          <w:lang w:val="en-GB"/>
        </w:rPr>
        <w:t xml:space="preserve"> software</w:t>
      </w:r>
      <w:r w:rsidR="00B006EB">
        <w:rPr>
          <w:lang w:val="en-GB"/>
        </w:rPr>
        <w:t>)</w:t>
      </w:r>
      <w:r w:rsidR="00B006EB" w:rsidRPr="00B006EB">
        <w:rPr>
          <w:rFonts w:cstheme="minorHAnsi"/>
          <w:lang w:val="en-GB"/>
        </w:rPr>
        <w:t>.</w:t>
      </w:r>
      <w:r w:rsidR="00B006EB">
        <w:rPr>
          <w:rFonts w:cstheme="minorHAnsi"/>
          <w:lang w:val="en-GB"/>
        </w:rPr>
        <w:t xml:space="preserve"> </w:t>
      </w:r>
      <w:bookmarkEnd w:id="11"/>
      <w:r w:rsidRPr="00C76285">
        <w:rPr>
          <w:rFonts w:cstheme="minorHAnsi"/>
          <w:lang w:val="en-GB"/>
        </w:rPr>
        <w:t>Differences in beta-</w:t>
      </w:r>
      <w:r w:rsidR="005B33D4" w:rsidRPr="00C76285">
        <w:rPr>
          <w:rFonts w:cstheme="minorHAnsi"/>
          <w:lang w:val="en-GB"/>
        </w:rPr>
        <w:t>diversity</w:t>
      </w:r>
      <w:r w:rsidRPr="00C76285">
        <w:rPr>
          <w:rFonts w:cstheme="minorHAnsi"/>
          <w:lang w:val="en-GB"/>
        </w:rPr>
        <w:t xml:space="preserve"> between groups were quantified by </w:t>
      </w:r>
      <w:r w:rsidR="00BE092F" w:rsidRPr="00C76285">
        <w:rPr>
          <w:rFonts w:cstheme="minorHAnsi"/>
          <w:lang w:val="en-GB"/>
        </w:rPr>
        <w:t>Permutational multivariate analysis of variance (</w:t>
      </w:r>
      <w:r w:rsidR="008011E5" w:rsidRPr="00C76285">
        <w:rPr>
          <w:rFonts w:cstheme="minorHAnsi"/>
          <w:lang w:val="en-GB"/>
        </w:rPr>
        <w:t>PERMANOVA</w:t>
      </w:r>
      <w:r w:rsidR="00BE092F" w:rsidRPr="00C76285">
        <w:rPr>
          <w:rFonts w:cstheme="minorHAnsi"/>
          <w:lang w:val="en-GB"/>
        </w:rPr>
        <w:t xml:space="preserve">) </w:t>
      </w:r>
      <w:r w:rsidR="00BE092F" w:rsidRPr="00C76285">
        <w:rPr>
          <w:rFonts w:cstheme="minorHAnsi"/>
          <w:lang w:val="en-GB"/>
        </w:rPr>
        <w:fldChar w:fldCharType="begin"/>
      </w:r>
      <w:r w:rsidR="008011E5" w:rsidRPr="00C76285">
        <w:rPr>
          <w:rFonts w:cstheme="minorHAnsi"/>
          <w:lang w:val="en-GB"/>
        </w:rPr>
        <w:instrText xml:space="preserve"> ADDIN ZOTERO_ITEM CSL_CITATION {"citationID":"Bi7LmiAz","properties":{"formattedCitation":"[10,11]","plainCitation":"[10,11]","noteIndex":0},"citationItems":[{"id":43,"uris":["http://zotero.org/users/local/6zWa2PU7/items/KS76F3R4"],"uri":["http://zotero.org/users/local/6zWa2PU7/items/KS76F3R4"],"itemData":{"id":43,"type":"article-journal","abstract":"Hypothesis-testing methods for multivariate data are needed to make rigorous probability statements about the effects of factors and their interactions in experiments. Analysis of variance is particularly powerful for the analysis of univariate data. The traditional multivariate analogues, however, are too stringent in their assumptions for most ecological multivariate data sets. Non-parametric methods, based on permutation tests, are preferable. This paper describes a new non-parametric method for multivariate analysis of variance, after McArdle and Anderson (in press). It is given here, with several applications in ecology, to provide an alternative and perhaps more intuitive formulation for ANOVA (based on sums of squared distances) to complement the description provided by McArdle and Anderson (in press) for the analysis of any linear model. It is an improvement on previous non-parametric methods because it allows a direct additive partitioning of variation for complex models. It does this while maintaining the flexibility and lack of formal assumptions of other non-parametric methods. The test-statistic is a multivariate analogue to Fisher’s F-ratio and is calculated directly from any symmetric distance or dissimilarity matrix. P-values are then obtained using permutations. Some examples of the method are given for tests involving several factors, including factorial and hierarchical (nested) designs and tests of interactions.","container-title":"Austral Ecology","DOI":"10.1111/j.1442-9993.2001.01070.pp.x","ISSN":"1442-9993","issue":"1","language":"en","page":"32-46","source":"Wiley Online Library","title":"A new method for non-parametric multivariate analysis of variance","volume":"26","author":[{"family":"Anderson","given":"Marti J."}],"issued":{"date-parts":[["2001"]]}}},{"id":333,"uris":["http://zotero.org/users/local/6zWa2PU7/items/7C4UH9WN"],"uri":["http://zotero.org/users/local/6zWa2PU7/items/7C4UH9WN"],"itemData":{"id":333,"type":"webpage","title":"adonis function - RDocumentation","URL":"https://www.rdocumentation.org/packages/vegan/versions/2.4-2/topics/adonis","accessed":{"date-parts":[["2021",9,15]]}}}],"schema":"https://github.com/citation-style-language/schema/raw/master/csl-citation.json"} </w:instrText>
      </w:r>
      <w:r w:rsidR="00BE092F" w:rsidRPr="00C76285">
        <w:rPr>
          <w:rFonts w:cstheme="minorHAnsi"/>
          <w:lang w:val="en-GB"/>
        </w:rPr>
        <w:fldChar w:fldCharType="separate"/>
      </w:r>
      <w:r w:rsidR="00C71D73" w:rsidRPr="00C71D73">
        <w:rPr>
          <w:rFonts w:ascii="Calibri" w:hAnsi="Calibri" w:cs="Calibri"/>
          <w:lang w:val="en-GB"/>
        </w:rPr>
        <w:t>[10,11]</w:t>
      </w:r>
      <w:r w:rsidR="00BE092F" w:rsidRPr="00C76285">
        <w:rPr>
          <w:rFonts w:cstheme="minorHAnsi"/>
          <w:lang w:val="en-GB"/>
        </w:rPr>
        <w:fldChar w:fldCharType="end"/>
      </w:r>
      <w:r w:rsidR="00BE092F" w:rsidRPr="00C76285">
        <w:rPr>
          <w:rFonts w:cstheme="minorHAnsi"/>
          <w:lang w:val="en-GB"/>
        </w:rPr>
        <w:t xml:space="preserve"> </w:t>
      </w:r>
      <w:r w:rsidR="00C76285" w:rsidRPr="00C76285">
        <w:rPr>
          <w:rFonts w:cstheme="minorHAnsi"/>
          <w:lang w:val="en-GB"/>
        </w:rPr>
        <w:t xml:space="preserve">was conducted with </w:t>
      </w:r>
      <w:r w:rsidR="00C76285" w:rsidRPr="00C76285">
        <w:rPr>
          <w:rFonts w:cstheme="minorHAnsi"/>
          <w:i/>
          <w:iCs/>
          <w:lang w:val="en-GB"/>
        </w:rPr>
        <w:t>adonis2</w:t>
      </w:r>
      <w:r w:rsidR="00C76285" w:rsidRPr="00C76285">
        <w:rPr>
          <w:rFonts w:cstheme="minorHAnsi"/>
          <w:lang w:val="en-GB"/>
        </w:rPr>
        <w:t xml:space="preserve"> </w:t>
      </w:r>
      <w:r w:rsidR="00E057AA">
        <w:rPr>
          <w:rFonts w:cstheme="minorHAnsi"/>
          <w:lang w:val="en-GB"/>
        </w:rPr>
        <w:t>(</w:t>
      </w:r>
      <w:r w:rsidR="00E057AA" w:rsidRPr="00E057AA">
        <w:rPr>
          <w:rFonts w:cstheme="minorHAnsi"/>
          <w:i/>
          <w:iCs/>
          <w:lang w:val="en-GB"/>
        </w:rPr>
        <w:t>vegan</w:t>
      </w:r>
      <w:r w:rsidR="00E057AA">
        <w:rPr>
          <w:rFonts w:cstheme="minorHAnsi"/>
          <w:lang w:val="en-GB"/>
        </w:rPr>
        <w:t xml:space="preserve"> package) </w:t>
      </w:r>
      <w:r w:rsidR="00C76285" w:rsidRPr="00C76285">
        <w:rPr>
          <w:rFonts w:cstheme="minorHAnsi"/>
          <w:lang w:val="en-GB"/>
        </w:rPr>
        <w:t xml:space="preserve">function </w:t>
      </w:r>
      <w:r w:rsidR="00BE092F" w:rsidRPr="00C76285">
        <w:rPr>
          <w:rFonts w:cstheme="minorHAnsi"/>
          <w:lang w:val="en-GB"/>
        </w:rPr>
        <w:t>adjusted for pack-years</w:t>
      </w:r>
      <w:r w:rsidR="00E057AA">
        <w:rPr>
          <w:rFonts w:cstheme="minorHAnsi"/>
          <w:lang w:val="en-GB"/>
        </w:rPr>
        <w:t xml:space="preserve"> (PY)</w:t>
      </w:r>
      <w:r w:rsidRPr="00C76285">
        <w:rPr>
          <w:rFonts w:cstheme="minorHAnsi"/>
          <w:lang w:val="en-GB"/>
        </w:rPr>
        <w:t xml:space="preserve">. </w:t>
      </w:r>
      <w:r w:rsidR="00C76285" w:rsidRPr="00C76285">
        <w:rPr>
          <w:rFonts w:cstheme="minorHAnsi"/>
          <w:lang w:val="en-GB"/>
        </w:rPr>
        <w:t xml:space="preserve">For all statistical analyses a p-value of </w:t>
      </w:r>
      <w:r w:rsidR="00C76285" w:rsidRPr="00C76285">
        <w:rPr>
          <w:rFonts w:eastAsia="HqcmsqAdvTT86d47313+22" w:cstheme="minorHAnsi"/>
          <w:color w:val="131413"/>
          <w:lang w:val="en-GB"/>
        </w:rPr>
        <w:t xml:space="preserve">≤0.05, corrected for </w:t>
      </w:r>
      <w:proofErr w:type="spellStart"/>
      <w:r w:rsidR="00C76285" w:rsidRPr="00C76285">
        <w:rPr>
          <w:rFonts w:eastAsia="HqcmsqAdvTT86d47313+22" w:cstheme="minorHAnsi"/>
          <w:color w:val="131413"/>
          <w:lang w:val="en-GB"/>
        </w:rPr>
        <w:t>for</w:t>
      </w:r>
      <w:proofErr w:type="spellEnd"/>
      <w:r w:rsidR="00C76285" w:rsidRPr="00C76285">
        <w:rPr>
          <w:rFonts w:eastAsia="HqcmsqAdvTT86d47313+22" w:cstheme="minorHAnsi"/>
          <w:color w:val="131413"/>
          <w:lang w:val="en-GB"/>
        </w:rPr>
        <w:t xml:space="preserve"> multiple testing whenever necessary, was considered statistically significant.</w:t>
      </w:r>
    </w:p>
    <w:p w14:paraId="0AF14809" w14:textId="77777777" w:rsidR="00A84847" w:rsidRPr="00F10FC2" w:rsidRDefault="00A84847" w:rsidP="00542824">
      <w:pPr>
        <w:spacing w:after="0" w:line="480" w:lineRule="auto"/>
        <w:jc w:val="both"/>
        <w:rPr>
          <w:rFonts w:cstheme="minorHAnsi"/>
          <w:i/>
          <w:color w:val="4472C4" w:themeColor="accent1"/>
          <w:lang w:val="en-GB"/>
        </w:rPr>
      </w:pPr>
      <w:bookmarkStart w:id="12" w:name="_Hlk54110454"/>
      <w:r w:rsidRPr="00F10FC2">
        <w:rPr>
          <w:rFonts w:cstheme="minorHAnsi"/>
          <w:i/>
          <w:color w:val="4472C4" w:themeColor="accent1"/>
          <w:lang w:val="en-GB"/>
        </w:rPr>
        <w:t>Differential abundance analyses of OTUs</w:t>
      </w:r>
    </w:p>
    <w:p w14:paraId="0C19B95C" w14:textId="5AEA3F59" w:rsidR="00C76285" w:rsidRPr="005B33D4" w:rsidRDefault="00C76285" w:rsidP="00542824">
      <w:pPr>
        <w:spacing w:line="480" w:lineRule="auto"/>
        <w:jc w:val="both"/>
        <w:rPr>
          <w:rFonts w:cstheme="minorHAnsi"/>
          <w:lang w:val="en-GB"/>
        </w:rPr>
      </w:pPr>
      <w:bookmarkStart w:id="13" w:name="_Hlk54110422"/>
      <w:bookmarkEnd w:id="12"/>
      <w:r w:rsidRPr="005B33D4">
        <w:rPr>
          <w:rFonts w:cstheme="minorHAnsi"/>
          <w:lang w:val="en-GB"/>
        </w:rPr>
        <w:t xml:space="preserve">Analysis of composition of microbiomes (ANCOM) </w:t>
      </w:r>
      <w:r w:rsidRPr="005B33D4">
        <w:rPr>
          <w:rFonts w:cstheme="minorHAnsi"/>
          <w:lang w:val="en-GB"/>
        </w:rPr>
        <w:fldChar w:fldCharType="begin"/>
      </w:r>
      <w:r w:rsidR="00E057AA">
        <w:rPr>
          <w:rFonts w:cstheme="minorHAnsi"/>
          <w:lang w:val="en-GB"/>
        </w:rPr>
        <w:instrText xml:space="preserve"> ADDIN ZOTERO_ITEM CSL_CITATION {"citationID":"Ry62E1Hk","properties":{"formattedCitation":"[12]","plainCitation":"[12]","noteIndex":0},"citationItems":[{"id":46,"uris":["http://zotero.org/users/local/6zWa2PU7/items/84PSBIFU"],"uri":["http://zotero.org/users/local/6zWa2PU7/items/84PSBIFU"],"itemData":{"id":46,"type":"article-journal","abstract":"BACKGROUND: Understanding the factors regulating our microbiota is important but requires appropriate statistical methodology. When comparing two or more populations most existing approaches either discount the underlying compositional structure in the microbiome data or use probability models such as the multinomial and Dirichlet-multinomial distributions, which may impose a correlation structure not suitable for microbiome data.\nOBJECTIVE: To develop a methodology that accounts for compositional constraints to reduce false discoveries in detecting differentially abundant taxa at an ecosystem level, while maintaining high statistical power.\nMETHODS: We introduced a novel statistical framework called analysis of composition of microbiomes (ANCOM). ANCOM accounts for the underlying structure in the data and can be used for comparing the composition of microbiomes in two or more populations. ANCOM makes no distributional assumptions and can be implemented in a linear model framework to adjust for covariates as well as model longitudinal data. ANCOM also scales well to compare samples involving thousands of taxa.\nRESULTS: We compared the performance of ANCOM to the standard t-test and a recently published methodology called Zero Inflated Gaussian (ZIG) methodology (1) for drawing inferences on the mean taxa abundance in two or more populations. ANCOM controlled the false discovery rate (FDR) at the desired nominal level while also improving power, whereas the t-test and ZIG had inflated FDRs, in some instances as high as 68% for the t-test and 60% for ZIG. We illustrate the performance of ANCOM using two publicly available microbial datasets in the human gut, demonstrating its general applicability to testing hypotheses about compositional differences in microbial communities.\nCONCLUSION: Accounting for compositionality using log-ratio analysis results in significantly improved inference in microbiota survey data.","container-title":"Microbial Ecology in Health and Disease","DOI":"10.3402/mehd.v26.27663","ISSN":"0891-060X","journalAbbreviation":"Microb. Ecol. Health Dis.","language":"eng","note":"PMID: 26028277\nPMCID: PMC4450248","page":"27663","source":"PubMed","title":"Analysis of composition of microbiomes: a novel method for studying microbial composition","title-short":"Analysis of composition of microbiomes","volume":"26","author":[{"family":"Mandal","given":"Siddhartha"},{"family":"Van Treuren","given":"Will"},{"family":"White","given":"Richard A."},{"family":"Eggesbø","given":"Merete"},{"family":"Knight","given":"Rob"},{"family":"Peddada","given":"Shyamal D."}],"issued":{"date-parts":[["2015"]]}}}],"schema":"https://github.com/citation-style-language/schema/raw/master/csl-citation.json"} </w:instrText>
      </w:r>
      <w:r w:rsidRPr="005B33D4">
        <w:rPr>
          <w:rFonts w:cstheme="minorHAnsi"/>
          <w:lang w:val="en-GB"/>
        </w:rPr>
        <w:fldChar w:fldCharType="separate"/>
      </w:r>
      <w:r w:rsidR="00C71D73" w:rsidRPr="00C71D73">
        <w:rPr>
          <w:rFonts w:ascii="Calibri" w:hAnsi="Calibri" w:cs="Calibri"/>
          <w:lang w:val="en-GB"/>
        </w:rPr>
        <w:t>[12]</w:t>
      </w:r>
      <w:r w:rsidRPr="005B33D4">
        <w:rPr>
          <w:rFonts w:cstheme="minorHAnsi"/>
          <w:lang w:val="en-GB"/>
        </w:rPr>
        <w:fldChar w:fldCharType="end"/>
      </w:r>
      <w:r w:rsidRPr="005B33D4">
        <w:rPr>
          <w:rFonts w:cstheme="minorHAnsi"/>
          <w:lang w:val="en-GB"/>
        </w:rPr>
        <w:t xml:space="preserve"> and Linear discriminant effect size (LEfSe) analysis </w:t>
      </w:r>
      <w:r w:rsidRPr="005B33D4">
        <w:rPr>
          <w:rFonts w:cstheme="minorHAnsi"/>
          <w:lang w:val="en-GB"/>
        </w:rPr>
        <w:fldChar w:fldCharType="begin"/>
      </w:r>
      <w:r w:rsidR="00E057AA">
        <w:rPr>
          <w:rFonts w:cstheme="minorHAnsi"/>
          <w:lang w:val="en-GB"/>
        </w:rPr>
        <w:instrText xml:space="preserve"> ADDIN ZOTERO_ITEM CSL_CITATION {"citationID":"Zm54s8vJ","properties":{"formattedCitation":"[13]","plainCitation":"[13]","noteIndex":0},"citationItems":[{"id":49,"uris":["http://zotero.org/users/local/6zWa2PU7/items/94LNY7EM"],"uri":["http://zotero.org/users/local/6zWa2PU7/items/94LNY7EM"],"itemData":{"id":49,"type":"article-journal","abstract":"This study describes and validates a new method for metagenomic biomarker discovery by way of class comparison, tests of biological consistency and effect size estimation. This addresses the challenge of finding organisms, genes, or pathways that consistently explain the differences between two or more microbial communities, which is a central problem to the study of metagenomics. We extensively validate our method on several microbiomes and a convenient online interface for the method is provided at http://huttenhower.sph.harvard.edu/lefse/.","container-title":"Genome Biology","DOI":"10.1186/gb-2011-12-6-r60","ISSN":"1474-760X","issue":"6","journalAbbreviation":"Genome Biol.","language":"eng","note":"PMID: 21702898\nPMCID: PMC3218848","page":"R60","source":"PubMed","title":"Metagenomic biomarker discovery and explanation","volume":"12","author":[{"family":"Segata","given":"Nicola"},{"family":"Izard","given":"Jacques"},{"family":"Waldron","given":"Levi"},{"family":"Gevers","given":"Dirk"},{"family":"Miropolsky","given":"Larisa"},{"family":"Garrett","given":"Wendy S."},{"family":"Huttenhower","given":"Curtis"}],"issued":{"date-parts":[["2011",6,24]]}}}],"schema":"https://github.com/citation-style-language/schema/raw/master/csl-citation.json"} </w:instrText>
      </w:r>
      <w:r w:rsidRPr="005B33D4">
        <w:rPr>
          <w:rFonts w:cstheme="minorHAnsi"/>
          <w:lang w:val="en-GB"/>
        </w:rPr>
        <w:fldChar w:fldCharType="separate"/>
      </w:r>
      <w:r w:rsidR="00C71D73" w:rsidRPr="00C71D73">
        <w:rPr>
          <w:rFonts w:ascii="Calibri" w:hAnsi="Calibri" w:cs="Calibri"/>
          <w:lang w:val="en-GB"/>
        </w:rPr>
        <w:t>[13]</w:t>
      </w:r>
      <w:r w:rsidRPr="005B33D4">
        <w:rPr>
          <w:rFonts w:cstheme="minorHAnsi"/>
          <w:lang w:val="en-GB"/>
        </w:rPr>
        <w:fldChar w:fldCharType="end"/>
      </w:r>
      <w:r w:rsidRPr="005B33D4">
        <w:rPr>
          <w:rFonts w:cstheme="minorHAnsi"/>
          <w:lang w:val="en-GB"/>
        </w:rPr>
        <w:t xml:space="preserve"> were performed to identify differentially abundant OTUs between clusters. LEfSe  is one algorithm for high-dimensional biomarker discovery that uses linear discriminant analysis to estimate the effect size of each taxon </w:t>
      </w:r>
      <w:r w:rsidRPr="005B33D4">
        <w:rPr>
          <w:rFonts w:cstheme="minorHAnsi"/>
          <w:lang w:val="en-GB"/>
        </w:rPr>
        <w:fldChar w:fldCharType="begin"/>
      </w:r>
      <w:r w:rsidR="00C71D73">
        <w:rPr>
          <w:rFonts w:cstheme="minorHAnsi"/>
          <w:lang w:val="en-GB"/>
        </w:rPr>
        <w:instrText xml:space="preserve"> ADDIN ZOTERO_ITEM CSL_CITATION {"citationID":"7Ovspjq4","properties":{"formattedCitation":"[14]","plainCitation":"[14]","noteIndex":0},"citationItems":[{"id":"siZC9DBZ/MkqANEa2","uris":["http://zotero.org/users/local/htVXqKh8/items/DSTQSGIX"],"uri":["http://zotero.org/users/local/htVXqKh8/items/DSTQSGIX"],"itemData":{"id":535,"type":"article-journal","container-title":"Genome Biology","DOI":"10.1186/gb-2011-12-6-r60","ISSN":"1465-6906","issue":"6","language":"en","page":"R60","source":"CrossRef","title":"Metagenomic biomarker discovery and explanation","volume":"12","author":[{"family":"Segata","given":"Nicola"},{"family":"Izard","given":"Jacques"},{"family":"Waldron","given":"Levi"},{"family":"Gevers","given":"Dirk"},{"family":"Miropolsky","given":"Larisa"},{"family":"Garrett","given":"Wendy S"},{"family":"Huttenhower","given":"Curtis"}],"issued":{"date-parts":[["2011"]]}}}],"schema":"https://github.com/citation-style-language/schema/raw/master/csl-citation.json"} </w:instrText>
      </w:r>
      <w:r w:rsidRPr="005B33D4">
        <w:rPr>
          <w:rFonts w:cstheme="minorHAnsi"/>
          <w:lang w:val="en-GB"/>
        </w:rPr>
        <w:fldChar w:fldCharType="separate"/>
      </w:r>
      <w:r w:rsidR="00C71D73" w:rsidRPr="00C71D73">
        <w:rPr>
          <w:rFonts w:ascii="Calibri" w:hAnsi="Calibri" w:cs="Calibri"/>
          <w:lang w:val="en-GB"/>
        </w:rPr>
        <w:t>[14]</w:t>
      </w:r>
      <w:r w:rsidRPr="005B33D4">
        <w:rPr>
          <w:rFonts w:cstheme="minorHAnsi"/>
          <w:lang w:val="en-GB"/>
        </w:rPr>
        <w:fldChar w:fldCharType="end"/>
      </w:r>
      <w:r w:rsidRPr="005B33D4">
        <w:rPr>
          <w:rFonts w:cstheme="minorHAnsi"/>
          <w:lang w:val="en-GB"/>
        </w:rPr>
        <w:t xml:space="preserve"> and does not account for the compositional nature of the microbiota, and ANCOM uses a log ratio analysis to make point estimates of the variance and mean </w:t>
      </w:r>
      <w:r w:rsidRPr="005B33D4">
        <w:rPr>
          <w:rFonts w:cstheme="minorHAnsi"/>
          <w:lang w:val="en-GB"/>
        </w:rPr>
        <w:fldChar w:fldCharType="begin"/>
      </w:r>
      <w:r w:rsidR="00C71D73">
        <w:rPr>
          <w:rFonts w:cstheme="minorHAnsi"/>
          <w:lang w:val="en-GB"/>
        </w:rPr>
        <w:instrText xml:space="preserve"> ADDIN ZOTERO_ITEM CSL_CITATION {"citationID":"kzyIn8YJ","properties":{"formattedCitation":"[15]","plainCitation":"[15]","noteIndex":0},"citationItems":[{"id":"siZC9DBZ/XWsSpkLt","uris":["http://zotero.org/users/local/htVXqKh8/items/WND567YJ"],"uri":["http://zotero.org/users/local/htVXqKh8/items/WND567YJ"],"itemData":{"id":1021,"type":"article-journal","container-title":"Microbial Ecology in Health &amp; Disease","DOI":"10.3402/mehd.v26.27663","ISSN":"1651-2235","issue":"0","journalAbbreviation":"Microbial Ecology in Health &amp; Disease","source":"DOI.org (Crossref)","title":"Analysis of composition of microbiomes: a novel method for studying microbial composition","title-short":"Analysis of composition of microbiomes","URL":"http://www.microbecolhealthdis.net/index.php/mehd/article/view/27663","volume":"26","author":[{"family":"Mandal","given":"Siddhartha"},{"family":"Van Treuren","given":"Will"},{"family":"White","given":"Richard A."},{"family":"Eggesbø","given":"Merete"},{"family":"Knight","given":"Rob"},{"family":"Peddada","given":"Shyamal D."}],"accessed":{"date-parts":[["2019",7,14]]},"issued":{"date-parts":[["2015",5,29]]}}}],"schema":"https://github.com/citation-style-language/schema/raw/master/csl-citation.json"} </w:instrText>
      </w:r>
      <w:r w:rsidRPr="005B33D4">
        <w:rPr>
          <w:rFonts w:cstheme="minorHAnsi"/>
          <w:lang w:val="en-GB"/>
        </w:rPr>
        <w:fldChar w:fldCharType="separate"/>
      </w:r>
      <w:r w:rsidR="00C71D73" w:rsidRPr="00C71D73">
        <w:rPr>
          <w:rFonts w:ascii="Calibri" w:hAnsi="Calibri" w:cs="Calibri"/>
          <w:lang w:val="en-GB"/>
        </w:rPr>
        <w:t>[15]</w:t>
      </w:r>
      <w:r w:rsidRPr="005B33D4">
        <w:rPr>
          <w:rFonts w:cstheme="minorHAnsi"/>
          <w:lang w:val="en-GB"/>
        </w:rPr>
        <w:fldChar w:fldCharType="end"/>
      </w:r>
      <w:r w:rsidRPr="005B33D4">
        <w:rPr>
          <w:rFonts w:cstheme="minorHAnsi"/>
          <w:lang w:val="en-GB"/>
        </w:rPr>
        <w:t xml:space="preserve">, taking into consideration the compositional nature of the data. These analyses </w:t>
      </w:r>
      <w:r w:rsidRPr="005B33D4">
        <w:rPr>
          <w:rFonts w:cstheme="minorHAnsi"/>
          <w:lang w:val="en-GB"/>
        </w:rPr>
        <w:lastRenderedPageBreak/>
        <w:t xml:space="preserve">were conducted with the feature table collapsed at genus taxonomic level (L6). LEfSe was performed in the online version </w:t>
      </w:r>
      <w:r w:rsidRPr="005B33D4">
        <w:rPr>
          <w:rFonts w:cstheme="minorHAnsi"/>
          <w:lang w:val="en-GB"/>
        </w:rPr>
        <w:fldChar w:fldCharType="begin"/>
      </w:r>
      <w:r w:rsidR="00E057AA">
        <w:rPr>
          <w:rFonts w:cstheme="minorHAnsi"/>
          <w:lang w:val="en-GB"/>
        </w:rPr>
        <w:instrText xml:space="preserve"> ADDIN ZOTERO_ITEM CSL_CITATION {"citationID":"uKoTVuFa","properties":{"formattedCitation":"[16]","plainCitation":"[16]","noteIndex":0},"citationItems":[{"id":71,"uris":["http://zotero.org/users/local/6zWa2PU7/items/RYWZZ3RS"],"uri":["http://zotero.org/users/local/6zWa2PU7/items/RYWZZ3RS"],"itemData":{"id":71,"type":"webpage","title":"Galaxy / Hutlab - Harvard","URL":"http://huttenhower.sph.harvard.edu/galaxy/","author":[{"family":"Huttenhower","given":"Curtis"}],"accessed":{"date-parts":[["2019",9,19]]}}}],"schema":"https://github.com/citation-style-language/schema/raw/master/csl-citation.json"} </w:instrText>
      </w:r>
      <w:r w:rsidRPr="005B33D4">
        <w:rPr>
          <w:rFonts w:cstheme="minorHAnsi"/>
          <w:lang w:val="en-GB"/>
        </w:rPr>
        <w:fldChar w:fldCharType="separate"/>
      </w:r>
      <w:r w:rsidR="00C71D73" w:rsidRPr="00C71D73">
        <w:rPr>
          <w:rFonts w:ascii="Calibri" w:hAnsi="Calibri" w:cs="Calibri"/>
          <w:lang w:val="en-GB"/>
        </w:rPr>
        <w:t>[16]</w:t>
      </w:r>
      <w:r w:rsidRPr="005B33D4">
        <w:rPr>
          <w:rFonts w:cstheme="minorHAnsi"/>
          <w:lang w:val="en-GB"/>
        </w:rPr>
        <w:fldChar w:fldCharType="end"/>
      </w:r>
      <w:r w:rsidRPr="005B33D4">
        <w:rPr>
          <w:rFonts w:cstheme="minorHAnsi"/>
          <w:lang w:val="en-GB"/>
        </w:rPr>
        <w:t xml:space="preserve"> with an LDA score for significance of 3.0. ANCOM was performed in </w:t>
      </w:r>
      <w:r w:rsidRPr="00E057AA">
        <w:rPr>
          <w:rFonts w:cstheme="minorHAnsi"/>
          <w:i/>
          <w:iCs/>
          <w:lang w:val="en-GB"/>
        </w:rPr>
        <w:t>R</w:t>
      </w:r>
      <w:r w:rsidRPr="005B33D4">
        <w:rPr>
          <w:rFonts w:cstheme="minorHAnsi"/>
          <w:lang w:val="en-GB"/>
        </w:rPr>
        <w:t xml:space="preserve"> </w:t>
      </w:r>
      <w:r w:rsidR="00E057AA">
        <w:rPr>
          <w:rFonts w:cstheme="minorHAnsi"/>
          <w:lang w:val="en-GB"/>
        </w:rPr>
        <w:t xml:space="preserve">software </w:t>
      </w:r>
      <w:r w:rsidRPr="005B33D4">
        <w:rPr>
          <w:rFonts w:cstheme="minorHAnsi"/>
          <w:lang w:val="en-GB"/>
        </w:rPr>
        <w:t xml:space="preserve">with </w:t>
      </w:r>
      <w:r w:rsidRPr="00E057AA">
        <w:rPr>
          <w:rFonts w:cstheme="minorHAnsi"/>
          <w:i/>
          <w:iCs/>
          <w:lang w:val="en-GB"/>
        </w:rPr>
        <w:t>ANCOM 2.0</w:t>
      </w:r>
      <w:r w:rsidRPr="005B33D4">
        <w:rPr>
          <w:rFonts w:cstheme="minorHAnsi"/>
          <w:lang w:val="en-GB"/>
        </w:rPr>
        <w:t xml:space="preserve"> script (available at the developer webpage</w:t>
      </w:r>
      <w:r w:rsidRPr="005B33D4">
        <w:rPr>
          <w:rFonts w:cstheme="minorHAnsi"/>
          <w:lang w:val="en-GB"/>
        </w:rPr>
        <w:fldChar w:fldCharType="begin"/>
      </w:r>
      <w:r w:rsidR="00E057AA">
        <w:rPr>
          <w:rFonts w:cstheme="minorHAnsi"/>
          <w:lang w:val="en-GB"/>
        </w:rPr>
        <w:instrText xml:space="preserve"> ADDIN ZOTERO_ITEM CSL_CITATION {"citationID":"LUUuEhVo","properties":{"formattedCitation":"[17]","plainCitation":"[17]","noteIndex":0},"citationItems":[{"id":69,"uris":["http://zotero.org/users/local/6zWa2PU7/items/ZEBPRS8H"],"uri":["http://zotero.org/users/local/6zWa2PU7/items/ZEBPRS8H"],"itemData":{"id":69,"type":"webpage","title":"Research - Dr. Siddhartha Mandal: ANCOM 2.0 - updated code","URL":"https://sites.google.com/site/siddharthamandal1985/research","author":[{"family":"Mandal, Siddhartha","given":""}],"accessed":{"date-parts":[["2019",9,19]]}}}],"schema":"https://github.com/citation-style-language/schema/raw/master/csl-citation.json"} </w:instrText>
      </w:r>
      <w:r w:rsidRPr="005B33D4">
        <w:rPr>
          <w:rFonts w:cstheme="minorHAnsi"/>
          <w:lang w:val="en-GB"/>
        </w:rPr>
        <w:fldChar w:fldCharType="separate"/>
      </w:r>
      <w:r w:rsidR="00C71D73" w:rsidRPr="00C71D73">
        <w:rPr>
          <w:rFonts w:ascii="Calibri" w:hAnsi="Calibri" w:cs="Calibri"/>
          <w:lang w:val="en-GB"/>
        </w:rPr>
        <w:t>[17]</w:t>
      </w:r>
      <w:r w:rsidRPr="005B33D4">
        <w:rPr>
          <w:rFonts w:cstheme="minorHAnsi"/>
          <w:lang w:val="en-GB"/>
        </w:rPr>
        <w:fldChar w:fldCharType="end"/>
      </w:r>
      <w:r w:rsidRPr="005B33D4">
        <w:rPr>
          <w:rFonts w:cstheme="minorHAnsi"/>
          <w:lang w:val="en-GB"/>
        </w:rPr>
        <w:t>) with taxa-wise multiple correction and a W cut-off of significance of 0.7. (</w:t>
      </w:r>
      <w:proofErr w:type="gramStart"/>
      <w:r w:rsidRPr="005B33D4">
        <w:rPr>
          <w:rFonts w:cstheme="minorHAnsi"/>
          <w:lang w:val="en-GB"/>
        </w:rPr>
        <w:t>both</w:t>
      </w:r>
      <w:proofErr w:type="gramEnd"/>
      <w:r w:rsidRPr="005B33D4">
        <w:rPr>
          <w:rFonts w:cstheme="minorHAnsi"/>
          <w:lang w:val="en-GB"/>
        </w:rPr>
        <w:t xml:space="preserve"> recommended by the developer, based on simulation data).</w:t>
      </w:r>
    </w:p>
    <w:p w14:paraId="788B1F33" w14:textId="77777777" w:rsidR="00A84847" w:rsidRPr="00E210B5" w:rsidRDefault="00A84847" w:rsidP="00542824">
      <w:pPr>
        <w:spacing w:after="0" w:line="480" w:lineRule="auto"/>
        <w:jc w:val="both"/>
        <w:rPr>
          <w:rFonts w:cstheme="minorHAnsi"/>
          <w:i/>
          <w:color w:val="4472C4" w:themeColor="accent1"/>
          <w:lang w:val="en-GB"/>
        </w:rPr>
      </w:pPr>
      <w:r w:rsidRPr="00E210B5">
        <w:rPr>
          <w:rFonts w:cstheme="minorHAnsi"/>
          <w:i/>
          <w:color w:val="4472C4" w:themeColor="accent1"/>
          <w:lang w:val="en-GB"/>
        </w:rPr>
        <w:t>Clustering analysis</w:t>
      </w:r>
    </w:p>
    <w:p w14:paraId="0C38E15D" w14:textId="5D288DD2" w:rsidR="00A84847" w:rsidRPr="005B33D4" w:rsidRDefault="00007830" w:rsidP="00542824">
      <w:pPr>
        <w:spacing w:line="480" w:lineRule="auto"/>
        <w:jc w:val="both"/>
        <w:rPr>
          <w:rFonts w:cstheme="minorHAnsi"/>
          <w:lang w:val="en-GB"/>
        </w:rPr>
      </w:pPr>
      <w:bookmarkStart w:id="14" w:name="_Hlk67922005"/>
      <w:bookmarkEnd w:id="13"/>
      <w:r>
        <w:rPr>
          <w:rFonts w:cstheme="minorHAnsi"/>
          <w:lang w:val="en-GB"/>
        </w:rPr>
        <w:t xml:space="preserve">A hierarchical </w:t>
      </w:r>
      <w:r w:rsidR="00A84847" w:rsidRPr="005B33D4">
        <w:rPr>
          <w:rFonts w:cstheme="minorHAnsi"/>
          <w:lang w:val="en-GB"/>
        </w:rPr>
        <w:t xml:space="preserve">clustering analysis of the microbiota was performed with beta rarefaction script available in q2-diversity plugin at minimum read depth (4000 reads). </w:t>
      </w:r>
      <w:bookmarkStart w:id="15" w:name="_Hlk76994585"/>
      <w:r w:rsidR="00A84847" w:rsidRPr="005B33D4">
        <w:rPr>
          <w:rFonts w:cstheme="minorHAnsi"/>
          <w:lang w:val="en-GB"/>
        </w:rPr>
        <w:t>This built 5000 rarefied feature tables, computed Weighted Unifrac and generated a consensus tree with neighbour joining support of two nodes</w:t>
      </w:r>
      <w:bookmarkEnd w:id="15"/>
      <w:r w:rsidR="00A84847" w:rsidRPr="005B33D4">
        <w:rPr>
          <w:rFonts w:cstheme="minorHAnsi"/>
          <w:lang w:val="en-GB"/>
        </w:rPr>
        <w:t xml:space="preserve">. </w:t>
      </w:r>
      <w:bookmarkStart w:id="16" w:name="_Hlk67922535"/>
      <w:r w:rsidR="00A84847" w:rsidRPr="005B33D4">
        <w:rPr>
          <w:lang w:val="en-GB"/>
        </w:rPr>
        <w:t>Mann-Whitney U-test</w:t>
      </w:r>
      <w:r w:rsidR="00A84847" w:rsidRPr="005B33D4">
        <w:rPr>
          <w:rFonts w:cstheme="minorHAnsi"/>
          <w:lang w:val="en-GB"/>
        </w:rPr>
        <w:t xml:space="preserve"> and Chi-square test were used describe the differences of clinical features among clusters</w:t>
      </w:r>
      <w:r w:rsidR="009C4D93">
        <w:rPr>
          <w:rFonts w:cstheme="minorHAnsi"/>
          <w:lang w:val="en-GB"/>
        </w:rPr>
        <w:t xml:space="preserve"> </w:t>
      </w:r>
      <w:r w:rsidR="009C4D93">
        <w:rPr>
          <w:lang w:val="en-GB"/>
        </w:rPr>
        <w:t>(statistical analyses were performed in</w:t>
      </w:r>
      <w:r w:rsidR="004C5186">
        <w:rPr>
          <w:lang w:val="en-GB"/>
        </w:rPr>
        <w:t xml:space="preserve"> </w:t>
      </w:r>
      <w:r w:rsidR="004C5186" w:rsidRPr="00E057AA">
        <w:rPr>
          <w:i/>
          <w:iCs/>
          <w:lang w:val="en-GB"/>
        </w:rPr>
        <w:t>GraphPad Prism 8</w:t>
      </w:r>
      <w:r w:rsidR="004C5186">
        <w:rPr>
          <w:lang w:val="en-GB"/>
        </w:rPr>
        <w:t xml:space="preserve"> and</w:t>
      </w:r>
      <w:r w:rsidR="009C4D93">
        <w:rPr>
          <w:lang w:val="en-GB"/>
        </w:rPr>
        <w:t xml:space="preserve"> </w:t>
      </w:r>
      <w:r w:rsidR="009C4D93" w:rsidRPr="00E057AA">
        <w:rPr>
          <w:i/>
          <w:iCs/>
          <w:lang w:val="en-GB"/>
        </w:rPr>
        <w:t>R</w:t>
      </w:r>
      <w:r w:rsidR="00E057AA">
        <w:rPr>
          <w:lang w:val="en-GB"/>
        </w:rPr>
        <w:t xml:space="preserve"> software</w:t>
      </w:r>
      <w:r w:rsidR="009C4D93">
        <w:rPr>
          <w:lang w:val="en-GB"/>
        </w:rPr>
        <w:t>)</w:t>
      </w:r>
      <w:r w:rsidR="00A84847" w:rsidRPr="005B33D4">
        <w:rPr>
          <w:rFonts w:cstheme="minorHAnsi"/>
          <w:lang w:val="en-GB"/>
        </w:rPr>
        <w:t>.</w:t>
      </w:r>
      <w:bookmarkEnd w:id="16"/>
    </w:p>
    <w:p w14:paraId="7D2A6DBF" w14:textId="70DEF874" w:rsidR="00A84847" w:rsidRPr="00E210B5" w:rsidRDefault="005B33D4" w:rsidP="00542824">
      <w:pPr>
        <w:spacing w:after="0" w:line="480" w:lineRule="auto"/>
        <w:jc w:val="both"/>
        <w:rPr>
          <w:rFonts w:cstheme="minorHAnsi"/>
          <w:i/>
          <w:color w:val="4472C4" w:themeColor="accent1"/>
          <w:lang w:val="en-GB"/>
        </w:rPr>
      </w:pPr>
      <w:bookmarkStart w:id="17" w:name="_Hlk67921417"/>
      <w:bookmarkEnd w:id="14"/>
      <w:r w:rsidRPr="00E210B5">
        <w:rPr>
          <w:rFonts w:cstheme="minorHAnsi"/>
          <w:i/>
          <w:color w:val="4472C4" w:themeColor="accent1"/>
          <w:lang w:val="en-GB"/>
        </w:rPr>
        <w:t>Binary l</w:t>
      </w:r>
      <w:r w:rsidR="00A84847" w:rsidRPr="00E210B5">
        <w:rPr>
          <w:rFonts w:cstheme="minorHAnsi"/>
          <w:i/>
          <w:color w:val="4472C4" w:themeColor="accent1"/>
          <w:lang w:val="en-GB"/>
        </w:rPr>
        <w:t>ogistic regression models ROC analyses</w:t>
      </w:r>
    </w:p>
    <w:p w14:paraId="5FC124BB" w14:textId="0F33B1F7" w:rsidR="00A84847" w:rsidRPr="005B33D4" w:rsidRDefault="00A84847" w:rsidP="00542824">
      <w:pPr>
        <w:spacing w:line="480" w:lineRule="auto"/>
        <w:jc w:val="both"/>
        <w:rPr>
          <w:lang w:val="en-GB"/>
        </w:rPr>
      </w:pPr>
      <w:r w:rsidRPr="005B33D4">
        <w:rPr>
          <w:lang w:val="en-GB"/>
        </w:rPr>
        <w:t>To further explore the relation between the more relevant OTUs/ASVs and clinical features in the context of the clustering analysis, logistic regression models and risk assessment analyses were performed.</w:t>
      </w:r>
    </w:p>
    <w:bookmarkEnd w:id="17"/>
    <w:p w14:paraId="0FAB0CF4" w14:textId="629BF87E" w:rsidR="00A84847" w:rsidRPr="005B33D4" w:rsidRDefault="00A84847" w:rsidP="00542824">
      <w:pPr>
        <w:spacing w:line="480" w:lineRule="auto"/>
        <w:jc w:val="both"/>
        <w:rPr>
          <w:rFonts w:ascii="Calibri" w:hAnsi="Calibri" w:cs="Calibri"/>
          <w:lang w:val="en-GB"/>
        </w:rPr>
      </w:pPr>
      <w:r w:rsidRPr="005B33D4">
        <w:rPr>
          <w:lang w:val="en-GB"/>
        </w:rPr>
        <w:t>Binary logistic regression models</w:t>
      </w:r>
      <w:r w:rsidR="00BE092F">
        <w:rPr>
          <w:lang w:val="en-GB"/>
        </w:rPr>
        <w:t>, adjusted for pack-years,</w:t>
      </w:r>
      <w:r w:rsidRPr="005B33D4">
        <w:rPr>
          <w:lang w:val="en-GB"/>
        </w:rPr>
        <w:t xml:space="preserve"> were established </w:t>
      </w:r>
      <w:bookmarkStart w:id="18" w:name="_Hlk76205907"/>
      <w:r w:rsidRPr="005B33D4">
        <w:rPr>
          <w:lang w:val="en-GB"/>
        </w:rPr>
        <w:t xml:space="preserve">using </w:t>
      </w:r>
      <w:proofErr w:type="spellStart"/>
      <w:r w:rsidRPr="005B33D4">
        <w:rPr>
          <w:lang w:val="en-GB"/>
        </w:rPr>
        <w:t>glm</w:t>
      </w:r>
      <w:proofErr w:type="spellEnd"/>
      <w:r w:rsidRPr="005B33D4">
        <w:rPr>
          <w:lang w:val="en-GB"/>
        </w:rPr>
        <w:fldChar w:fldCharType="begin"/>
      </w:r>
      <w:r w:rsidR="00E057AA">
        <w:rPr>
          <w:lang w:val="en-GB"/>
        </w:rPr>
        <w:instrText xml:space="preserve"> ADDIN ZOTERO_ITEM CSL_CITATION {"citationID":"E7HNlaFD","properties":{"formattedCitation":"[18]","plainCitation":"[18]","noteIndex":0},"citationItems":[{"id":267,"uris":["http://zotero.org/users/local/6zWa2PU7/items/J5CFU2CE"],"uri":["http://zotero.org/users/local/6zWa2PU7/items/J5CFU2CE"],"itemData":{"id":267,"type":"webpage","title":"glm function - RDocumentation","URL":"https://www.rdocumentation.org/packages/stats/versions/3.6.2/topics/glm","accessed":{"date-parts":[["2021",3,29]]}}}],"schema":"https://github.com/citation-style-language/schema/raw/master/csl-citation.json"} </w:instrText>
      </w:r>
      <w:r w:rsidRPr="005B33D4">
        <w:rPr>
          <w:lang w:val="en-GB"/>
        </w:rPr>
        <w:fldChar w:fldCharType="separate"/>
      </w:r>
      <w:r w:rsidR="00C71D73" w:rsidRPr="00C71D73">
        <w:rPr>
          <w:rFonts w:ascii="Calibri" w:hAnsi="Calibri" w:cs="Calibri"/>
          <w:lang w:val="en-GB"/>
        </w:rPr>
        <w:t>[18]</w:t>
      </w:r>
      <w:r w:rsidRPr="005B33D4">
        <w:rPr>
          <w:lang w:val="en-GB"/>
        </w:rPr>
        <w:fldChar w:fldCharType="end"/>
      </w:r>
      <w:r w:rsidRPr="005B33D4">
        <w:rPr>
          <w:lang w:val="en-GB"/>
        </w:rPr>
        <w:t xml:space="preserve"> (link=logit) function of </w:t>
      </w:r>
      <w:r w:rsidRPr="00E057AA">
        <w:rPr>
          <w:i/>
          <w:iCs/>
          <w:lang w:val="en-GB"/>
        </w:rPr>
        <w:t>R stats</w:t>
      </w:r>
      <w:r w:rsidRPr="005B33D4">
        <w:rPr>
          <w:lang w:val="en-GB"/>
        </w:rPr>
        <w:t xml:space="preserve"> package</w:t>
      </w:r>
      <w:bookmarkEnd w:id="18"/>
      <w:r w:rsidRPr="005B33D4">
        <w:rPr>
          <w:lang w:val="en-GB"/>
        </w:rPr>
        <w:t xml:space="preserve">. </w:t>
      </w:r>
      <w:r w:rsidR="005355AC">
        <w:rPr>
          <w:rStyle w:val="eop"/>
          <w:rFonts w:ascii="Calibri" w:hAnsi="Calibri" w:cs="Calibri"/>
          <w:lang w:val="en-GB"/>
        </w:rPr>
        <w:t>Log</w:t>
      </w:r>
      <w:r w:rsidR="005355AC" w:rsidRPr="009918E4">
        <w:rPr>
          <w:rStyle w:val="eop"/>
          <w:rFonts w:ascii="Calibri" w:hAnsi="Calibri" w:cs="Calibri"/>
          <w:vertAlign w:val="subscript"/>
          <w:lang w:val="en-GB"/>
        </w:rPr>
        <w:t>2</w:t>
      </w:r>
      <w:r w:rsidR="005355AC">
        <w:rPr>
          <w:rStyle w:val="eop"/>
          <w:rFonts w:ascii="Calibri" w:hAnsi="Calibri" w:cs="Calibri"/>
          <w:vertAlign w:val="subscript"/>
          <w:lang w:val="en-GB"/>
        </w:rPr>
        <w:t xml:space="preserve"> </w:t>
      </w:r>
      <w:r w:rsidR="005355AC">
        <w:rPr>
          <w:rStyle w:val="eop"/>
          <w:rFonts w:ascii="Calibri" w:hAnsi="Calibri" w:cs="Calibri"/>
          <w:lang w:val="en-GB"/>
        </w:rPr>
        <w:t>transformed</w:t>
      </w:r>
      <w:r w:rsidR="009918E4">
        <w:rPr>
          <w:lang w:val="en-GB"/>
        </w:rPr>
        <w:t xml:space="preserve"> </w:t>
      </w:r>
      <w:r w:rsidRPr="005B33D4">
        <w:rPr>
          <w:lang w:val="en-GB"/>
        </w:rPr>
        <w:t xml:space="preserve">relative frequencies of </w:t>
      </w:r>
      <w:r w:rsidRPr="005B33D4">
        <w:rPr>
          <w:rStyle w:val="normaltextrun"/>
          <w:rFonts w:ascii="Calibri" w:hAnsi="Calibri" w:cs="Calibri"/>
          <w:lang w:val="en-GB"/>
        </w:rPr>
        <w:t>most discriminant ASVs between clusters and the frequencies of the genus and phylum form each ASV were explored as possible regressors for having had an hospital admission as consequence of a severe COPD exacerbation and for being a GOLD D patient (most severe in terms of GOLD groups).</w:t>
      </w:r>
      <w:r w:rsidR="009918E4">
        <w:rPr>
          <w:rStyle w:val="eop"/>
          <w:rFonts w:ascii="Calibri" w:hAnsi="Calibri" w:cs="Calibri"/>
          <w:lang w:val="en-GB"/>
        </w:rPr>
        <w:t xml:space="preserve"> </w:t>
      </w:r>
      <w:r w:rsidRPr="005B33D4">
        <w:rPr>
          <w:rStyle w:val="normaltextrun"/>
          <w:rFonts w:ascii="Calibri" w:hAnsi="Calibri" w:cs="Calibri"/>
          <w:lang w:val="en-GB"/>
        </w:rPr>
        <w:t>Residual analyses were performed with a threshold cut-off of 1.96 for outliers’ removal. Akaike information criterion (AIC) with confidence intervals (CI) of 95% was used to assess the models' quality. Models without outliers were preferred whenever the AIC was lower than the one from the correspondent model with outliers</w:t>
      </w:r>
      <w:r w:rsidR="00BE092F">
        <w:rPr>
          <w:rStyle w:val="normaltextrun"/>
          <w:rFonts w:ascii="Calibri" w:hAnsi="Calibri" w:cs="Calibri"/>
          <w:lang w:val="en-GB"/>
        </w:rPr>
        <w:t xml:space="preserve"> and when the number of </w:t>
      </w:r>
      <w:r w:rsidR="00BE092F">
        <w:rPr>
          <w:rStyle w:val="normaltextrun"/>
          <w:rFonts w:ascii="Calibri" w:hAnsi="Calibri" w:cs="Calibri"/>
          <w:lang w:val="en-GB"/>
        </w:rPr>
        <w:lastRenderedPageBreak/>
        <w:t xml:space="preserve">outliers </w:t>
      </w:r>
      <w:r w:rsidR="00EF040E">
        <w:rPr>
          <w:rStyle w:val="normaltextrun"/>
          <w:rFonts w:ascii="Calibri" w:hAnsi="Calibri" w:cs="Calibri"/>
          <w:lang w:val="en-GB"/>
        </w:rPr>
        <w:t>identified</w:t>
      </w:r>
      <w:r w:rsidR="00BE092F">
        <w:rPr>
          <w:rStyle w:val="normaltextrun"/>
          <w:rFonts w:ascii="Calibri" w:hAnsi="Calibri" w:cs="Calibri"/>
          <w:lang w:val="en-GB"/>
        </w:rPr>
        <w:t xml:space="preserve"> was appropriate considering the sample size</w:t>
      </w:r>
      <w:r w:rsidRPr="005B33D4">
        <w:rPr>
          <w:rStyle w:val="normaltextrun"/>
          <w:rFonts w:ascii="Calibri" w:hAnsi="Calibri" w:cs="Calibri"/>
          <w:lang w:val="en-GB"/>
        </w:rPr>
        <w:t>. </w:t>
      </w:r>
      <w:r w:rsidRPr="005B33D4">
        <w:rPr>
          <w:lang w:val="en-GB"/>
        </w:rPr>
        <w:t xml:space="preserve"> The quality of the fit of models was estimated, only for models with significant regressors, with Likelihood ratio test (</w:t>
      </w:r>
      <w:proofErr w:type="spellStart"/>
      <w:r w:rsidRPr="00E057AA">
        <w:rPr>
          <w:i/>
          <w:iCs/>
          <w:lang w:val="en-GB"/>
        </w:rPr>
        <w:t>lmtest</w:t>
      </w:r>
      <w:proofErr w:type="spellEnd"/>
      <w:r w:rsidRPr="005B33D4">
        <w:rPr>
          <w:lang w:val="en-GB"/>
        </w:rPr>
        <w:t xml:space="preserve"> package), deviance, </w:t>
      </w:r>
      <w:proofErr w:type="spellStart"/>
      <w:r w:rsidRPr="005B33D4">
        <w:rPr>
          <w:rStyle w:val="normaltextrun"/>
          <w:rFonts w:ascii="Calibri" w:hAnsi="Calibri" w:cs="Calibri"/>
          <w:lang w:val="en-GB"/>
        </w:rPr>
        <w:t>Nagelkerke's</w:t>
      </w:r>
      <w:proofErr w:type="spellEnd"/>
      <w:r w:rsidRPr="005B33D4">
        <w:rPr>
          <w:rStyle w:val="normaltextrun"/>
          <w:rFonts w:ascii="Calibri" w:hAnsi="Calibri" w:cs="Calibri"/>
          <w:lang w:val="en-GB"/>
        </w:rPr>
        <w:t> pseudo R2</w:t>
      </w:r>
      <w:r w:rsidRPr="005B33D4">
        <w:rPr>
          <w:lang w:val="en-GB"/>
        </w:rPr>
        <w:fldChar w:fldCharType="begin"/>
      </w:r>
      <w:r w:rsidR="00E057AA">
        <w:rPr>
          <w:lang w:val="en-GB"/>
        </w:rPr>
        <w:instrText xml:space="preserve"> ADDIN ZOTERO_ITEM CSL_CITATION {"citationID":"b3daugRY","properties":{"formattedCitation":"[19]","plainCitation":"[19]","noteIndex":0},"citationItems":[{"id":273,"uris":["http://zotero.org/users/local/6zWa2PU7/items/QLN6VLAQ"],"uri":["http://zotero.org/users/local/6zWa2PU7/items/QLN6VLAQ"],"itemData":{"id":273,"type":"webpage","title":"PseudoR2 function - RDocumentation","URL":"https://www.rdocumentation.org/packages/DescTools/versions/0.99.40/topics/PseudoR2","accessed":{"date-parts":[["2021",3,29]]}}}],"schema":"https://github.com/citation-style-language/schema/raw/master/csl-citation.json"} </w:instrText>
      </w:r>
      <w:r w:rsidRPr="005B33D4">
        <w:rPr>
          <w:lang w:val="en-GB"/>
        </w:rPr>
        <w:fldChar w:fldCharType="separate"/>
      </w:r>
      <w:r w:rsidR="00C71D73" w:rsidRPr="00C71D73">
        <w:rPr>
          <w:rFonts w:ascii="Calibri" w:hAnsi="Calibri" w:cs="Calibri"/>
          <w:lang w:val="en-GB"/>
        </w:rPr>
        <w:t>[19]</w:t>
      </w:r>
      <w:r w:rsidRPr="005B33D4">
        <w:rPr>
          <w:lang w:val="en-GB"/>
        </w:rPr>
        <w:fldChar w:fldCharType="end"/>
      </w:r>
      <w:r w:rsidRPr="005B33D4">
        <w:rPr>
          <w:rStyle w:val="normaltextrun"/>
          <w:rFonts w:ascii="Calibri" w:hAnsi="Calibri" w:cs="Calibri"/>
          <w:lang w:val="en-GB"/>
        </w:rPr>
        <w:t xml:space="preserve"> (</w:t>
      </w:r>
      <w:proofErr w:type="spellStart"/>
      <w:r w:rsidRPr="005B33D4">
        <w:rPr>
          <w:rStyle w:val="normaltextrun"/>
          <w:rFonts w:ascii="Calibri" w:hAnsi="Calibri" w:cs="Calibri"/>
          <w:lang w:val="en-GB"/>
        </w:rPr>
        <w:t>DescTools</w:t>
      </w:r>
      <w:proofErr w:type="spellEnd"/>
      <w:r w:rsidRPr="005B33D4">
        <w:rPr>
          <w:rStyle w:val="normaltextrun"/>
          <w:rFonts w:ascii="Calibri" w:hAnsi="Calibri" w:cs="Calibri"/>
          <w:lang w:val="en-GB"/>
        </w:rPr>
        <w:t xml:space="preserve"> package) and </w:t>
      </w:r>
      <w:r w:rsidRPr="005B33D4">
        <w:rPr>
          <w:lang w:val="en-GB"/>
        </w:rPr>
        <w:t>Hosmer-</w:t>
      </w:r>
      <w:proofErr w:type="spellStart"/>
      <w:r w:rsidRPr="005B33D4">
        <w:rPr>
          <w:lang w:val="en-GB"/>
        </w:rPr>
        <w:t>Lemeshow</w:t>
      </w:r>
      <w:proofErr w:type="spellEnd"/>
      <w:r w:rsidRPr="005B33D4">
        <w:rPr>
          <w:lang w:val="en-GB"/>
        </w:rPr>
        <w:t xml:space="preserve"> test</w:t>
      </w:r>
      <w:r w:rsidRPr="005B33D4">
        <w:rPr>
          <w:lang w:val="en-GB"/>
        </w:rPr>
        <w:fldChar w:fldCharType="begin"/>
      </w:r>
      <w:r w:rsidR="00E057AA">
        <w:rPr>
          <w:lang w:val="en-GB"/>
        </w:rPr>
        <w:instrText xml:space="preserve"> ADDIN ZOTERO_ITEM CSL_CITATION {"citationID":"vqKX4AJp","properties":{"formattedCitation":"[20]","plainCitation":"[20]","noteIndex":0},"citationItems":[{"id":271,"uris":["http://zotero.org/users/local/6zWa2PU7/items/DUGTR245"],"uri":["http://zotero.org/users/local/6zWa2PU7/items/DUGTR245"],"itemData":{"id":271,"type":"webpage","title":"hoslem.test function - RDocumentation","URL":"https://www.rdocumentation.org/packages/ResourceSelection/versions/0.3-5/topics/hoslem.test","accessed":{"date-parts":[["2021",3,29]]}}}],"schema":"https://github.com/citation-style-language/schema/raw/master/csl-citation.json"} </w:instrText>
      </w:r>
      <w:r w:rsidRPr="005B33D4">
        <w:rPr>
          <w:lang w:val="en-GB"/>
        </w:rPr>
        <w:fldChar w:fldCharType="separate"/>
      </w:r>
      <w:r w:rsidR="00C71D73" w:rsidRPr="00C71D73">
        <w:rPr>
          <w:rFonts w:ascii="Calibri" w:hAnsi="Calibri" w:cs="Calibri"/>
          <w:lang w:val="en-GB"/>
        </w:rPr>
        <w:t>[20]</w:t>
      </w:r>
      <w:r w:rsidRPr="005B33D4">
        <w:rPr>
          <w:lang w:val="en-GB"/>
        </w:rPr>
        <w:fldChar w:fldCharType="end"/>
      </w:r>
      <w:r w:rsidRPr="005B33D4">
        <w:rPr>
          <w:lang w:val="en-GB"/>
        </w:rPr>
        <w:t xml:space="preserve"> (</w:t>
      </w:r>
      <w:proofErr w:type="spellStart"/>
      <w:r w:rsidRPr="00E057AA">
        <w:rPr>
          <w:i/>
          <w:iCs/>
          <w:lang w:val="en-GB"/>
        </w:rPr>
        <w:t>ResourceSelection</w:t>
      </w:r>
      <w:proofErr w:type="spellEnd"/>
      <w:r w:rsidRPr="005B33D4">
        <w:rPr>
          <w:lang w:val="en-GB"/>
        </w:rPr>
        <w:t xml:space="preserve"> package). </w:t>
      </w:r>
      <w:r w:rsidR="00F92BF7" w:rsidRPr="005B33D4">
        <w:rPr>
          <w:lang w:val="en-GB"/>
        </w:rPr>
        <w:t xml:space="preserve">The exponentiated coefficients, which correspond to the Odds ratio of each regressor, were calculated for each significant model. </w:t>
      </w:r>
      <w:bookmarkStart w:id="19" w:name="_Hlk76994778"/>
      <w:r w:rsidRPr="005B33D4">
        <w:rPr>
          <w:lang w:val="en-GB"/>
        </w:rPr>
        <w:t xml:space="preserve">Receiver operating characteristic curves (ROC) </w:t>
      </w:r>
      <w:r w:rsidR="00E057AA">
        <w:rPr>
          <w:lang w:val="en-GB"/>
        </w:rPr>
        <w:t>and</w:t>
      </w:r>
      <w:r w:rsidRPr="005B33D4">
        <w:rPr>
          <w:lang w:val="en-GB"/>
        </w:rPr>
        <w:t xml:space="preserve"> the respective area under the curve (AUC) </w:t>
      </w:r>
      <w:r w:rsidR="00E057AA">
        <w:rPr>
          <w:lang w:val="en-GB"/>
        </w:rPr>
        <w:t xml:space="preserve">for each significant model </w:t>
      </w:r>
      <w:r w:rsidRPr="005B33D4">
        <w:rPr>
          <w:lang w:val="en-GB"/>
        </w:rPr>
        <w:t>w</w:t>
      </w:r>
      <w:r w:rsidR="00E057AA">
        <w:rPr>
          <w:lang w:val="en-GB"/>
        </w:rPr>
        <w:t>ere</w:t>
      </w:r>
      <w:r w:rsidRPr="005B33D4">
        <w:rPr>
          <w:lang w:val="en-GB"/>
        </w:rPr>
        <w:t xml:space="preserve"> also calculated.</w:t>
      </w:r>
    </w:p>
    <w:bookmarkEnd w:id="19"/>
    <w:p w14:paraId="542C1C99" w14:textId="23AEE201" w:rsidR="00A84847" w:rsidRPr="00C71D73" w:rsidRDefault="00542824" w:rsidP="00C71D73">
      <w:pPr>
        <w:pStyle w:val="Ttulo1"/>
        <w:spacing w:line="480" w:lineRule="auto"/>
        <w:jc w:val="both"/>
        <w:rPr>
          <w:rFonts w:asciiTheme="minorHAnsi" w:hAnsiTheme="minorHAnsi" w:cstheme="minorHAnsi"/>
          <w:sz w:val="20"/>
          <w:szCs w:val="20"/>
          <w:lang w:val="en-GB"/>
        </w:rPr>
      </w:pPr>
      <w:r w:rsidRPr="00C71D73">
        <w:rPr>
          <w:rFonts w:asciiTheme="minorHAnsi" w:hAnsiTheme="minorHAnsi" w:cstheme="minorHAnsi"/>
          <w:sz w:val="20"/>
          <w:szCs w:val="20"/>
          <w:lang w:val="en-GB"/>
        </w:rPr>
        <w:t>R</w:t>
      </w:r>
      <w:r w:rsidR="00E210B5" w:rsidRPr="00C71D73">
        <w:rPr>
          <w:rFonts w:asciiTheme="minorHAnsi" w:hAnsiTheme="minorHAnsi" w:cstheme="minorHAnsi"/>
          <w:sz w:val="20"/>
          <w:szCs w:val="20"/>
          <w:lang w:val="en-GB"/>
        </w:rPr>
        <w:t>eferences</w:t>
      </w:r>
    </w:p>
    <w:p w14:paraId="323AC1A1" w14:textId="77777777" w:rsidR="00C71D73" w:rsidRPr="00C71D73" w:rsidRDefault="00A84847" w:rsidP="00C71D73">
      <w:pPr>
        <w:pStyle w:val="Bibliografia"/>
        <w:spacing w:line="480" w:lineRule="auto"/>
        <w:jc w:val="both"/>
        <w:rPr>
          <w:rFonts w:ascii="Calibri" w:hAnsi="Calibri" w:cs="Calibri"/>
          <w:sz w:val="20"/>
          <w:szCs w:val="20"/>
        </w:rPr>
      </w:pPr>
      <w:r w:rsidRPr="00C71D73">
        <w:rPr>
          <w:sz w:val="20"/>
          <w:szCs w:val="20"/>
          <w:lang w:val="en-GB"/>
        </w:rPr>
        <w:fldChar w:fldCharType="begin"/>
      </w:r>
      <w:r w:rsidR="00C71D73" w:rsidRPr="00C71D73">
        <w:rPr>
          <w:sz w:val="20"/>
          <w:szCs w:val="20"/>
          <w:lang w:val="en-GB"/>
        </w:rPr>
        <w:instrText xml:space="preserve"> ADDIN ZOTERO_BIBL {"uncited":[],"omitted":[],"custom":[]} CSL_BIBLIOGRAPHY </w:instrText>
      </w:r>
      <w:r w:rsidRPr="00C71D73">
        <w:rPr>
          <w:sz w:val="20"/>
          <w:szCs w:val="20"/>
          <w:lang w:val="en-GB"/>
        </w:rPr>
        <w:fldChar w:fldCharType="separate"/>
      </w:r>
      <w:r w:rsidR="00C71D73" w:rsidRPr="00C71D73">
        <w:rPr>
          <w:rFonts w:ascii="Calibri" w:hAnsi="Calibri" w:cs="Calibri"/>
          <w:sz w:val="20"/>
          <w:szCs w:val="20"/>
          <w:lang w:val="en-GB"/>
        </w:rPr>
        <w:t xml:space="preserve">1. GOLD - Global Strategy for Diagnosis, Management, and prevention of chronic obstructive pulmonary disease 2020 report. </w:t>
      </w:r>
      <w:r w:rsidR="00C71D73" w:rsidRPr="00C71D73">
        <w:rPr>
          <w:rFonts w:ascii="Calibri" w:hAnsi="Calibri" w:cs="Calibri"/>
          <w:sz w:val="20"/>
          <w:szCs w:val="20"/>
        </w:rPr>
        <w:t xml:space="preserve">2020. 1–141. </w:t>
      </w:r>
    </w:p>
    <w:p w14:paraId="13231648"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rPr>
        <w:t xml:space="preserve">2. Marques A, Jácome C, Rebelo P, Paixão C, Oliveira A, Cruz J, et al. </w:t>
      </w:r>
      <w:r w:rsidRPr="00C71D73">
        <w:rPr>
          <w:rFonts w:ascii="Calibri" w:hAnsi="Calibri" w:cs="Calibri"/>
          <w:sz w:val="20"/>
          <w:szCs w:val="20"/>
          <w:lang w:val="en-GB"/>
        </w:rPr>
        <w:t xml:space="preserve">Improving access to community-based pulmonary rehabilitation: 3R protocol for real-world settings with cost-benefit analysis. BMC Public Health. 2019;19:676. </w:t>
      </w:r>
    </w:p>
    <w:p w14:paraId="441A8500"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lang w:val="en-GB"/>
        </w:rPr>
        <w:t xml:space="preserve">3. Charlson ME, Pompei P, Ales KL, MacKenzie CR. A new method of classifying prognostic comorbidity in longitudinal studies: development and validation. J Chronic Dis. 1987;40:373–83. </w:t>
      </w:r>
    </w:p>
    <w:p w14:paraId="486D175C"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lang w:val="en-GB"/>
        </w:rPr>
        <w:t xml:space="preserve">4. Bestall J, Paul E, Garrod R, Garnham R, Jones P, Wedzicha J. Usefulness of the Medical Research Council (MRC) dyspnoea scale as a measure of disability in patients with chronic obstructive pulmonary disease. Thorax. 1999;54:581–6. </w:t>
      </w:r>
    </w:p>
    <w:p w14:paraId="1C25ED68"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lang w:val="en-GB"/>
        </w:rPr>
        <w:t xml:space="preserve">5. Jones PW, Harding G, Berry P, Wiklund I, Chen W-H, Kline Leidy N. Development and first validation of the COPD Assessment Test. European Respiratory Journal. 2009;34:648–54. </w:t>
      </w:r>
    </w:p>
    <w:p w14:paraId="76115F1B"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lang w:val="en-GB"/>
        </w:rPr>
        <w:t xml:space="preserve">6. Katoh K, Misawa K, Kuma K, Miyata T. MAFFT: a novel method for rapid multiple sequence alignment based on fast Fourier transform. Nucleic Acids Res. 2002;30:3059–66. </w:t>
      </w:r>
    </w:p>
    <w:p w14:paraId="137A9515"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lang w:val="en-GB"/>
        </w:rPr>
        <w:t>7. FastTree 2 – Approximately Maximum-Likelihood Trees for Large Alignments [Internet]. [cited 2019 Jul 23]. Available from: https://journals.plos.org/plosone/article?id=10.1371/journal.pone.0009490</w:t>
      </w:r>
    </w:p>
    <w:p w14:paraId="60B60D49"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lang w:val="en-GB"/>
        </w:rPr>
        <w:lastRenderedPageBreak/>
        <w:t xml:space="preserve">8. Bokulich NA, Kaehler BD, Rideout JR, Dillon M, Bolyen E, Knight R, et al. Optimizing taxonomic classification of marker-gene amplicon sequences with QIIME 2’s q2-feature-classifier plugin. Microbiome. 2018;6:90. </w:t>
      </w:r>
    </w:p>
    <w:p w14:paraId="43288E60"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lang w:val="en-GB"/>
        </w:rPr>
        <w:t xml:space="preserve">9. F. Escapa I, Huang Y, Chen T, Lin M, Kokaras A, Dewhirst FE, et al. Construction of habitat-specific training sets to achieve species-level assignment in 16S rRNA gene datasets. Microbiome. 2020;8:65. </w:t>
      </w:r>
    </w:p>
    <w:p w14:paraId="05EABF16"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lang w:val="en-GB"/>
        </w:rPr>
        <w:t xml:space="preserve">10. Anderson MJ. A new method for non-parametric multivariate analysis of variance. Austral Ecology. 2001;26:32–46. </w:t>
      </w:r>
    </w:p>
    <w:p w14:paraId="19B16A0A"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lang w:val="en-GB"/>
        </w:rPr>
        <w:t>11. adonis function - RDocumentation [Internet]. [cited 2021 Sep 15]. Available from: https://www.rdocumentation.org/packages/vegan/versions/2.4-2/topics/adonis</w:t>
      </w:r>
    </w:p>
    <w:p w14:paraId="463DBA34"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lang w:val="en-GB"/>
        </w:rPr>
        <w:t xml:space="preserve">12. Mandal S, Van Treuren W, White RA, Eggesbø M, Knight R, Peddada SD. Analysis of composition of microbiomes: a novel method for studying microbial composition. Microb Ecol Health Dis. 2015;26:27663. </w:t>
      </w:r>
    </w:p>
    <w:p w14:paraId="491D3C0D"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lang w:val="en-GB"/>
        </w:rPr>
        <w:t xml:space="preserve">13. Segata N, Izard J, Waldron L, Gevers D, Miropolsky L, Garrett WS, et al. Metagenomic biomarker discovery and explanation. Genome Biol. 2011;12:R60. </w:t>
      </w:r>
    </w:p>
    <w:p w14:paraId="01958C6D"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lang w:val="en-GB"/>
        </w:rPr>
        <w:t xml:space="preserve">14. Segata N, Izard J, Waldron L, Gevers D, Miropolsky L, Garrett WS, et al. Metagenomic biomarker discovery and explanation. Genome Biology. 2011;12:R60. </w:t>
      </w:r>
    </w:p>
    <w:p w14:paraId="6138F2EF"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lang w:val="en-GB"/>
        </w:rPr>
        <w:t>15. Mandal S, Van Treuren W, White RA, Eggesbø M, Knight R, Peddada SD. Analysis of composition of microbiomes: a novel method for studying microbial composition. Microbial Ecology in Health &amp; Disease [Internet]. 2015 [cited 2019 Jul 14];26. Available from: http://www.microbecolhealthdis.net/index.php/mehd/article/view/27663</w:t>
      </w:r>
    </w:p>
    <w:p w14:paraId="60CCA3A6"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lang w:val="en-GB"/>
        </w:rPr>
        <w:t>16. Huttenhower C. Galaxy / Hutlab - Harvard [Internet]. [cited 2019 Sep 19]. Available from: http://huttenhower.sph.harvard.edu/galaxy/</w:t>
      </w:r>
    </w:p>
    <w:p w14:paraId="25AF0108"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lang w:val="en-GB"/>
        </w:rPr>
        <w:t>17. Mandal, Siddhartha. Research - Dr. Siddhartha Mandal: ANCOM 2.0 - updated code [Internet]. [cited 2019 Sep 19]. Available from: https://sites.google.com/site/siddharthamandal1985/research</w:t>
      </w:r>
    </w:p>
    <w:p w14:paraId="45C74EB2"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lang w:val="en-GB"/>
        </w:rPr>
        <w:lastRenderedPageBreak/>
        <w:t>18. glm function - RDocumentation [Internet]. [cited 2021 Mar 29]. Available from: https://www.rdocumentation.org/packages/stats/versions/3.6.2/topics/glm</w:t>
      </w:r>
    </w:p>
    <w:p w14:paraId="0A22E4C0"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lang w:val="en-GB"/>
        </w:rPr>
        <w:t>19. PseudoR2 function - RDocumentation [Internet]. [cited 2021 Mar 29]. Available from: https://www.rdocumentation.org/packages/DescTools/versions/0.99.40/topics/PseudoR2</w:t>
      </w:r>
    </w:p>
    <w:p w14:paraId="77AE444E" w14:textId="77777777" w:rsidR="00C71D73" w:rsidRPr="00C71D73" w:rsidRDefault="00C71D73" w:rsidP="00C71D73">
      <w:pPr>
        <w:pStyle w:val="Bibliografia"/>
        <w:spacing w:line="480" w:lineRule="auto"/>
        <w:jc w:val="both"/>
        <w:rPr>
          <w:rFonts w:ascii="Calibri" w:hAnsi="Calibri" w:cs="Calibri"/>
          <w:sz w:val="20"/>
          <w:szCs w:val="20"/>
          <w:lang w:val="en-GB"/>
        </w:rPr>
      </w:pPr>
      <w:r w:rsidRPr="00C71D73">
        <w:rPr>
          <w:rFonts w:ascii="Calibri" w:hAnsi="Calibri" w:cs="Calibri"/>
          <w:sz w:val="20"/>
          <w:szCs w:val="20"/>
          <w:lang w:val="en-GB"/>
        </w:rPr>
        <w:t>20. hoslem.test function - RDocumentation [Internet]. [cited 2021 Mar 29]. Available from: https://www.rdocumentation.org/packages/ResourceSelection/versions/0.3-5/topics/hoslem.test</w:t>
      </w:r>
    </w:p>
    <w:p w14:paraId="12C9CCB4" w14:textId="72D4C7BA" w:rsidR="00A84847" w:rsidRPr="005B33D4" w:rsidRDefault="00A84847" w:rsidP="00542824">
      <w:pPr>
        <w:spacing w:line="480" w:lineRule="auto"/>
        <w:jc w:val="both"/>
        <w:rPr>
          <w:rFonts w:cstheme="minorHAnsi"/>
          <w:lang w:val="en-GB"/>
        </w:rPr>
      </w:pPr>
      <w:r w:rsidRPr="00C71D73">
        <w:rPr>
          <w:rFonts w:cstheme="minorHAnsi"/>
          <w:sz w:val="20"/>
          <w:szCs w:val="20"/>
          <w:lang w:val="en-GB"/>
        </w:rPr>
        <w:fldChar w:fldCharType="end"/>
      </w:r>
    </w:p>
    <w:p w14:paraId="62BEDF31" w14:textId="17AA2019" w:rsidR="00A84847" w:rsidRPr="005B33D4" w:rsidRDefault="00542824" w:rsidP="00A84847">
      <w:pPr>
        <w:pStyle w:val="Ttulo1"/>
        <w:spacing w:line="480" w:lineRule="auto"/>
        <w:jc w:val="both"/>
        <w:rPr>
          <w:rFonts w:asciiTheme="minorHAnsi" w:hAnsiTheme="minorHAnsi" w:cstheme="minorHAnsi"/>
          <w:sz w:val="26"/>
          <w:szCs w:val="26"/>
          <w:lang w:val="en-GB"/>
        </w:rPr>
      </w:pPr>
      <w:r>
        <w:rPr>
          <w:rFonts w:asciiTheme="minorHAnsi" w:hAnsiTheme="minorHAnsi" w:cstheme="minorHAnsi"/>
          <w:sz w:val="26"/>
          <w:szCs w:val="26"/>
          <w:lang w:val="en-GB"/>
        </w:rPr>
        <w:t>S</w:t>
      </w:r>
      <w:r w:rsidR="00E210B5" w:rsidRPr="005B33D4">
        <w:rPr>
          <w:rFonts w:asciiTheme="minorHAnsi" w:hAnsiTheme="minorHAnsi" w:cstheme="minorHAnsi"/>
          <w:sz w:val="26"/>
          <w:szCs w:val="26"/>
          <w:lang w:val="en-GB"/>
        </w:rPr>
        <w:t>upplementary tables</w:t>
      </w:r>
    </w:p>
    <w:p w14:paraId="4F8557C8" w14:textId="6E8315CD" w:rsidR="00A84847" w:rsidRPr="005B33D4" w:rsidRDefault="00D042EF" w:rsidP="00193521">
      <w:pPr>
        <w:jc w:val="both"/>
        <w:rPr>
          <w:b/>
          <w:bCs/>
          <w:lang w:val="en-GB"/>
        </w:rPr>
      </w:pPr>
      <w:r>
        <w:rPr>
          <w:b/>
          <w:bCs/>
          <w:lang w:val="en-GB"/>
        </w:rPr>
        <w:t xml:space="preserve">Supplementary </w:t>
      </w:r>
      <w:r w:rsidR="00E210B5">
        <w:rPr>
          <w:b/>
          <w:bCs/>
          <w:lang w:val="en-GB"/>
        </w:rPr>
        <w:t>t</w:t>
      </w:r>
      <w:r w:rsidR="00A84847" w:rsidRPr="005B33D4">
        <w:rPr>
          <w:b/>
          <w:bCs/>
          <w:lang w:val="en-GB"/>
        </w:rPr>
        <w:t xml:space="preserve">able 1. Clinical database containing sociodemographic, </w:t>
      </w:r>
      <w:r w:rsidR="005B33D4" w:rsidRPr="005B33D4">
        <w:rPr>
          <w:b/>
          <w:bCs/>
          <w:lang w:val="en-GB"/>
        </w:rPr>
        <w:t>anthropometric,</w:t>
      </w:r>
      <w:r w:rsidR="00A84847" w:rsidRPr="005B33D4">
        <w:rPr>
          <w:b/>
          <w:bCs/>
          <w:lang w:val="en-GB"/>
        </w:rPr>
        <w:t xml:space="preserve"> and clinical characteristics of participants included in the study</w:t>
      </w:r>
    </w:p>
    <w:p w14:paraId="49856C99" w14:textId="51D3B17B" w:rsidR="00A84847" w:rsidRPr="005B33D4" w:rsidRDefault="00A84847" w:rsidP="00A84847">
      <w:pPr>
        <w:pStyle w:val="PargrafodaLista"/>
        <w:numPr>
          <w:ilvl w:val="0"/>
          <w:numId w:val="1"/>
        </w:numPr>
        <w:rPr>
          <w:lang w:val="en-GB"/>
        </w:rPr>
      </w:pPr>
      <w:r w:rsidRPr="005B33D4">
        <w:rPr>
          <w:lang w:val="en-GB"/>
        </w:rPr>
        <w:t>Supplementary Excel file</w:t>
      </w:r>
    </w:p>
    <w:p w14:paraId="414CAD80" w14:textId="634B2501" w:rsidR="00193521" w:rsidRPr="005B33D4" w:rsidRDefault="00D042EF" w:rsidP="00193521">
      <w:pPr>
        <w:jc w:val="both"/>
        <w:rPr>
          <w:b/>
          <w:bCs/>
          <w:lang w:val="en-GB"/>
        </w:rPr>
      </w:pPr>
      <w:r>
        <w:rPr>
          <w:b/>
          <w:bCs/>
          <w:lang w:val="en-GB"/>
        </w:rPr>
        <w:t xml:space="preserve">Supplementary </w:t>
      </w:r>
      <w:r w:rsidR="00E210B5">
        <w:rPr>
          <w:b/>
          <w:bCs/>
          <w:lang w:val="en-GB"/>
        </w:rPr>
        <w:t>t</w:t>
      </w:r>
      <w:r w:rsidR="00193521" w:rsidRPr="005B33D4">
        <w:rPr>
          <w:b/>
          <w:bCs/>
          <w:lang w:val="en-GB"/>
        </w:rPr>
        <w:t xml:space="preserve">able 2.  Summary of clinical parameters distribution across Clusters I and II. Comparisons between </w:t>
      </w:r>
      <w:r w:rsidR="00D2399C" w:rsidRPr="005B33D4">
        <w:rPr>
          <w:b/>
          <w:bCs/>
          <w:lang w:val="en-GB"/>
        </w:rPr>
        <w:t>cluster</w:t>
      </w:r>
      <w:r w:rsidR="00193521" w:rsidRPr="005B33D4">
        <w:rPr>
          <w:b/>
          <w:bCs/>
          <w:lang w:val="en-GB"/>
        </w:rPr>
        <w:t xml:space="preserve"> were conducted with Mann-Whitney U-test and chi-square test.</w:t>
      </w:r>
    </w:p>
    <w:tbl>
      <w:tblPr>
        <w:tblW w:w="9300" w:type="dxa"/>
        <w:tblCellMar>
          <w:left w:w="0" w:type="dxa"/>
          <w:right w:w="0" w:type="dxa"/>
        </w:tblCellMar>
        <w:tblLook w:val="04A0" w:firstRow="1" w:lastRow="0" w:firstColumn="1" w:lastColumn="0" w:noHBand="0" w:noVBand="1"/>
      </w:tblPr>
      <w:tblGrid>
        <w:gridCol w:w="3959"/>
        <w:gridCol w:w="1985"/>
        <w:gridCol w:w="1696"/>
        <w:gridCol w:w="1340"/>
        <w:gridCol w:w="320"/>
      </w:tblGrid>
      <w:tr w:rsidR="00193521" w:rsidRPr="005B33D4" w14:paraId="266D31BC" w14:textId="77777777" w:rsidTr="00D2399C">
        <w:trPr>
          <w:trHeight w:val="438"/>
        </w:trPr>
        <w:tc>
          <w:tcPr>
            <w:tcW w:w="3959" w:type="dxa"/>
            <w:tcBorders>
              <w:bottom w:val="double" w:sz="4" w:space="0" w:color="auto"/>
              <w:right w:val="single" w:sz="4" w:space="0" w:color="auto"/>
            </w:tcBorders>
            <w:shd w:val="clear" w:color="auto" w:fill="auto"/>
            <w:tcMar>
              <w:top w:w="15" w:type="dxa"/>
              <w:left w:w="66" w:type="dxa"/>
              <w:bottom w:w="0" w:type="dxa"/>
              <w:right w:w="66" w:type="dxa"/>
            </w:tcMar>
            <w:vAlign w:val="center"/>
            <w:hideMark/>
          </w:tcPr>
          <w:p w14:paraId="49421CFF" w14:textId="77777777" w:rsidR="00193521" w:rsidRPr="005B33D4" w:rsidRDefault="00193521" w:rsidP="00193521">
            <w:pPr>
              <w:spacing w:after="0" w:line="240" w:lineRule="auto"/>
              <w:contextualSpacing/>
              <w:jc w:val="both"/>
              <w:rPr>
                <w:sz w:val="20"/>
                <w:szCs w:val="20"/>
                <w:lang w:val="en-GB"/>
              </w:rPr>
            </w:pPr>
            <w:r w:rsidRPr="005B33D4">
              <w:rPr>
                <w:b/>
                <w:bCs/>
                <w:i/>
                <w:iCs/>
                <w:sz w:val="20"/>
                <w:szCs w:val="20"/>
                <w:lang w:val="en-GB"/>
              </w:rPr>
              <w:t>Characteristics</w:t>
            </w:r>
          </w:p>
        </w:tc>
        <w:tc>
          <w:tcPr>
            <w:tcW w:w="1985" w:type="dxa"/>
            <w:tcBorders>
              <w:left w:val="single" w:sz="4" w:space="0" w:color="auto"/>
              <w:bottom w:val="double" w:sz="4" w:space="0" w:color="auto"/>
              <w:right w:val="single" w:sz="4" w:space="0" w:color="auto"/>
            </w:tcBorders>
            <w:shd w:val="clear" w:color="auto" w:fill="auto"/>
            <w:tcMar>
              <w:top w:w="15" w:type="dxa"/>
              <w:left w:w="66" w:type="dxa"/>
              <w:bottom w:w="0" w:type="dxa"/>
              <w:right w:w="66" w:type="dxa"/>
            </w:tcMar>
            <w:vAlign w:val="center"/>
            <w:hideMark/>
          </w:tcPr>
          <w:p w14:paraId="085F3716" w14:textId="77777777" w:rsidR="00193521" w:rsidRPr="005B33D4" w:rsidRDefault="00193521" w:rsidP="00193521">
            <w:pPr>
              <w:spacing w:after="0" w:line="240" w:lineRule="auto"/>
              <w:contextualSpacing/>
              <w:jc w:val="center"/>
              <w:rPr>
                <w:sz w:val="20"/>
                <w:szCs w:val="20"/>
                <w:lang w:val="en-GB"/>
              </w:rPr>
            </w:pPr>
            <w:r w:rsidRPr="005B33D4">
              <w:rPr>
                <w:b/>
                <w:bCs/>
                <w:i/>
                <w:iCs/>
                <w:sz w:val="20"/>
                <w:szCs w:val="20"/>
                <w:lang w:val="en-GB"/>
              </w:rPr>
              <w:t>Cluster I (n=29)</w:t>
            </w:r>
          </w:p>
        </w:tc>
        <w:tc>
          <w:tcPr>
            <w:tcW w:w="1696" w:type="dxa"/>
            <w:tcBorders>
              <w:left w:val="single" w:sz="4" w:space="0" w:color="auto"/>
              <w:bottom w:val="double" w:sz="4" w:space="0" w:color="auto"/>
              <w:right w:val="single" w:sz="4" w:space="0" w:color="auto"/>
            </w:tcBorders>
            <w:shd w:val="clear" w:color="auto" w:fill="auto"/>
            <w:tcMar>
              <w:top w:w="15" w:type="dxa"/>
              <w:left w:w="66" w:type="dxa"/>
              <w:bottom w:w="0" w:type="dxa"/>
              <w:right w:w="66" w:type="dxa"/>
            </w:tcMar>
            <w:vAlign w:val="center"/>
            <w:hideMark/>
          </w:tcPr>
          <w:p w14:paraId="47D0EF4E" w14:textId="77777777" w:rsidR="00193521" w:rsidRPr="005B33D4" w:rsidRDefault="00193521" w:rsidP="00193521">
            <w:pPr>
              <w:spacing w:after="0" w:line="240" w:lineRule="auto"/>
              <w:contextualSpacing/>
              <w:jc w:val="center"/>
              <w:rPr>
                <w:sz w:val="20"/>
                <w:szCs w:val="20"/>
                <w:lang w:val="en-GB"/>
              </w:rPr>
            </w:pPr>
            <w:r w:rsidRPr="005B33D4">
              <w:rPr>
                <w:b/>
                <w:bCs/>
                <w:i/>
                <w:iCs/>
                <w:sz w:val="20"/>
                <w:szCs w:val="20"/>
                <w:lang w:val="en-GB"/>
              </w:rPr>
              <w:t>Cluster II (n=31)</w:t>
            </w:r>
          </w:p>
        </w:tc>
        <w:tc>
          <w:tcPr>
            <w:tcW w:w="1340" w:type="dxa"/>
            <w:tcBorders>
              <w:left w:val="single" w:sz="4" w:space="0" w:color="auto"/>
              <w:bottom w:val="double" w:sz="4" w:space="0" w:color="auto"/>
            </w:tcBorders>
            <w:shd w:val="clear" w:color="auto" w:fill="auto"/>
            <w:tcMar>
              <w:top w:w="15" w:type="dxa"/>
              <w:left w:w="66" w:type="dxa"/>
              <w:bottom w:w="0" w:type="dxa"/>
              <w:right w:w="66" w:type="dxa"/>
            </w:tcMar>
            <w:vAlign w:val="center"/>
            <w:hideMark/>
          </w:tcPr>
          <w:p w14:paraId="35795289" w14:textId="77777777" w:rsidR="00193521" w:rsidRPr="005B33D4" w:rsidRDefault="00193521" w:rsidP="00193521">
            <w:pPr>
              <w:spacing w:after="0" w:line="240" w:lineRule="auto"/>
              <w:contextualSpacing/>
              <w:jc w:val="center"/>
              <w:rPr>
                <w:sz w:val="20"/>
                <w:szCs w:val="20"/>
                <w:lang w:val="en-GB"/>
              </w:rPr>
            </w:pPr>
            <w:r w:rsidRPr="005B33D4">
              <w:rPr>
                <w:b/>
                <w:bCs/>
                <w:i/>
                <w:iCs/>
                <w:sz w:val="20"/>
                <w:szCs w:val="20"/>
                <w:lang w:val="en-GB"/>
              </w:rPr>
              <w:t>p-value</w:t>
            </w:r>
          </w:p>
        </w:tc>
        <w:tc>
          <w:tcPr>
            <w:tcW w:w="320" w:type="dxa"/>
            <w:tcBorders>
              <w:bottom w:val="double" w:sz="4" w:space="0" w:color="auto"/>
            </w:tcBorders>
            <w:shd w:val="clear" w:color="auto" w:fill="auto"/>
            <w:tcMar>
              <w:top w:w="15" w:type="dxa"/>
              <w:left w:w="15" w:type="dxa"/>
              <w:bottom w:w="0" w:type="dxa"/>
              <w:right w:w="15" w:type="dxa"/>
            </w:tcMar>
            <w:vAlign w:val="center"/>
            <w:hideMark/>
          </w:tcPr>
          <w:p w14:paraId="0A602B63" w14:textId="77777777" w:rsidR="00193521" w:rsidRPr="005B33D4" w:rsidRDefault="00193521" w:rsidP="00193521">
            <w:pPr>
              <w:spacing w:after="0" w:line="240" w:lineRule="auto"/>
              <w:contextualSpacing/>
              <w:jc w:val="both"/>
              <w:rPr>
                <w:sz w:val="20"/>
                <w:szCs w:val="20"/>
                <w:lang w:val="en-GB"/>
              </w:rPr>
            </w:pPr>
            <w:r w:rsidRPr="005B33D4">
              <w:rPr>
                <w:sz w:val="20"/>
                <w:szCs w:val="20"/>
                <w:lang w:val="en-GB"/>
              </w:rPr>
              <w:t> </w:t>
            </w:r>
          </w:p>
        </w:tc>
      </w:tr>
      <w:tr w:rsidR="00193521" w:rsidRPr="005B33D4" w14:paraId="4A19DE95" w14:textId="77777777" w:rsidTr="00D2399C">
        <w:trPr>
          <w:trHeight w:val="318"/>
        </w:trPr>
        <w:tc>
          <w:tcPr>
            <w:tcW w:w="3959" w:type="dxa"/>
            <w:tcBorders>
              <w:top w:val="double" w:sz="4" w:space="0" w:color="auto"/>
              <w:right w:val="single" w:sz="4" w:space="0" w:color="auto"/>
            </w:tcBorders>
            <w:shd w:val="clear" w:color="auto" w:fill="auto"/>
            <w:tcMar>
              <w:top w:w="15" w:type="dxa"/>
              <w:left w:w="66" w:type="dxa"/>
              <w:bottom w:w="0" w:type="dxa"/>
              <w:right w:w="66" w:type="dxa"/>
            </w:tcMar>
            <w:vAlign w:val="center"/>
            <w:hideMark/>
          </w:tcPr>
          <w:p w14:paraId="4619B8B0" w14:textId="77777777" w:rsidR="00193521" w:rsidRPr="005B33D4" w:rsidRDefault="00193521" w:rsidP="00193521">
            <w:pPr>
              <w:spacing w:after="0" w:line="240" w:lineRule="auto"/>
              <w:contextualSpacing/>
              <w:jc w:val="both"/>
              <w:rPr>
                <w:sz w:val="20"/>
                <w:szCs w:val="20"/>
                <w:lang w:val="en-GB"/>
              </w:rPr>
            </w:pPr>
            <w:r w:rsidRPr="005B33D4">
              <w:rPr>
                <w:b/>
                <w:bCs/>
                <w:i/>
                <w:iCs/>
                <w:sz w:val="20"/>
                <w:szCs w:val="20"/>
                <w:lang w:val="en-GB"/>
              </w:rPr>
              <w:t>Age (years), mean±SD</w:t>
            </w:r>
          </w:p>
        </w:tc>
        <w:tc>
          <w:tcPr>
            <w:tcW w:w="1985" w:type="dxa"/>
            <w:tcBorders>
              <w:top w:val="double" w:sz="4" w:space="0" w:color="auto"/>
              <w:left w:val="single" w:sz="4" w:space="0" w:color="auto"/>
              <w:right w:val="single" w:sz="4" w:space="0" w:color="auto"/>
            </w:tcBorders>
            <w:shd w:val="clear" w:color="auto" w:fill="auto"/>
            <w:tcMar>
              <w:top w:w="15" w:type="dxa"/>
              <w:left w:w="66" w:type="dxa"/>
              <w:bottom w:w="0" w:type="dxa"/>
              <w:right w:w="66" w:type="dxa"/>
            </w:tcMar>
            <w:hideMark/>
          </w:tcPr>
          <w:p w14:paraId="63CF0509"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70.1±7.9</w:t>
            </w:r>
          </w:p>
        </w:tc>
        <w:tc>
          <w:tcPr>
            <w:tcW w:w="1696" w:type="dxa"/>
            <w:tcBorders>
              <w:top w:val="double" w:sz="4" w:space="0" w:color="auto"/>
              <w:left w:val="single" w:sz="4" w:space="0" w:color="auto"/>
              <w:right w:val="single" w:sz="4" w:space="0" w:color="auto"/>
            </w:tcBorders>
            <w:shd w:val="clear" w:color="auto" w:fill="auto"/>
            <w:tcMar>
              <w:top w:w="15" w:type="dxa"/>
              <w:left w:w="66" w:type="dxa"/>
              <w:bottom w:w="0" w:type="dxa"/>
              <w:right w:w="66" w:type="dxa"/>
            </w:tcMar>
            <w:hideMark/>
          </w:tcPr>
          <w:p w14:paraId="180126F4"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65.3±8.5</w:t>
            </w:r>
          </w:p>
        </w:tc>
        <w:tc>
          <w:tcPr>
            <w:tcW w:w="1340" w:type="dxa"/>
            <w:tcBorders>
              <w:top w:val="double" w:sz="4" w:space="0" w:color="auto"/>
              <w:left w:val="single" w:sz="4" w:space="0" w:color="auto"/>
            </w:tcBorders>
            <w:shd w:val="clear" w:color="auto" w:fill="auto"/>
            <w:tcMar>
              <w:top w:w="15" w:type="dxa"/>
              <w:left w:w="66" w:type="dxa"/>
              <w:bottom w:w="0" w:type="dxa"/>
              <w:right w:w="66" w:type="dxa"/>
            </w:tcMar>
            <w:hideMark/>
          </w:tcPr>
          <w:p w14:paraId="7F401BB4"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0.08</w:t>
            </w:r>
          </w:p>
        </w:tc>
        <w:tc>
          <w:tcPr>
            <w:tcW w:w="320" w:type="dxa"/>
            <w:tcBorders>
              <w:top w:val="double" w:sz="4" w:space="0" w:color="auto"/>
            </w:tcBorders>
            <w:shd w:val="clear" w:color="auto" w:fill="auto"/>
            <w:tcMar>
              <w:top w:w="15" w:type="dxa"/>
              <w:left w:w="15" w:type="dxa"/>
              <w:bottom w:w="0" w:type="dxa"/>
              <w:right w:w="15" w:type="dxa"/>
            </w:tcMar>
            <w:vAlign w:val="center"/>
            <w:hideMark/>
          </w:tcPr>
          <w:p w14:paraId="5973CA04" w14:textId="77777777" w:rsidR="00193521" w:rsidRPr="005B33D4" w:rsidRDefault="00193521" w:rsidP="00193521">
            <w:pPr>
              <w:spacing w:after="0" w:line="240" w:lineRule="auto"/>
              <w:contextualSpacing/>
              <w:jc w:val="both"/>
              <w:rPr>
                <w:sz w:val="20"/>
                <w:szCs w:val="20"/>
                <w:lang w:val="en-GB"/>
              </w:rPr>
            </w:pPr>
            <w:r w:rsidRPr="005B33D4">
              <w:rPr>
                <w:sz w:val="20"/>
                <w:szCs w:val="20"/>
                <w:lang w:val="en-GB"/>
              </w:rPr>
              <w:t> </w:t>
            </w:r>
          </w:p>
        </w:tc>
      </w:tr>
      <w:tr w:rsidR="00193521" w:rsidRPr="005B33D4" w14:paraId="17A9DFBA" w14:textId="77777777" w:rsidTr="00D2399C">
        <w:trPr>
          <w:trHeight w:val="318"/>
        </w:trPr>
        <w:tc>
          <w:tcPr>
            <w:tcW w:w="3959" w:type="dxa"/>
            <w:tcBorders>
              <w:right w:val="single" w:sz="4" w:space="0" w:color="auto"/>
            </w:tcBorders>
            <w:shd w:val="clear" w:color="auto" w:fill="auto"/>
            <w:tcMar>
              <w:top w:w="15" w:type="dxa"/>
              <w:left w:w="66" w:type="dxa"/>
              <w:bottom w:w="0" w:type="dxa"/>
              <w:right w:w="66" w:type="dxa"/>
            </w:tcMar>
            <w:vAlign w:val="center"/>
            <w:hideMark/>
          </w:tcPr>
          <w:p w14:paraId="5D7CDFE1" w14:textId="77777777" w:rsidR="00193521" w:rsidRPr="005B33D4" w:rsidRDefault="00193521" w:rsidP="00193521">
            <w:pPr>
              <w:spacing w:after="0" w:line="240" w:lineRule="auto"/>
              <w:contextualSpacing/>
              <w:jc w:val="both"/>
              <w:rPr>
                <w:sz w:val="20"/>
                <w:szCs w:val="20"/>
                <w:lang w:val="en-GB"/>
              </w:rPr>
            </w:pPr>
            <w:r w:rsidRPr="005B33D4">
              <w:rPr>
                <w:b/>
                <w:bCs/>
                <w:i/>
                <w:iCs/>
                <w:sz w:val="20"/>
                <w:szCs w:val="20"/>
                <w:lang w:val="en-GB"/>
              </w:rPr>
              <w:t>Pack-Years, mean±SD</w:t>
            </w:r>
          </w:p>
        </w:tc>
        <w:tc>
          <w:tcPr>
            <w:tcW w:w="1985" w:type="dxa"/>
            <w:tcBorders>
              <w:left w:val="single" w:sz="4" w:space="0" w:color="auto"/>
              <w:right w:val="single" w:sz="4" w:space="0" w:color="auto"/>
            </w:tcBorders>
            <w:shd w:val="clear" w:color="auto" w:fill="auto"/>
            <w:tcMar>
              <w:top w:w="15" w:type="dxa"/>
              <w:left w:w="66" w:type="dxa"/>
              <w:bottom w:w="0" w:type="dxa"/>
              <w:right w:w="66" w:type="dxa"/>
            </w:tcMar>
            <w:hideMark/>
          </w:tcPr>
          <w:p w14:paraId="1AA5AE35"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42.4±36.6</w:t>
            </w:r>
          </w:p>
        </w:tc>
        <w:tc>
          <w:tcPr>
            <w:tcW w:w="1696" w:type="dxa"/>
            <w:tcBorders>
              <w:left w:val="single" w:sz="4" w:space="0" w:color="auto"/>
              <w:right w:val="single" w:sz="4" w:space="0" w:color="auto"/>
            </w:tcBorders>
            <w:shd w:val="clear" w:color="auto" w:fill="auto"/>
            <w:tcMar>
              <w:top w:w="15" w:type="dxa"/>
              <w:left w:w="66" w:type="dxa"/>
              <w:bottom w:w="0" w:type="dxa"/>
              <w:right w:w="66" w:type="dxa"/>
            </w:tcMar>
            <w:hideMark/>
          </w:tcPr>
          <w:p w14:paraId="6118D735"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36.9±49.4</w:t>
            </w:r>
          </w:p>
        </w:tc>
        <w:tc>
          <w:tcPr>
            <w:tcW w:w="1340" w:type="dxa"/>
            <w:tcBorders>
              <w:left w:val="single" w:sz="4" w:space="0" w:color="auto"/>
            </w:tcBorders>
            <w:shd w:val="clear" w:color="auto" w:fill="auto"/>
            <w:tcMar>
              <w:top w:w="15" w:type="dxa"/>
              <w:left w:w="66" w:type="dxa"/>
              <w:bottom w:w="0" w:type="dxa"/>
              <w:right w:w="66" w:type="dxa"/>
            </w:tcMar>
            <w:hideMark/>
          </w:tcPr>
          <w:p w14:paraId="1104EFB0"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0.23</w:t>
            </w:r>
          </w:p>
        </w:tc>
        <w:tc>
          <w:tcPr>
            <w:tcW w:w="320" w:type="dxa"/>
            <w:shd w:val="clear" w:color="auto" w:fill="auto"/>
            <w:tcMar>
              <w:top w:w="15" w:type="dxa"/>
              <w:left w:w="15" w:type="dxa"/>
              <w:bottom w:w="0" w:type="dxa"/>
              <w:right w:w="15" w:type="dxa"/>
            </w:tcMar>
            <w:vAlign w:val="center"/>
            <w:hideMark/>
          </w:tcPr>
          <w:p w14:paraId="056BE7D7" w14:textId="77777777" w:rsidR="00193521" w:rsidRPr="005B33D4" w:rsidRDefault="00193521" w:rsidP="00193521">
            <w:pPr>
              <w:spacing w:after="0" w:line="240" w:lineRule="auto"/>
              <w:contextualSpacing/>
              <w:jc w:val="both"/>
              <w:rPr>
                <w:sz w:val="20"/>
                <w:szCs w:val="20"/>
                <w:lang w:val="en-GB"/>
              </w:rPr>
            </w:pPr>
          </w:p>
        </w:tc>
      </w:tr>
      <w:tr w:rsidR="00193521" w:rsidRPr="005B33D4" w14:paraId="5C5AEFD7" w14:textId="77777777" w:rsidTr="00D2399C">
        <w:trPr>
          <w:trHeight w:val="318"/>
        </w:trPr>
        <w:tc>
          <w:tcPr>
            <w:tcW w:w="3959" w:type="dxa"/>
            <w:tcBorders>
              <w:right w:val="single" w:sz="4" w:space="0" w:color="auto"/>
            </w:tcBorders>
            <w:shd w:val="clear" w:color="auto" w:fill="auto"/>
            <w:tcMar>
              <w:top w:w="15" w:type="dxa"/>
              <w:left w:w="66" w:type="dxa"/>
              <w:bottom w:w="0" w:type="dxa"/>
              <w:right w:w="66" w:type="dxa"/>
            </w:tcMar>
            <w:vAlign w:val="center"/>
            <w:hideMark/>
          </w:tcPr>
          <w:p w14:paraId="6AF89405" w14:textId="77777777" w:rsidR="00193521" w:rsidRPr="005B33D4" w:rsidRDefault="00193521" w:rsidP="00193521">
            <w:pPr>
              <w:spacing w:after="0" w:line="240" w:lineRule="auto"/>
              <w:contextualSpacing/>
              <w:jc w:val="both"/>
              <w:rPr>
                <w:sz w:val="20"/>
                <w:szCs w:val="20"/>
                <w:lang w:val="en-GB"/>
              </w:rPr>
            </w:pPr>
            <w:r w:rsidRPr="005B33D4">
              <w:rPr>
                <w:b/>
                <w:bCs/>
                <w:i/>
                <w:iCs/>
                <w:sz w:val="20"/>
                <w:szCs w:val="20"/>
                <w:lang w:val="en-GB"/>
              </w:rPr>
              <w:t>CCI, mean±SD</w:t>
            </w:r>
          </w:p>
        </w:tc>
        <w:tc>
          <w:tcPr>
            <w:tcW w:w="1985" w:type="dxa"/>
            <w:tcBorders>
              <w:left w:val="single" w:sz="4" w:space="0" w:color="auto"/>
              <w:right w:val="single" w:sz="4" w:space="0" w:color="auto"/>
            </w:tcBorders>
            <w:shd w:val="clear" w:color="auto" w:fill="auto"/>
            <w:tcMar>
              <w:top w:w="15" w:type="dxa"/>
              <w:left w:w="66" w:type="dxa"/>
              <w:bottom w:w="0" w:type="dxa"/>
              <w:right w:w="66" w:type="dxa"/>
            </w:tcMar>
            <w:hideMark/>
          </w:tcPr>
          <w:p w14:paraId="5D537F86"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3.9±1.48</w:t>
            </w:r>
          </w:p>
        </w:tc>
        <w:tc>
          <w:tcPr>
            <w:tcW w:w="1696" w:type="dxa"/>
            <w:tcBorders>
              <w:left w:val="single" w:sz="4" w:space="0" w:color="auto"/>
              <w:right w:val="single" w:sz="4" w:space="0" w:color="auto"/>
            </w:tcBorders>
            <w:shd w:val="clear" w:color="auto" w:fill="auto"/>
            <w:tcMar>
              <w:top w:w="15" w:type="dxa"/>
              <w:left w:w="66" w:type="dxa"/>
              <w:bottom w:w="0" w:type="dxa"/>
              <w:right w:w="66" w:type="dxa"/>
            </w:tcMar>
            <w:hideMark/>
          </w:tcPr>
          <w:p w14:paraId="67500D52"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3.5±1.1</w:t>
            </w:r>
          </w:p>
        </w:tc>
        <w:tc>
          <w:tcPr>
            <w:tcW w:w="1340" w:type="dxa"/>
            <w:tcBorders>
              <w:left w:val="single" w:sz="4" w:space="0" w:color="auto"/>
            </w:tcBorders>
            <w:shd w:val="clear" w:color="auto" w:fill="auto"/>
            <w:tcMar>
              <w:top w:w="15" w:type="dxa"/>
              <w:left w:w="66" w:type="dxa"/>
              <w:bottom w:w="0" w:type="dxa"/>
              <w:right w:w="66" w:type="dxa"/>
            </w:tcMar>
            <w:hideMark/>
          </w:tcPr>
          <w:p w14:paraId="051BF43C"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0.37</w:t>
            </w:r>
          </w:p>
        </w:tc>
        <w:tc>
          <w:tcPr>
            <w:tcW w:w="320" w:type="dxa"/>
            <w:shd w:val="clear" w:color="auto" w:fill="auto"/>
            <w:tcMar>
              <w:top w:w="15" w:type="dxa"/>
              <w:left w:w="15" w:type="dxa"/>
              <w:bottom w:w="0" w:type="dxa"/>
              <w:right w:w="15" w:type="dxa"/>
            </w:tcMar>
            <w:vAlign w:val="center"/>
            <w:hideMark/>
          </w:tcPr>
          <w:p w14:paraId="1C75556D" w14:textId="77777777" w:rsidR="00193521" w:rsidRPr="005B33D4" w:rsidRDefault="00193521" w:rsidP="00193521">
            <w:pPr>
              <w:spacing w:after="0" w:line="240" w:lineRule="auto"/>
              <w:contextualSpacing/>
              <w:jc w:val="both"/>
              <w:rPr>
                <w:sz w:val="20"/>
                <w:szCs w:val="20"/>
                <w:lang w:val="en-GB"/>
              </w:rPr>
            </w:pPr>
          </w:p>
        </w:tc>
      </w:tr>
      <w:tr w:rsidR="00193521" w:rsidRPr="005B33D4" w14:paraId="26613660" w14:textId="77777777" w:rsidTr="00D2399C">
        <w:trPr>
          <w:trHeight w:val="316"/>
        </w:trPr>
        <w:tc>
          <w:tcPr>
            <w:tcW w:w="9300" w:type="dxa"/>
            <w:gridSpan w:val="5"/>
            <w:shd w:val="clear" w:color="auto" w:fill="auto"/>
            <w:tcMar>
              <w:top w:w="15" w:type="dxa"/>
              <w:left w:w="66" w:type="dxa"/>
              <w:bottom w:w="0" w:type="dxa"/>
              <w:right w:w="66" w:type="dxa"/>
            </w:tcMar>
            <w:hideMark/>
          </w:tcPr>
          <w:p w14:paraId="27B0029E" w14:textId="77777777" w:rsidR="00193521" w:rsidRPr="005B33D4" w:rsidRDefault="00193521" w:rsidP="00193521">
            <w:pPr>
              <w:spacing w:after="0" w:line="240" w:lineRule="auto"/>
              <w:contextualSpacing/>
              <w:jc w:val="both"/>
              <w:rPr>
                <w:sz w:val="20"/>
                <w:szCs w:val="20"/>
                <w:lang w:val="en-GB"/>
              </w:rPr>
            </w:pPr>
            <w:r w:rsidRPr="005B33D4">
              <w:rPr>
                <w:b/>
                <w:bCs/>
                <w:i/>
                <w:iCs/>
                <w:sz w:val="20"/>
                <w:szCs w:val="20"/>
                <w:lang w:val="en-GB"/>
              </w:rPr>
              <w:t>GOLD Grade, n (%)</w:t>
            </w:r>
          </w:p>
        </w:tc>
      </w:tr>
      <w:tr w:rsidR="00193521" w:rsidRPr="005B33D4" w14:paraId="3A4420CF" w14:textId="77777777" w:rsidTr="00D2399C">
        <w:trPr>
          <w:trHeight w:val="318"/>
        </w:trPr>
        <w:tc>
          <w:tcPr>
            <w:tcW w:w="3959" w:type="dxa"/>
            <w:tcBorders>
              <w:right w:val="single" w:sz="4" w:space="0" w:color="auto"/>
            </w:tcBorders>
            <w:shd w:val="clear" w:color="auto" w:fill="auto"/>
            <w:tcMar>
              <w:top w:w="15" w:type="dxa"/>
              <w:left w:w="66" w:type="dxa"/>
              <w:bottom w:w="0" w:type="dxa"/>
              <w:right w:w="66" w:type="dxa"/>
            </w:tcMar>
            <w:vAlign w:val="center"/>
            <w:hideMark/>
          </w:tcPr>
          <w:p w14:paraId="7A6FC595" w14:textId="77777777" w:rsidR="00193521" w:rsidRPr="005B33D4" w:rsidRDefault="00193521" w:rsidP="00193521">
            <w:pPr>
              <w:spacing w:after="0" w:line="240" w:lineRule="auto"/>
              <w:contextualSpacing/>
              <w:jc w:val="right"/>
              <w:rPr>
                <w:sz w:val="20"/>
                <w:szCs w:val="20"/>
                <w:lang w:val="en-GB"/>
              </w:rPr>
            </w:pPr>
            <w:r w:rsidRPr="005B33D4">
              <w:rPr>
                <w:sz w:val="20"/>
                <w:szCs w:val="20"/>
                <w:lang w:val="en-GB"/>
              </w:rPr>
              <w:t>1</w:t>
            </w:r>
          </w:p>
        </w:tc>
        <w:tc>
          <w:tcPr>
            <w:tcW w:w="1985" w:type="dxa"/>
            <w:tcBorders>
              <w:left w:val="single" w:sz="4" w:space="0" w:color="auto"/>
              <w:right w:val="single" w:sz="4" w:space="0" w:color="auto"/>
            </w:tcBorders>
            <w:shd w:val="clear" w:color="auto" w:fill="auto"/>
            <w:tcMar>
              <w:top w:w="15" w:type="dxa"/>
              <w:left w:w="66" w:type="dxa"/>
              <w:bottom w:w="0" w:type="dxa"/>
              <w:right w:w="66" w:type="dxa"/>
            </w:tcMar>
            <w:hideMark/>
          </w:tcPr>
          <w:p w14:paraId="2CFBD4A0"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5 (83%)</w:t>
            </w:r>
          </w:p>
        </w:tc>
        <w:tc>
          <w:tcPr>
            <w:tcW w:w="1696" w:type="dxa"/>
            <w:tcBorders>
              <w:left w:val="single" w:sz="4" w:space="0" w:color="auto"/>
              <w:right w:val="single" w:sz="4" w:space="0" w:color="auto"/>
            </w:tcBorders>
            <w:shd w:val="clear" w:color="auto" w:fill="auto"/>
            <w:tcMar>
              <w:top w:w="15" w:type="dxa"/>
              <w:left w:w="66" w:type="dxa"/>
              <w:bottom w:w="0" w:type="dxa"/>
              <w:right w:w="66" w:type="dxa"/>
            </w:tcMar>
            <w:hideMark/>
          </w:tcPr>
          <w:p w14:paraId="5418BC64"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1 (17%)</w:t>
            </w:r>
          </w:p>
        </w:tc>
        <w:tc>
          <w:tcPr>
            <w:tcW w:w="1340" w:type="dxa"/>
            <w:tcBorders>
              <w:left w:val="single" w:sz="4" w:space="0" w:color="auto"/>
            </w:tcBorders>
            <w:shd w:val="clear" w:color="auto" w:fill="auto"/>
            <w:tcMar>
              <w:top w:w="15" w:type="dxa"/>
              <w:left w:w="66" w:type="dxa"/>
              <w:bottom w:w="0" w:type="dxa"/>
              <w:right w:w="66" w:type="dxa"/>
            </w:tcMar>
            <w:hideMark/>
          </w:tcPr>
          <w:p w14:paraId="54001FFE"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0.16</w:t>
            </w:r>
          </w:p>
        </w:tc>
        <w:tc>
          <w:tcPr>
            <w:tcW w:w="320" w:type="dxa"/>
            <w:shd w:val="clear" w:color="auto" w:fill="auto"/>
            <w:tcMar>
              <w:top w:w="15" w:type="dxa"/>
              <w:left w:w="15" w:type="dxa"/>
              <w:bottom w:w="0" w:type="dxa"/>
              <w:right w:w="15" w:type="dxa"/>
            </w:tcMar>
            <w:vAlign w:val="center"/>
            <w:hideMark/>
          </w:tcPr>
          <w:p w14:paraId="23D8410C" w14:textId="77777777" w:rsidR="00193521" w:rsidRPr="005B33D4" w:rsidRDefault="00193521" w:rsidP="00193521">
            <w:pPr>
              <w:spacing w:after="0" w:line="240" w:lineRule="auto"/>
              <w:contextualSpacing/>
              <w:jc w:val="both"/>
              <w:rPr>
                <w:sz w:val="20"/>
                <w:szCs w:val="20"/>
                <w:lang w:val="en-GB"/>
              </w:rPr>
            </w:pPr>
          </w:p>
        </w:tc>
      </w:tr>
      <w:tr w:rsidR="00193521" w:rsidRPr="005B33D4" w14:paraId="32618155" w14:textId="77777777" w:rsidTr="00D2399C">
        <w:trPr>
          <w:trHeight w:val="318"/>
        </w:trPr>
        <w:tc>
          <w:tcPr>
            <w:tcW w:w="3959" w:type="dxa"/>
            <w:tcBorders>
              <w:right w:val="single" w:sz="4" w:space="0" w:color="auto"/>
            </w:tcBorders>
            <w:shd w:val="clear" w:color="auto" w:fill="auto"/>
            <w:tcMar>
              <w:top w:w="15" w:type="dxa"/>
              <w:left w:w="66" w:type="dxa"/>
              <w:bottom w:w="0" w:type="dxa"/>
              <w:right w:w="66" w:type="dxa"/>
            </w:tcMar>
            <w:vAlign w:val="center"/>
            <w:hideMark/>
          </w:tcPr>
          <w:p w14:paraId="62AB688F" w14:textId="77777777" w:rsidR="00193521" w:rsidRPr="005B33D4" w:rsidRDefault="00193521" w:rsidP="00193521">
            <w:pPr>
              <w:spacing w:after="0" w:line="240" w:lineRule="auto"/>
              <w:contextualSpacing/>
              <w:jc w:val="right"/>
              <w:rPr>
                <w:sz w:val="20"/>
                <w:szCs w:val="20"/>
                <w:lang w:val="en-GB"/>
              </w:rPr>
            </w:pPr>
            <w:r w:rsidRPr="005B33D4">
              <w:rPr>
                <w:sz w:val="20"/>
                <w:szCs w:val="20"/>
                <w:lang w:val="en-GB"/>
              </w:rPr>
              <w:t>2</w:t>
            </w:r>
          </w:p>
        </w:tc>
        <w:tc>
          <w:tcPr>
            <w:tcW w:w="1985" w:type="dxa"/>
            <w:tcBorders>
              <w:left w:val="single" w:sz="4" w:space="0" w:color="auto"/>
              <w:right w:val="single" w:sz="4" w:space="0" w:color="auto"/>
            </w:tcBorders>
            <w:shd w:val="clear" w:color="auto" w:fill="auto"/>
            <w:tcMar>
              <w:top w:w="15" w:type="dxa"/>
              <w:left w:w="66" w:type="dxa"/>
              <w:bottom w:w="0" w:type="dxa"/>
              <w:right w:w="66" w:type="dxa"/>
            </w:tcMar>
            <w:hideMark/>
          </w:tcPr>
          <w:p w14:paraId="64D71B1A"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11 (50%)</w:t>
            </w:r>
          </w:p>
        </w:tc>
        <w:tc>
          <w:tcPr>
            <w:tcW w:w="1696" w:type="dxa"/>
            <w:tcBorders>
              <w:left w:val="single" w:sz="4" w:space="0" w:color="auto"/>
              <w:right w:val="single" w:sz="4" w:space="0" w:color="auto"/>
            </w:tcBorders>
            <w:shd w:val="clear" w:color="auto" w:fill="auto"/>
            <w:tcMar>
              <w:top w:w="15" w:type="dxa"/>
              <w:left w:w="66" w:type="dxa"/>
              <w:bottom w:w="0" w:type="dxa"/>
              <w:right w:w="66" w:type="dxa"/>
            </w:tcMar>
            <w:hideMark/>
          </w:tcPr>
          <w:p w14:paraId="2B379687"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11 (50%)</w:t>
            </w:r>
          </w:p>
        </w:tc>
        <w:tc>
          <w:tcPr>
            <w:tcW w:w="1340" w:type="dxa"/>
            <w:tcBorders>
              <w:left w:val="single" w:sz="4" w:space="0" w:color="auto"/>
            </w:tcBorders>
            <w:shd w:val="clear" w:color="auto" w:fill="auto"/>
            <w:tcMar>
              <w:top w:w="15" w:type="dxa"/>
              <w:left w:w="66" w:type="dxa"/>
              <w:bottom w:w="0" w:type="dxa"/>
              <w:right w:w="66" w:type="dxa"/>
            </w:tcMar>
            <w:hideMark/>
          </w:tcPr>
          <w:p w14:paraId="0E9689F8"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1</w:t>
            </w:r>
          </w:p>
        </w:tc>
        <w:tc>
          <w:tcPr>
            <w:tcW w:w="320" w:type="dxa"/>
            <w:shd w:val="clear" w:color="auto" w:fill="auto"/>
            <w:tcMar>
              <w:top w:w="15" w:type="dxa"/>
              <w:left w:w="15" w:type="dxa"/>
              <w:bottom w:w="0" w:type="dxa"/>
              <w:right w:w="15" w:type="dxa"/>
            </w:tcMar>
            <w:vAlign w:val="center"/>
            <w:hideMark/>
          </w:tcPr>
          <w:p w14:paraId="4037A92A" w14:textId="77777777" w:rsidR="00193521" w:rsidRPr="005B33D4" w:rsidRDefault="00193521" w:rsidP="00193521">
            <w:pPr>
              <w:spacing w:after="0" w:line="240" w:lineRule="auto"/>
              <w:contextualSpacing/>
              <w:jc w:val="both"/>
              <w:rPr>
                <w:sz w:val="20"/>
                <w:szCs w:val="20"/>
                <w:lang w:val="en-GB"/>
              </w:rPr>
            </w:pPr>
          </w:p>
        </w:tc>
      </w:tr>
      <w:tr w:rsidR="00193521" w:rsidRPr="005B33D4" w14:paraId="420F199E" w14:textId="77777777" w:rsidTr="00D2399C">
        <w:trPr>
          <w:trHeight w:val="318"/>
        </w:trPr>
        <w:tc>
          <w:tcPr>
            <w:tcW w:w="3959" w:type="dxa"/>
            <w:tcBorders>
              <w:right w:val="single" w:sz="4" w:space="0" w:color="auto"/>
            </w:tcBorders>
            <w:shd w:val="clear" w:color="auto" w:fill="auto"/>
            <w:tcMar>
              <w:top w:w="15" w:type="dxa"/>
              <w:left w:w="66" w:type="dxa"/>
              <w:bottom w:w="0" w:type="dxa"/>
              <w:right w:w="66" w:type="dxa"/>
            </w:tcMar>
            <w:vAlign w:val="center"/>
            <w:hideMark/>
          </w:tcPr>
          <w:p w14:paraId="61AB61E2" w14:textId="77777777" w:rsidR="00193521" w:rsidRPr="005B33D4" w:rsidRDefault="00193521" w:rsidP="00193521">
            <w:pPr>
              <w:spacing w:after="0" w:line="240" w:lineRule="auto"/>
              <w:contextualSpacing/>
              <w:jc w:val="right"/>
              <w:rPr>
                <w:sz w:val="20"/>
                <w:szCs w:val="20"/>
                <w:lang w:val="en-GB"/>
              </w:rPr>
            </w:pPr>
            <w:r w:rsidRPr="005B33D4">
              <w:rPr>
                <w:i/>
                <w:iCs/>
                <w:sz w:val="20"/>
                <w:szCs w:val="20"/>
                <w:lang w:val="en-GB"/>
              </w:rPr>
              <w:t>3</w:t>
            </w:r>
          </w:p>
        </w:tc>
        <w:tc>
          <w:tcPr>
            <w:tcW w:w="1985" w:type="dxa"/>
            <w:tcBorders>
              <w:left w:val="single" w:sz="4" w:space="0" w:color="auto"/>
              <w:right w:val="single" w:sz="4" w:space="0" w:color="auto"/>
            </w:tcBorders>
            <w:shd w:val="clear" w:color="auto" w:fill="auto"/>
            <w:tcMar>
              <w:top w:w="15" w:type="dxa"/>
              <w:left w:w="66" w:type="dxa"/>
              <w:bottom w:w="0" w:type="dxa"/>
              <w:right w:w="66" w:type="dxa"/>
            </w:tcMar>
            <w:hideMark/>
          </w:tcPr>
          <w:p w14:paraId="06D70A4D"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8 (36%)</w:t>
            </w:r>
          </w:p>
        </w:tc>
        <w:tc>
          <w:tcPr>
            <w:tcW w:w="1696" w:type="dxa"/>
            <w:tcBorders>
              <w:left w:val="single" w:sz="4" w:space="0" w:color="auto"/>
              <w:right w:val="single" w:sz="4" w:space="0" w:color="auto"/>
            </w:tcBorders>
            <w:shd w:val="clear" w:color="auto" w:fill="auto"/>
            <w:tcMar>
              <w:top w:w="15" w:type="dxa"/>
              <w:left w:w="66" w:type="dxa"/>
              <w:bottom w:w="0" w:type="dxa"/>
              <w:right w:w="66" w:type="dxa"/>
            </w:tcMar>
            <w:hideMark/>
          </w:tcPr>
          <w:p w14:paraId="02B2CE5E"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14 (64%)</w:t>
            </w:r>
          </w:p>
        </w:tc>
        <w:tc>
          <w:tcPr>
            <w:tcW w:w="1340" w:type="dxa"/>
            <w:tcBorders>
              <w:left w:val="single" w:sz="4" w:space="0" w:color="auto"/>
            </w:tcBorders>
            <w:shd w:val="clear" w:color="auto" w:fill="auto"/>
            <w:tcMar>
              <w:top w:w="15" w:type="dxa"/>
              <w:left w:w="66" w:type="dxa"/>
              <w:bottom w:w="0" w:type="dxa"/>
              <w:right w:w="66" w:type="dxa"/>
            </w:tcMar>
            <w:hideMark/>
          </w:tcPr>
          <w:p w14:paraId="20A3ADF0"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0.25</w:t>
            </w:r>
          </w:p>
        </w:tc>
        <w:tc>
          <w:tcPr>
            <w:tcW w:w="320" w:type="dxa"/>
            <w:shd w:val="clear" w:color="auto" w:fill="auto"/>
            <w:tcMar>
              <w:top w:w="15" w:type="dxa"/>
              <w:left w:w="15" w:type="dxa"/>
              <w:bottom w:w="0" w:type="dxa"/>
              <w:right w:w="15" w:type="dxa"/>
            </w:tcMar>
            <w:vAlign w:val="center"/>
            <w:hideMark/>
          </w:tcPr>
          <w:p w14:paraId="42549619" w14:textId="77777777" w:rsidR="00193521" w:rsidRPr="005B33D4" w:rsidRDefault="00193521" w:rsidP="00193521">
            <w:pPr>
              <w:spacing w:after="0" w:line="240" w:lineRule="auto"/>
              <w:contextualSpacing/>
              <w:jc w:val="both"/>
              <w:rPr>
                <w:sz w:val="20"/>
                <w:szCs w:val="20"/>
                <w:lang w:val="en-GB"/>
              </w:rPr>
            </w:pPr>
            <w:r w:rsidRPr="005B33D4">
              <w:rPr>
                <w:sz w:val="20"/>
                <w:szCs w:val="20"/>
                <w:lang w:val="en-GB"/>
              </w:rPr>
              <w:t> </w:t>
            </w:r>
          </w:p>
        </w:tc>
      </w:tr>
      <w:tr w:rsidR="00193521" w:rsidRPr="005B33D4" w14:paraId="29730ADB" w14:textId="77777777" w:rsidTr="00D2399C">
        <w:trPr>
          <w:trHeight w:val="318"/>
        </w:trPr>
        <w:tc>
          <w:tcPr>
            <w:tcW w:w="3959" w:type="dxa"/>
            <w:tcBorders>
              <w:right w:val="single" w:sz="4" w:space="0" w:color="auto"/>
            </w:tcBorders>
            <w:shd w:val="clear" w:color="auto" w:fill="auto"/>
            <w:tcMar>
              <w:top w:w="15" w:type="dxa"/>
              <w:left w:w="66" w:type="dxa"/>
              <w:bottom w:w="0" w:type="dxa"/>
              <w:right w:w="66" w:type="dxa"/>
            </w:tcMar>
            <w:vAlign w:val="center"/>
            <w:hideMark/>
          </w:tcPr>
          <w:p w14:paraId="5856A8C0" w14:textId="77777777" w:rsidR="00193521" w:rsidRPr="005B33D4" w:rsidRDefault="00193521" w:rsidP="00193521">
            <w:pPr>
              <w:spacing w:after="0" w:line="240" w:lineRule="auto"/>
              <w:contextualSpacing/>
              <w:jc w:val="right"/>
              <w:rPr>
                <w:sz w:val="20"/>
                <w:szCs w:val="20"/>
                <w:lang w:val="en-GB"/>
              </w:rPr>
            </w:pPr>
            <w:r w:rsidRPr="005B33D4">
              <w:rPr>
                <w:i/>
                <w:iCs/>
                <w:sz w:val="20"/>
                <w:szCs w:val="20"/>
                <w:lang w:val="en-GB"/>
              </w:rPr>
              <w:t>4</w:t>
            </w:r>
          </w:p>
        </w:tc>
        <w:tc>
          <w:tcPr>
            <w:tcW w:w="1985" w:type="dxa"/>
            <w:tcBorders>
              <w:left w:val="single" w:sz="4" w:space="0" w:color="auto"/>
              <w:right w:val="single" w:sz="4" w:space="0" w:color="auto"/>
            </w:tcBorders>
            <w:shd w:val="clear" w:color="auto" w:fill="auto"/>
            <w:tcMar>
              <w:top w:w="15" w:type="dxa"/>
              <w:left w:w="66" w:type="dxa"/>
              <w:bottom w:w="0" w:type="dxa"/>
              <w:right w:w="66" w:type="dxa"/>
            </w:tcMar>
            <w:hideMark/>
          </w:tcPr>
          <w:p w14:paraId="0F94AC3D"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5 (50%)</w:t>
            </w:r>
          </w:p>
        </w:tc>
        <w:tc>
          <w:tcPr>
            <w:tcW w:w="1696" w:type="dxa"/>
            <w:tcBorders>
              <w:left w:val="single" w:sz="4" w:space="0" w:color="auto"/>
              <w:right w:val="single" w:sz="4" w:space="0" w:color="auto"/>
            </w:tcBorders>
            <w:shd w:val="clear" w:color="auto" w:fill="auto"/>
            <w:tcMar>
              <w:top w:w="15" w:type="dxa"/>
              <w:left w:w="66" w:type="dxa"/>
              <w:bottom w:w="0" w:type="dxa"/>
              <w:right w:w="66" w:type="dxa"/>
            </w:tcMar>
            <w:hideMark/>
          </w:tcPr>
          <w:p w14:paraId="55A05582"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5 (50%)</w:t>
            </w:r>
          </w:p>
        </w:tc>
        <w:tc>
          <w:tcPr>
            <w:tcW w:w="1340" w:type="dxa"/>
            <w:tcBorders>
              <w:left w:val="single" w:sz="4" w:space="0" w:color="auto"/>
            </w:tcBorders>
            <w:shd w:val="clear" w:color="auto" w:fill="auto"/>
            <w:tcMar>
              <w:top w:w="15" w:type="dxa"/>
              <w:left w:w="66" w:type="dxa"/>
              <w:bottom w:w="0" w:type="dxa"/>
              <w:right w:w="66" w:type="dxa"/>
            </w:tcMar>
            <w:hideMark/>
          </w:tcPr>
          <w:p w14:paraId="02FD42A8"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1</w:t>
            </w:r>
          </w:p>
        </w:tc>
        <w:tc>
          <w:tcPr>
            <w:tcW w:w="320" w:type="dxa"/>
            <w:shd w:val="clear" w:color="auto" w:fill="auto"/>
            <w:tcMar>
              <w:top w:w="15" w:type="dxa"/>
              <w:left w:w="15" w:type="dxa"/>
              <w:bottom w:w="0" w:type="dxa"/>
              <w:right w:w="15" w:type="dxa"/>
            </w:tcMar>
            <w:vAlign w:val="center"/>
            <w:hideMark/>
          </w:tcPr>
          <w:p w14:paraId="48F2E61F" w14:textId="77777777" w:rsidR="00193521" w:rsidRPr="005B33D4" w:rsidRDefault="00193521" w:rsidP="00193521">
            <w:pPr>
              <w:spacing w:after="0" w:line="240" w:lineRule="auto"/>
              <w:contextualSpacing/>
              <w:jc w:val="both"/>
              <w:rPr>
                <w:sz w:val="20"/>
                <w:szCs w:val="20"/>
                <w:lang w:val="en-GB"/>
              </w:rPr>
            </w:pPr>
            <w:r w:rsidRPr="005B33D4">
              <w:rPr>
                <w:sz w:val="20"/>
                <w:szCs w:val="20"/>
                <w:lang w:val="en-GB"/>
              </w:rPr>
              <w:t> </w:t>
            </w:r>
          </w:p>
        </w:tc>
      </w:tr>
      <w:tr w:rsidR="00193521" w:rsidRPr="005B33D4" w14:paraId="316E17DE" w14:textId="77777777" w:rsidTr="00D2399C">
        <w:trPr>
          <w:trHeight w:val="316"/>
        </w:trPr>
        <w:tc>
          <w:tcPr>
            <w:tcW w:w="9300" w:type="dxa"/>
            <w:gridSpan w:val="5"/>
            <w:shd w:val="clear" w:color="auto" w:fill="auto"/>
            <w:tcMar>
              <w:top w:w="15" w:type="dxa"/>
              <w:left w:w="66" w:type="dxa"/>
              <w:bottom w:w="0" w:type="dxa"/>
              <w:right w:w="66" w:type="dxa"/>
            </w:tcMar>
            <w:hideMark/>
          </w:tcPr>
          <w:p w14:paraId="3D744B00" w14:textId="77777777" w:rsidR="00193521" w:rsidRPr="005B33D4" w:rsidRDefault="00193521" w:rsidP="00193521">
            <w:pPr>
              <w:spacing w:after="0" w:line="240" w:lineRule="auto"/>
              <w:contextualSpacing/>
              <w:jc w:val="both"/>
              <w:rPr>
                <w:sz w:val="20"/>
                <w:szCs w:val="20"/>
                <w:lang w:val="en-GB"/>
              </w:rPr>
            </w:pPr>
            <w:r w:rsidRPr="005B33D4">
              <w:rPr>
                <w:b/>
                <w:bCs/>
                <w:i/>
                <w:iCs/>
                <w:sz w:val="20"/>
                <w:szCs w:val="20"/>
                <w:lang w:val="en-GB"/>
              </w:rPr>
              <w:t>GOLD Group, n (%)</w:t>
            </w:r>
          </w:p>
        </w:tc>
      </w:tr>
      <w:tr w:rsidR="00193521" w:rsidRPr="005B33D4" w14:paraId="6F67633B" w14:textId="77777777" w:rsidTr="00D2399C">
        <w:trPr>
          <w:trHeight w:val="318"/>
        </w:trPr>
        <w:tc>
          <w:tcPr>
            <w:tcW w:w="3959" w:type="dxa"/>
            <w:tcBorders>
              <w:right w:val="single" w:sz="4" w:space="0" w:color="auto"/>
            </w:tcBorders>
            <w:shd w:val="clear" w:color="auto" w:fill="auto"/>
            <w:tcMar>
              <w:top w:w="15" w:type="dxa"/>
              <w:left w:w="66" w:type="dxa"/>
              <w:bottom w:w="0" w:type="dxa"/>
              <w:right w:w="66" w:type="dxa"/>
            </w:tcMar>
            <w:vAlign w:val="center"/>
            <w:hideMark/>
          </w:tcPr>
          <w:p w14:paraId="67966375" w14:textId="77777777" w:rsidR="00193521" w:rsidRPr="005B33D4" w:rsidRDefault="00193521" w:rsidP="00193521">
            <w:pPr>
              <w:spacing w:after="0" w:line="240" w:lineRule="auto"/>
              <w:contextualSpacing/>
              <w:jc w:val="right"/>
              <w:rPr>
                <w:sz w:val="20"/>
                <w:szCs w:val="20"/>
                <w:lang w:val="en-GB"/>
              </w:rPr>
            </w:pPr>
            <w:r w:rsidRPr="005B33D4">
              <w:rPr>
                <w:i/>
                <w:iCs/>
                <w:sz w:val="20"/>
                <w:szCs w:val="20"/>
                <w:lang w:val="en-GB"/>
              </w:rPr>
              <w:t xml:space="preserve">             A</w:t>
            </w:r>
          </w:p>
        </w:tc>
        <w:tc>
          <w:tcPr>
            <w:tcW w:w="1985" w:type="dxa"/>
            <w:tcBorders>
              <w:left w:val="single" w:sz="4" w:space="0" w:color="auto"/>
              <w:right w:val="single" w:sz="4" w:space="0" w:color="auto"/>
            </w:tcBorders>
            <w:shd w:val="clear" w:color="auto" w:fill="auto"/>
            <w:tcMar>
              <w:top w:w="15" w:type="dxa"/>
              <w:left w:w="66" w:type="dxa"/>
              <w:bottom w:w="0" w:type="dxa"/>
              <w:right w:w="66" w:type="dxa"/>
            </w:tcMar>
            <w:hideMark/>
          </w:tcPr>
          <w:p w14:paraId="0F72681B"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5 (45%)</w:t>
            </w:r>
          </w:p>
        </w:tc>
        <w:tc>
          <w:tcPr>
            <w:tcW w:w="1696" w:type="dxa"/>
            <w:tcBorders>
              <w:left w:val="single" w:sz="4" w:space="0" w:color="auto"/>
              <w:right w:val="single" w:sz="4" w:space="0" w:color="auto"/>
            </w:tcBorders>
            <w:shd w:val="clear" w:color="auto" w:fill="auto"/>
            <w:tcMar>
              <w:top w:w="15" w:type="dxa"/>
              <w:left w:w="66" w:type="dxa"/>
              <w:bottom w:w="0" w:type="dxa"/>
              <w:right w:w="66" w:type="dxa"/>
            </w:tcMar>
            <w:hideMark/>
          </w:tcPr>
          <w:p w14:paraId="33109D2A"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6 (55%)</w:t>
            </w:r>
          </w:p>
        </w:tc>
        <w:tc>
          <w:tcPr>
            <w:tcW w:w="1340" w:type="dxa"/>
            <w:tcBorders>
              <w:left w:val="single" w:sz="4" w:space="0" w:color="auto"/>
            </w:tcBorders>
            <w:shd w:val="clear" w:color="auto" w:fill="auto"/>
            <w:tcMar>
              <w:top w:w="15" w:type="dxa"/>
              <w:left w:w="66" w:type="dxa"/>
              <w:bottom w:w="0" w:type="dxa"/>
              <w:right w:w="66" w:type="dxa"/>
            </w:tcMar>
            <w:hideMark/>
          </w:tcPr>
          <w:p w14:paraId="1F6A276E"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1</w:t>
            </w:r>
          </w:p>
        </w:tc>
        <w:tc>
          <w:tcPr>
            <w:tcW w:w="320" w:type="dxa"/>
            <w:shd w:val="clear" w:color="auto" w:fill="auto"/>
            <w:tcMar>
              <w:top w:w="15" w:type="dxa"/>
              <w:left w:w="15" w:type="dxa"/>
              <w:bottom w:w="0" w:type="dxa"/>
              <w:right w:w="15" w:type="dxa"/>
            </w:tcMar>
            <w:vAlign w:val="center"/>
            <w:hideMark/>
          </w:tcPr>
          <w:p w14:paraId="46777244" w14:textId="77777777" w:rsidR="00193521" w:rsidRPr="005B33D4" w:rsidRDefault="00193521" w:rsidP="00193521">
            <w:pPr>
              <w:spacing w:after="0" w:line="240" w:lineRule="auto"/>
              <w:contextualSpacing/>
              <w:jc w:val="both"/>
              <w:rPr>
                <w:sz w:val="20"/>
                <w:szCs w:val="20"/>
                <w:lang w:val="en-GB"/>
              </w:rPr>
            </w:pPr>
            <w:r w:rsidRPr="005B33D4">
              <w:rPr>
                <w:sz w:val="20"/>
                <w:szCs w:val="20"/>
                <w:lang w:val="en-GB"/>
              </w:rPr>
              <w:t> </w:t>
            </w:r>
          </w:p>
        </w:tc>
      </w:tr>
      <w:tr w:rsidR="00193521" w:rsidRPr="005B33D4" w14:paraId="660EDD74" w14:textId="77777777" w:rsidTr="00D2399C">
        <w:trPr>
          <w:trHeight w:val="318"/>
        </w:trPr>
        <w:tc>
          <w:tcPr>
            <w:tcW w:w="3959" w:type="dxa"/>
            <w:tcBorders>
              <w:right w:val="single" w:sz="4" w:space="0" w:color="auto"/>
            </w:tcBorders>
            <w:shd w:val="clear" w:color="auto" w:fill="auto"/>
            <w:tcMar>
              <w:top w:w="15" w:type="dxa"/>
              <w:left w:w="66" w:type="dxa"/>
              <w:bottom w:w="0" w:type="dxa"/>
              <w:right w:w="66" w:type="dxa"/>
            </w:tcMar>
            <w:vAlign w:val="center"/>
            <w:hideMark/>
          </w:tcPr>
          <w:p w14:paraId="6C56C80A" w14:textId="77777777" w:rsidR="00193521" w:rsidRPr="005B33D4" w:rsidRDefault="00193521" w:rsidP="00193521">
            <w:pPr>
              <w:spacing w:after="0" w:line="240" w:lineRule="auto"/>
              <w:contextualSpacing/>
              <w:jc w:val="right"/>
              <w:rPr>
                <w:sz w:val="20"/>
                <w:szCs w:val="20"/>
                <w:lang w:val="en-GB"/>
              </w:rPr>
            </w:pPr>
            <w:r w:rsidRPr="005B33D4">
              <w:rPr>
                <w:i/>
                <w:iCs/>
                <w:sz w:val="20"/>
                <w:szCs w:val="20"/>
                <w:lang w:val="en-GB"/>
              </w:rPr>
              <w:t xml:space="preserve">             B</w:t>
            </w:r>
          </w:p>
        </w:tc>
        <w:tc>
          <w:tcPr>
            <w:tcW w:w="1985" w:type="dxa"/>
            <w:tcBorders>
              <w:left w:val="single" w:sz="4" w:space="0" w:color="auto"/>
              <w:right w:val="single" w:sz="4" w:space="0" w:color="auto"/>
            </w:tcBorders>
            <w:shd w:val="clear" w:color="auto" w:fill="auto"/>
            <w:tcMar>
              <w:top w:w="15" w:type="dxa"/>
              <w:left w:w="66" w:type="dxa"/>
              <w:bottom w:w="0" w:type="dxa"/>
              <w:right w:w="66" w:type="dxa"/>
            </w:tcMar>
            <w:hideMark/>
          </w:tcPr>
          <w:p w14:paraId="58452057"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11 (37%)</w:t>
            </w:r>
          </w:p>
        </w:tc>
        <w:tc>
          <w:tcPr>
            <w:tcW w:w="1696" w:type="dxa"/>
            <w:tcBorders>
              <w:left w:val="single" w:sz="4" w:space="0" w:color="auto"/>
              <w:right w:val="single" w:sz="4" w:space="0" w:color="auto"/>
            </w:tcBorders>
            <w:shd w:val="clear" w:color="auto" w:fill="auto"/>
            <w:tcMar>
              <w:top w:w="15" w:type="dxa"/>
              <w:left w:w="66" w:type="dxa"/>
              <w:bottom w:w="0" w:type="dxa"/>
              <w:right w:w="66" w:type="dxa"/>
            </w:tcMar>
            <w:hideMark/>
          </w:tcPr>
          <w:p w14:paraId="6EF69B6B"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19 (63%)</w:t>
            </w:r>
          </w:p>
        </w:tc>
        <w:tc>
          <w:tcPr>
            <w:tcW w:w="1340" w:type="dxa"/>
            <w:tcBorders>
              <w:left w:val="single" w:sz="4" w:space="0" w:color="auto"/>
            </w:tcBorders>
            <w:shd w:val="clear" w:color="auto" w:fill="auto"/>
            <w:tcMar>
              <w:top w:w="15" w:type="dxa"/>
              <w:left w:w="66" w:type="dxa"/>
              <w:bottom w:w="0" w:type="dxa"/>
              <w:right w:w="66" w:type="dxa"/>
            </w:tcMar>
            <w:hideMark/>
          </w:tcPr>
          <w:p w14:paraId="05B554B5"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0.07</w:t>
            </w:r>
          </w:p>
        </w:tc>
        <w:tc>
          <w:tcPr>
            <w:tcW w:w="320" w:type="dxa"/>
            <w:shd w:val="clear" w:color="auto" w:fill="auto"/>
            <w:tcMar>
              <w:top w:w="15" w:type="dxa"/>
              <w:left w:w="15" w:type="dxa"/>
              <w:bottom w:w="0" w:type="dxa"/>
              <w:right w:w="15" w:type="dxa"/>
            </w:tcMar>
            <w:vAlign w:val="center"/>
            <w:hideMark/>
          </w:tcPr>
          <w:p w14:paraId="187F488C" w14:textId="77777777" w:rsidR="00193521" w:rsidRPr="005B33D4" w:rsidRDefault="00193521" w:rsidP="00193521">
            <w:pPr>
              <w:spacing w:after="0" w:line="240" w:lineRule="auto"/>
              <w:contextualSpacing/>
              <w:jc w:val="both"/>
              <w:rPr>
                <w:sz w:val="20"/>
                <w:szCs w:val="20"/>
                <w:lang w:val="en-GB"/>
              </w:rPr>
            </w:pPr>
            <w:r w:rsidRPr="005B33D4">
              <w:rPr>
                <w:sz w:val="20"/>
                <w:szCs w:val="20"/>
                <w:lang w:val="en-GB"/>
              </w:rPr>
              <w:t> </w:t>
            </w:r>
          </w:p>
        </w:tc>
      </w:tr>
      <w:tr w:rsidR="00193521" w:rsidRPr="005B33D4" w14:paraId="2F138F36" w14:textId="77777777" w:rsidTr="00D2399C">
        <w:trPr>
          <w:trHeight w:val="318"/>
        </w:trPr>
        <w:tc>
          <w:tcPr>
            <w:tcW w:w="3959" w:type="dxa"/>
            <w:tcBorders>
              <w:right w:val="single" w:sz="4" w:space="0" w:color="auto"/>
            </w:tcBorders>
            <w:shd w:val="clear" w:color="auto" w:fill="auto"/>
            <w:tcMar>
              <w:top w:w="15" w:type="dxa"/>
              <w:left w:w="66" w:type="dxa"/>
              <w:bottom w:w="0" w:type="dxa"/>
              <w:right w:w="66" w:type="dxa"/>
            </w:tcMar>
            <w:vAlign w:val="center"/>
            <w:hideMark/>
          </w:tcPr>
          <w:p w14:paraId="635286A0" w14:textId="77777777" w:rsidR="00193521" w:rsidRPr="005B33D4" w:rsidRDefault="00193521" w:rsidP="00193521">
            <w:pPr>
              <w:spacing w:after="0" w:line="240" w:lineRule="auto"/>
              <w:contextualSpacing/>
              <w:jc w:val="right"/>
              <w:rPr>
                <w:sz w:val="20"/>
                <w:szCs w:val="20"/>
                <w:lang w:val="en-GB"/>
              </w:rPr>
            </w:pPr>
            <w:r w:rsidRPr="005B33D4">
              <w:rPr>
                <w:i/>
                <w:iCs/>
                <w:sz w:val="20"/>
                <w:szCs w:val="20"/>
                <w:lang w:val="en-GB"/>
              </w:rPr>
              <w:t xml:space="preserve">             C</w:t>
            </w:r>
          </w:p>
        </w:tc>
        <w:tc>
          <w:tcPr>
            <w:tcW w:w="1985" w:type="dxa"/>
            <w:tcBorders>
              <w:left w:val="single" w:sz="4" w:space="0" w:color="auto"/>
              <w:right w:val="single" w:sz="4" w:space="0" w:color="auto"/>
            </w:tcBorders>
            <w:shd w:val="clear" w:color="auto" w:fill="auto"/>
            <w:tcMar>
              <w:top w:w="15" w:type="dxa"/>
              <w:left w:w="66" w:type="dxa"/>
              <w:bottom w:w="0" w:type="dxa"/>
              <w:right w:w="66" w:type="dxa"/>
            </w:tcMar>
            <w:hideMark/>
          </w:tcPr>
          <w:p w14:paraId="7003A002"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3 (60%)</w:t>
            </w:r>
          </w:p>
        </w:tc>
        <w:tc>
          <w:tcPr>
            <w:tcW w:w="1696" w:type="dxa"/>
            <w:tcBorders>
              <w:left w:val="single" w:sz="4" w:space="0" w:color="auto"/>
              <w:right w:val="single" w:sz="4" w:space="0" w:color="auto"/>
            </w:tcBorders>
            <w:shd w:val="clear" w:color="auto" w:fill="auto"/>
            <w:tcMar>
              <w:top w:w="15" w:type="dxa"/>
              <w:left w:w="66" w:type="dxa"/>
              <w:bottom w:w="0" w:type="dxa"/>
              <w:right w:w="66" w:type="dxa"/>
            </w:tcMar>
            <w:hideMark/>
          </w:tcPr>
          <w:p w14:paraId="561E5E8B"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2 (40%)</w:t>
            </w:r>
          </w:p>
        </w:tc>
        <w:tc>
          <w:tcPr>
            <w:tcW w:w="1340" w:type="dxa"/>
            <w:tcBorders>
              <w:left w:val="single" w:sz="4" w:space="0" w:color="auto"/>
            </w:tcBorders>
            <w:shd w:val="clear" w:color="auto" w:fill="auto"/>
            <w:tcMar>
              <w:top w:w="15" w:type="dxa"/>
              <w:left w:w="66" w:type="dxa"/>
              <w:bottom w:w="0" w:type="dxa"/>
              <w:right w:w="66" w:type="dxa"/>
            </w:tcMar>
            <w:hideMark/>
          </w:tcPr>
          <w:p w14:paraId="661DD109"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0.93</w:t>
            </w:r>
          </w:p>
        </w:tc>
        <w:tc>
          <w:tcPr>
            <w:tcW w:w="320" w:type="dxa"/>
            <w:shd w:val="clear" w:color="auto" w:fill="auto"/>
            <w:tcMar>
              <w:top w:w="15" w:type="dxa"/>
              <w:left w:w="15" w:type="dxa"/>
              <w:bottom w:w="0" w:type="dxa"/>
              <w:right w:w="15" w:type="dxa"/>
            </w:tcMar>
            <w:vAlign w:val="center"/>
            <w:hideMark/>
          </w:tcPr>
          <w:p w14:paraId="20E93E9B" w14:textId="77777777" w:rsidR="00193521" w:rsidRPr="005B33D4" w:rsidRDefault="00193521" w:rsidP="00193521">
            <w:pPr>
              <w:spacing w:after="0" w:line="240" w:lineRule="auto"/>
              <w:contextualSpacing/>
              <w:jc w:val="both"/>
              <w:rPr>
                <w:sz w:val="20"/>
                <w:szCs w:val="20"/>
                <w:lang w:val="en-GB"/>
              </w:rPr>
            </w:pPr>
            <w:r w:rsidRPr="005B33D4">
              <w:rPr>
                <w:sz w:val="20"/>
                <w:szCs w:val="20"/>
                <w:lang w:val="en-GB"/>
              </w:rPr>
              <w:t> </w:t>
            </w:r>
          </w:p>
        </w:tc>
      </w:tr>
      <w:tr w:rsidR="00193521" w:rsidRPr="005B33D4" w14:paraId="5DE45F67" w14:textId="77777777" w:rsidTr="00D2399C">
        <w:trPr>
          <w:trHeight w:val="318"/>
        </w:trPr>
        <w:tc>
          <w:tcPr>
            <w:tcW w:w="3959" w:type="dxa"/>
            <w:tcBorders>
              <w:right w:val="single" w:sz="4" w:space="0" w:color="auto"/>
            </w:tcBorders>
            <w:shd w:val="clear" w:color="auto" w:fill="auto"/>
            <w:tcMar>
              <w:top w:w="15" w:type="dxa"/>
              <w:left w:w="66" w:type="dxa"/>
              <w:bottom w:w="0" w:type="dxa"/>
              <w:right w:w="66" w:type="dxa"/>
            </w:tcMar>
            <w:vAlign w:val="center"/>
            <w:hideMark/>
          </w:tcPr>
          <w:p w14:paraId="1C69C85C" w14:textId="77777777" w:rsidR="00193521" w:rsidRPr="005B33D4" w:rsidRDefault="00193521" w:rsidP="00193521">
            <w:pPr>
              <w:spacing w:after="0" w:line="240" w:lineRule="auto"/>
              <w:contextualSpacing/>
              <w:jc w:val="right"/>
              <w:rPr>
                <w:sz w:val="20"/>
                <w:szCs w:val="20"/>
                <w:lang w:val="en-GB"/>
              </w:rPr>
            </w:pPr>
            <w:r w:rsidRPr="005B33D4">
              <w:rPr>
                <w:i/>
                <w:iCs/>
                <w:sz w:val="20"/>
                <w:szCs w:val="20"/>
                <w:lang w:val="en-GB"/>
              </w:rPr>
              <w:t xml:space="preserve">             D</w:t>
            </w:r>
          </w:p>
        </w:tc>
        <w:tc>
          <w:tcPr>
            <w:tcW w:w="1985" w:type="dxa"/>
            <w:tcBorders>
              <w:left w:val="single" w:sz="4" w:space="0" w:color="auto"/>
              <w:right w:val="single" w:sz="4" w:space="0" w:color="auto"/>
            </w:tcBorders>
            <w:shd w:val="clear" w:color="auto" w:fill="auto"/>
            <w:tcMar>
              <w:top w:w="15" w:type="dxa"/>
              <w:left w:w="66" w:type="dxa"/>
              <w:bottom w:w="0" w:type="dxa"/>
              <w:right w:w="66" w:type="dxa"/>
            </w:tcMar>
            <w:hideMark/>
          </w:tcPr>
          <w:p w14:paraId="21383EAD"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10 (71%)</w:t>
            </w:r>
          </w:p>
        </w:tc>
        <w:tc>
          <w:tcPr>
            <w:tcW w:w="1696" w:type="dxa"/>
            <w:tcBorders>
              <w:left w:val="single" w:sz="4" w:space="0" w:color="auto"/>
              <w:right w:val="single" w:sz="4" w:space="0" w:color="auto"/>
            </w:tcBorders>
            <w:shd w:val="clear" w:color="auto" w:fill="auto"/>
            <w:tcMar>
              <w:top w:w="15" w:type="dxa"/>
              <w:left w:w="66" w:type="dxa"/>
              <w:bottom w:w="0" w:type="dxa"/>
              <w:right w:w="66" w:type="dxa"/>
            </w:tcMar>
            <w:hideMark/>
          </w:tcPr>
          <w:p w14:paraId="05C930BE"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4 (29%)</w:t>
            </w:r>
          </w:p>
        </w:tc>
        <w:tc>
          <w:tcPr>
            <w:tcW w:w="1340" w:type="dxa"/>
            <w:tcBorders>
              <w:left w:val="single" w:sz="4" w:space="0" w:color="auto"/>
            </w:tcBorders>
            <w:shd w:val="clear" w:color="auto" w:fill="auto"/>
            <w:tcMar>
              <w:top w:w="15" w:type="dxa"/>
              <w:left w:w="66" w:type="dxa"/>
              <w:bottom w:w="0" w:type="dxa"/>
              <w:right w:w="66" w:type="dxa"/>
            </w:tcMar>
            <w:hideMark/>
          </w:tcPr>
          <w:p w14:paraId="125F9DDA" w14:textId="77777777" w:rsidR="00193521" w:rsidRPr="005B33D4" w:rsidRDefault="00193521" w:rsidP="00193521">
            <w:pPr>
              <w:spacing w:after="0" w:line="240" w:lineRule="auto"/>
              <w:contextualSpacing/>
              <w:jc w:val="center"/>
              <w:rPr>
                <w:sz w:val="20"/>
                <w:szCs w:val="20"/>
                <w:lang w:val="en-GB"/>
              </w:rPr>
            </w:pPr>
            <w:r w:rsidRPr="005B33D4">
              <w:rPr>
                <w:b/>
                <w:bCs/>
                <w:sz w:val="20"/>
                <w:szCs w:val="20"/>
                <w:lang w:val="en-GB"/>
              </w:rPr>
              <w:t>0.048</w:t>
            </w:r>
          </w:p>
        </w:tc>
        <w:tc>
          <w:tcPr>
            <w:tcW w:w="320" w:type="dxa"/>
            <w:shd w:val="clear" w:color="auto" w:fill="auto"/>
            <w:tcMar>
              <w:top w:w="15" w:type="dxa"/>
              <w:left w:w="15" w:type="dxa"/>
              <w:bottom w:w="0" w:type="dxa"/>
              <w:right w:w="15" w:type="dxa"/>
            </w:tcMar>
            <w:vAlign w:val="center"/>
            <w:hideMark/>
          </w:tcPr>
          <w:p w14:paraId="793769D7" w14:textId="77777777" w:rsidR="00193521" w:rsidRPr="005B33D4" w:rsidRDefault="00193521" w:rsidP="00193521">
            <w:pPr>
              <w:spacing w:after="0" w:line="240" w:lineRule="auto"/>
              <w:contextualSpacing/>
              <w:jc w:val="both"/>
              <w:rPr>
                <w:sz w:val="20"/>
                <w:szCs w:val="20"/>
                <w:lang w:val="en-GB"/>
              </w:rPr>
            </w:pPr>
            <w:r w:rsidRPr="005B33D4">
              <w:rPr>
                <w:sz w:val="20"/>
                <w:szCs w:val="20"/>
                <w:lang w:val="en-GB"/>
              </w:rPr>
              <w:t> </w:t>
            </w:r>
          </w:p>
        </w:tc>
      </w:tr>
      <w:tr w:rsidR="00193521" w:rsidRPr="005B33D4" w14:paraId="0FA69C32" w14:textId="77777777" w:rsidTr="00D2399C">
        <w:trPr>
          <w:trHeight w:val="318"/>
        </w:trPr>
        <w:tc>
          <w:tcPr>
            <w:tcW w:w="3959" w:type="dxa"/>
            <w:tcBorders>
              <w:right w:val="single" w:sz="4" w:space="0" w:color="auto"/>
            </w:tcBorders>
            <w:shd w:val="clear" w:color="auto" w:fill="auto"/>
            <w:tcMar>
              <w:top w:w="15" w:type="dxa"/>
              <w:left w:w="66" w:type="dxa"/>
              <w:bottom w:w="0" w:type="dxa"/>
              <w:right w:w="66" w:type="dxa"/>
            </w:tcMar>
            <w:vAlign w:val="center"/>
            <w:hideMark/>
          </w:tcPr>
          <w:p w14:paraId="1D2CEDD4" w14:textId="77777777" w:rsidR="00193521" w:rsidRPr="005B33D4" w:rsidRDefault="00193521" w:rsidP="00193521">
            <w:pPr>
              <w:spacing w:after="0" w:line="240" w:lineRule="auto"/>
              <w:contextualSpacing/>
              <w:jc w:val="both"/>
              <w:rPr>
                <w:sz w:val="20"/>
                <w:szCs w:val="20"/>
                <w:lang w:val="en-GB"/>
              </w:rPr>
            </w:pPr>
            <w:r w:rsidRPr="005B33D4">
              <w:rPr>
                <w:b/>
                <w:bCs/>
                <w:i/>
                <w:iCs/>
                <w:sz w:val="20"/>
                <w:szCs w:val="20"/>
                <w:lang w:val="en-GB"/>
              </w:rPr>
              <w:t>Long-term oxygen dependence, n (%)</w:t>
            </w:r>
          </w:p>
        </w:tc>
        <w:tc>
          <w:tcPr>
            <w:tcW w:w="1985" w:type="dxa"/>
            <w:tcBorders>
              <w:left w:val="single" w:sz="4" w:space="0" w:color="auto"/>
              <w:right w:val="single" w:sz="4" w:space="0" w:color="auto"/>
            </w:tcBorders>
            <w:shd w:val="clear" w:color="auto" w:fill="auto"/>
            <w:tcMar>
              <w:top w:w="15" w:type="dxa"/>
              <w:left w:w="66" w:type="dxa"/>
              <w:bottom w:w="0" w:type="dxa"/>
              <w:right w:w="66" w:type="dxa"/>
            </w:tcMar>
            <w:hideMark/>
          </w:tcPr>
          <w:p w14:paraId="5FAC97B5"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6 (67%)</w:t>
            </w:r>
          </w:p>
        </w:tc>
        <w:tc>
          <w:tcPr>
            <w:tcW w:w="1696" w:type="dxa"/>
            <w:tcBorders>
              <w:left w:val="single" w:sz="4" w:space="0" w:color="auto"/>
              <w:right w:val="single" w:sz="4" w:space="0" w:color="auto"/>
            </w:tcBorders>
            <w:shd w:val="clear" w:color="auto" w:fill="auto"/>
            <w:tcMar>
              <w:top w:w="15" w:type="dxa"/>
              <w:left w:w="66" w:type="dxa"/>
              <w:bottom w:w="0" w:type="dxa"/>
              <w:right w:w="66" w:type="dxa"/>
            </w:tcMar>
            <w:hideMark/>
          </w:tcPr>
          <w:p w14:paraId="7B44F5B5"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3 (33%)</w:t>
            </w:r>
          </w:p>
        </w:tc>
        <w:tc>
          <w:tcPr>
            <w:tcW w:w="1340" w:type="dxa"/>
            <w:tcBorders>
              <w:left w:val="single" w:sz="4" w:space="0" w:color="auto"/>
            </w:tcBorders>
            <w:shd w:val="clear" w:color="auto" w:fill="auto"/>
            <w:tcMar>
              <w:top w:w="15" w:type="dxa"/>
              <w:left w:w="66" w:type="dxa"/>
              <w:bottom w:w="0" w:type="dxa"/>
              <w:right w:w="66" w:type="dxa"/>
            </w:tcMar>
            <w:hideMark/>
          </w:tcPr>
          <w:p w14:paraId="1F9323BB"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0.4</w:t>
            </w:r>
          </w:p>
        </w:tc>
        <w:tc>
          <w:tcPr>
            <w:tcW w:w="320" w:type="dxa"/>
            <w:shd w:val="clear" w:color="auto" w:fill="auto"/>
            <w:tcMar>
              <w:top w:w="15" w:type="dxa"/>
              <w:left w:w="15" w:type="dxa"/>
              <w:bottom w:w="0" w:type="dxa"/>
              <w:right w:w="15" w:type="dxa"/>
            </w:tcMar>
            <w:vAlign w:val="center"/>
            <w:hideMark/>
          </w:tcPr>
          <w:p w14:paraId="6ACE83E3" w14:textId="77777777" w:rsidR="00193521" w:rsidRPr="005B33D4" w:rsidRDefault="00193521" w:rsidP="00193521">
            <w:pPr>
              <w:spacing w:after="0" w:line="240" w:lineRule="auto"/>
              <w:contextualSpacing/>
              <w:jc w:val="both"/>
              <w:rPr>
                <w:sz w:val="20"/>
                <w:szCs w:val="20"/>
                <w:lang w:val="en-GB"/>
              </w:rPr>
            </w:pPr>
            <w:r w:rsidRPr="005B33D4">
              <w:rPr>
                <w:sz w:val="20"/>
                <w:szCs w:val="20"/>
                <w:lang w:val="en-GB"/>
              </w:rPr>
              <w:t> </w:t>
            </w:r>
          </w:p>
        </w:tc>
      </w:tr>
      <w:tr w:rsidR="00193521" w:rsidRPr="005B33D4" w14:paraId="23C7F2EA" w14:textId="77777777" w:rsidTr="00D2399C">
        <w:trPr>
          <w:trHeight w:val="318"/>
        </w:trPr>
        <w:tc>
          <w:tcPr>
            <w:tcW w:w="3959" w:type="dxa"/>
            <w:tcBorders>
              <w:right w:val="single" w:sz="4" w:space="0" w:color="auto"/>
            </w:tcBorders>
            <w:shd w:val="clear" w:color="auto" w:fill="auto"/>
            <w:tcMar>
              <w:top w:w="15" w:type="dxa"/>
              <w:left w:w="66" w:type="dxa"/>
              <w:bottom w:w="0" w:type="dxa"/>
              <w:right w:w="66" w:type="dxa"/>
            </w:tcMar>
            <w:vAlign w:val="center"/>
            <w:hideMark/>
          </w:tcPr>
          <w:p w14:paraId="05C2E00B" w14:textId="77777777" w:rsidR="00193521" w:rsidRPr="005B33D4" w:rsidRDefault="00193521" w:rsidP="00193521">
            <w:pPr>
              <w:spacing w:after="0" w:line="240" w:lineRule="auto"/>
              <w:contextualSpacing/>
              <w:jc w:val="both"/>
              <w:rPr>
                <w:sz w:val="20"/>
                <w:szCs w:val="20"/>
                <w:lang w:val="en-GB"/>
              </w:rPr>
            </w:pPr>
            <w:r w:rsidRPr="005B33D4">
              <w:rPr>
                <w:b/>
                <w:bCs/>
                <w:i/>
                <w:iCs/>
                <w:sz w:val="20"/>
                <w:szCs w:val="20"/>
                <w:lang w:val="en-GB"/>
              </w:rPr>
              <w:t xml:space="preserve">CAT scores, mean±SD </w:t>
            </w:r>
          </w:p>
        </w:tc>
        <w:tc>
          <w:tcPr>
            <w:tcW w:w="1985" w:type="dxa"/>
            <w:tcBorders>
              <w:left w:val="single" w:sz="4" w:space="0" w:color="auto"/>
              <w:right w:val="single" w:sz="4" w:space="0" w:color="auto"/>
            </w:tcBorders>
            <w:shd w:val="clear" w:color="auto" w:fill="auto"/>
            <w:tcMar>
              <w:top w:w="15" w:type="dxa"/>
              <w:left w:w="66" w:type="dxa"/>
              <w:bottom w:w="0" w:type="dxa"/>
              <w:right w:w="66" w:type="dxa"/>
            </w:tcMar>
            <w:hideMark/>
          </w:tcPr>
          <w:p w14:paraId="2019AA1D"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15.0±8.9</w:t>
            </w:r>
          </w:p>
        </w:tc>
        <w:tc>
          <w:tcPr>
            <w:tcW w:w="1696" w:type="dxa"/>
            <w:tcBorders>
              <w:left w:val="single" w:sz="4" w:space="0" w:color="auto"/>
              <w:right w:val="single" w:sz="4" w:space="0" w:color="auto"/>
            </w:tcBorders>
            <w:shd w:val="clear" w:color="auto" w:fill="auto"/>
            <w:tcMar>
              <w:top w:w="15" w:type="dxa"/>
              <w:left w:w="66" w:type="dxa"/>
              <w:bottom w:w="0" w:type="dxa"/>
              <w:right w:w="66" w:type="dxa"/>
            </w:tcMar>
            <w:hideMark/>
          </w:tcPr>
          <w:p w14:paraId="139FE325"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17.7±9.1</w:t>
            </w:r>
          </w:p>
        </w:tc>
        <w:tc>
          <w:tcPr>
            <w:tcW w:w="1340" w:type="dxa"/>
            <w:tcBorders>
              <w:left w:val="single" w:sz="4" w:space="0" w:color="auto"/>
            </w:tcBorders>
            <w:shd w:val="clear" w:color="auto" w:fill="auto"/>
            <w:tcMar>
              <w:top w:w="15" w:type="dxa"/>
              <w:left w:w="66" w:type="dxa"/>
              <w:bottom w:w="0" w:type="dxa"/>
              <w:right w:w="66" w:type="dxa"/>
            </w:tcMar>
            <w:hideMark/>
          </w:tcPr>
          <w:p w14:paraId="77D9B64A"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0.26</w:t>
            </w:r>
          </w:p>
        </w:tc>
        <w:tc>
          <w:tcPr>
            <w:tcW w:w="320" w:type="dxa"/>
            <w:shd w:val="clear" w:color="auto" w:fill="auto"/>
            <w:tcMar>
              <w:top w:w="15" w:type="dxa"/>
              <w:left w:w="15" w:type="dxa"/>
              <w:bottom w:w="0" w:type="dxa"/>
              <w:right w:w="15" w:type="dxa"/>
            </w:tcMar>
            <w:vAlign w:val="center"/>
            <w:hideMark/>
          </w:tcPr>
          <w:p w14:paraId="76332965" w14:textId="77777777" w:rsidR="00193521" w:rsidRPr="005B33D4" w:rsidRDefault="00193521" w:rsidP="00193521">
            <w:pPr>
              <w:spacing w:after="0" w:line="240" w:lineRule="auto"/>
              <w:contextualSpacing/>
              <w:jc w:val="both"/>
              <w:rPr>
                <w:sz w:val="20"/>
                <w:szCs w:val="20"/>
                <w:lang w:val="en-GB"/>
              </w:rPr>
            </w:pPr>
          </w:p>
        </w:tc>
      </w:tr>
      <w:tr w:rsidR="00193521" w:rsidRPr="005B33D4" w14:paraId="7072F557" w14:textId="77777777" w:rsidTr="00D2399C">
        <w:trPr>
          <w:trHeight w:val="318"/>
        </w:trPr>
        <w:tc>
          <w:tcPr>
            <w:tcW w:w="3959" w:type="dxa"/>
            <w:tcBorders>
              <w:right w:val="single" w:sz="4" w:space="0" w:color="auto"/>
            </w:tcBorders>
            <w:shd w:val="clear" w:color="auto" w:fill="auto"/>
            <w:tcMar>
              <w:top w:w="15" w:type="dxa"/>
              <w:left w:w="66" w:type="dxa"/>
              <w:bottom w:w="0" w:type="dxa"/>
              <w:right w:w="66" w:type="dxa"/>
            </w:tcMar>
            <w:vAlign w:val="center"/>
            <w:hideMark/>
          </w:tcPr>
          <w:p w14:paraId="48BED226" w14:textId="77777777" w:rsidR="00193521" w:rsidRPr="005B33D4" w:rsidRDefault="00193521" w:rsidP="00193521">
            <w:pPr>
              <w:spacing w:after="0" w:line="240" w:lineRule="auto"/>
              <w:contextualSpacing/>
              <w:jc w:val="both"/>
              <w:rPr>
                <w:sz w:val="20"/>
                <w:szCs w:val="20"/>
                <w:lang w:val="en-GB"/>
              </w:rPr>
            </w:pPr>
            <w:r w:rsidRPr="005B33D4">
              <w:rPr>
                <w:b/>
                <w:bCs/>
                <w:i/>
                <w:iCs/>
                <w:sz w:val="20"/>
                <w:szCs w:val="20"/>
                <w:lang w:val="en-GB"/>
              </w:rPr>
              <w:t>SpO</w:t>
            </w:r>
            <w:r w:rsidRPr="005B33D4">
              <w:rPr>
                <w:b/>
                <w:bCs/>
                <w:i/>
                <w:iCs/>
                <w:sz w:val="20"/>
                <w:szCs w:val="20"/>
                <w:vertAlign w:val="subscript"/>
                <w:lang w:val="en-GB"/>
              </w:rPr>
              <w:t>2</w:t>
            </w:r>
            <w:r w:rsidRPr="005B33D4">
              <w:rPr>
                <w:b/>
                <w:bCs/>
                <w:i/>
                <w:iCs/>
                <w:sz w:val="20"/>
                <w:szCs w:val="20"/>
                <w:lang w:val="en-GB"/>
              </w:rPr>
              <w:t>, mean±SD (%)</w:t>
            </w:r>
          </w:p>
        </w:tc>
        <w:tc>
          <w:tcPr>
            <w:tcW w:w="1985" w:type="dxa"/>
            <w:tcBorders>
              <w:left w:val="single" w:sz="4" w:space="0" w:color="auto"/>
              <w:right w:val="single" w:sz="4" w:space="0" w:color="auto"/>
            </w:tcBorders>
            <w:shd w:val="clear" w:color="auto" w:fill="auto"/>
            <w:tcMar>
              <w:top w:w="15" w:type="dxa"/>
              <w:left w:w="66" w:type="dxa"/>
              <w:bottom w:w="0" w:type="dxa"/>
              <w:right w:w="66" w:type="dxa"/>
            </w:tcMar>
            <w:hideMark/>
          </w:tcPr>
          <w:p w14:paraId="5B90DF29"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94.5±2.2</w:t>
            </w:r>
          </w:p>
        </w:tc>
        <w:tc>
          <w:tcPr>
            <w:tcW w:w="1696" w:type="dxa"/>
            <w:tcBorders>
              <w:left w:val="single" w:sz="4" w:space="0" w:color="auto"/>
              <w:right w:val="single" w:sz="4" w:space="0" w:color="auto"/>
            </w:tcBorders>
            <w:shd w:val="clear" w:color="auto" w:fill="auto"/>
            <w:tcMar>
              <w:top w:w="15" w:type="dxa"/>
              <w:left w:w="66" w:type="dxa"/>
              <w:bottom w:w="0" w:type="dxa"/>
              <w:right w:w="66" w:type="dxa"/>
            </w:tcMar>
            <w:hideMark/>
          </w:tcPr>
          <w:p w14:paraId="5FCDFC30"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94.5±2.5</w:t>
            </w:r>
          </w:p>
        </w:tc>
        <w:tc>
          <w:tcPr>
            <w:tcW w:w="1340" w:type="dxa"/>
            <w:tcBorders>
              <w:left w:val="single" w:sz="4" w:space="0" w:color="auto"/>
            </w:tcBorders>
            <w:shd w:val="clear" w:color="auto" w:fill="auto"/>
            <w:tcMar>
              <w:top w:w="15" w:type="dxa"/>
              <w:left w:w="66" w:type="dxa"/>
              <w:bottom w:w="0" w:type="dxa"/>
              <w:right w:w="66" w:type="dxa"/>
            </w:tcMar>
            <w:hideMark/>
          </w:tcPr>
          <w:p w14:paraId="7C50A489"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0.95</w:t>
            </w:r>
          </w:p>
        </w:tc>
        <w:tc>
          <w:tcPr>
            <w:tcW w:w="320" w:type="dxa"/>
            <w:shd w:val="clear" w:color="auto" w:fill="auto"/>
            <w:tcMar>
              <w:top w:w="15" w:type="dxa"/>
              <w:left w:w="15" w:type="dxa"/>
              <w:bottom w:w="0" w:type="dxa"/>
              <w:right w:w="15" w:type="dxa"/>
            </w:tcMar>
            <w:vAlign w:val="center"/>
            <w:hideMark/>
          </w:tcPr>
          <w:p w14:paraId="3CC51993" w14:textId="77777777" w:rsidR="00193521" w:rsidRPr="005B33D4" w:rsidRDefault="00193521" w:rsidP="00193521">
            <w:pPr>
              <w:spacing w:after="0" w:line="240" w:lineRule="auto"/>
              <w:contextualSpacing/>
              <w:jc w:val="both"/>
              <w:rPr>
                <w:sz w:val="20"/>
                <w:szCs w:val="20"/>
                <w:lang w:val="en-GB"/>
              </w:rPr>
            </w:pPr>
            <w:r w:rsidRPr="005B33D4">
              <w:rPr>
                <w:sz w:val="20"/>
                <w:szCs w:val="20"/>
                <w:lang w:val="en-GB"/>
              </w:rPr>
              <w:t> </w:t>
            </w:r>
          </w:p>
        </w:tc>
      </w:tr>
      <w:tr w:rsidR="00193521" w:rsidRPr="005B33D4" w14:paraId="2D9E2130" w14:textId="77777777" w:rsidTr="00D2399C">
        <w:trPr>
          <w:trHeight w:val="318"/>
        </w:trPr>
        <w:tc>
          <w:tcPr>
            <w:tcW w:w="3959" w:type="dxa"/>
            <w:tcBorders>
              <w:right w:val="single" w:sz="4" w:space="0" w:color="auto"/>
            </w:tcBorders>
            <w:shd w:val="clear" w:color="auto" w:fill="auto"/>
            <w:tcMar>
              <w:top w:w="15" w:type="dxa"/>
              <w:left w:w="66" w:type="dxa"/>
              <w:bottom w:w="0" w:type="dxa"/>
              <w:right w:w="66" w:type="dxa"/>
            </w:tcMar>
            <w:vAlign w:val="center"/>
            <w:hideMark/>
          </w:tcPr>
          <w:p w14:paraId="053AFBC0" w14:textId="77777777" w:rsidR="00193521" w:rsidRPr="005B33D4" w:rsidRDefault="00193521" w:rsidP="00193521">
            <w:pPr>
              <w:spacing w:after="0" w:line="240" w:lineRule="auto"/>
              <w:contextualSpacing/>
              <w:jc w:val="both"/>
              <w:rPr>
                <w:sz w:val="20"/>
                <w:szCs w:val="20"/>
                <w:lang w:val="en-GB"/>
              </w:rPr>
            </w:pPr>
            <w:r w:rsidRPr="005B33D4">
              <w:rPr>
                <w:b/>
                <w:bCs/>
                <w:i/>
                <w:iCs/>
                <w:sz w:val="20"/>
                <w:szCs w:val="20"/>
                <w:lang w:val="en-GB"/>
              </w:rPr>
              <w:t>FEV</w:t>
            </w:r>
            <w:r w:rsidRPr="005B33D4">
              <w:rPr>
                <w:b/>
                <w:bCs/>
                <w:i/>
                <w:iCs/>
                <w:sz w:val="20"/>
                <w:szCs w:val="20"/>
                <w:vertAlign w:val="subscript"/>
                <w:lang w:val="en-GB"/>
              </w:rPr>
              <w:t>1</w:t>
            </w:r>
            <w:r w:rsidRPr="005B33D4">
              <w:rPr>
                <w:b/>
                <w:bCs/>
                <w:i/>
                <w:iCs/>
                <w:sz w:val="20"/>
                <w:szCs w:val="20"/>
                <w:lang w:val="en-GB"/>
              </w:rPr>
              <w:t>pp, mean±SD</w:t>
            </w:r>
          </w:p>
        </w:tc>
        <w:tc>
          <w:tcPr>
            <w:tcW w:w="1985" w:type="dxa"/>
            <w:tcBorders>
              <w:left w:val="single" w:sz="4" w:space="0" w:color="auto"/>
              <w:right w:val="single" w:sz="4" w:space="0" w:color="auto"/>
            </w:tcBorders>
            <w:shd w:val="clear" w:color="auto" w:fill="auto"/>
            <w:tcMar>
              <w:top w:w="15" w:type="dxa"/>
              <w:left w:w="66" w:type="dxa"/>
              <w:bottom w:w="0" w:type="dxa"/>
              <w:right w:w="66" w:type="dxa"/>
            </w:tcMar>
            <w:hideMark/>
          </w:tcPr>
          <w:p w14:paraId="42D8B304"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51.0±21.0</w:t>
            </w:r>
          </w:p>
        </w:tc>
        <w:tc>
          <w:tcPr>
            <w:tcW w:w="1696" w:type="dxa"/>
            <w:tcBorders>
              <w:left w:val="single" w:sz="4" w:space="0" w:color="auto"/>
              <w:right w:val="single" w:sz="4" w:space="0" w:color="auto"/>
            </w:tcBorders>
            <w:shd w:val="clear" w:color="auto" w:fill="auto"/>
            <w:tcMar>
              <w:top w:w="15" w:type="dxa"/>
              <w:left w:w="66" w:type="dxa"/>
              <w:bottom w:w="0" w:type="dxa"/>
              <w:right w:w="66" w:type="dxa"/>
            </w:tcMar>
            <w:hideMark/>
          </w:tcPr>
          <w:p w14:paraId="0E58781F"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45.0±17.0</w:t>
            </w:r>
          </w:p>
        </w:tc>
        <w:tc>
          <w:tcPr>
            <w:tcW w:w="1340" w:type="dxa"/>
            <w:tcBorders>
              <w:left w:val="single" w:sz="4" w:space="0" w:color="auto"/>
            </w:tcBorders>
            <w:shd w:val="clear" w:color="auto" w:fill="auto"/>
            <w:tcMar>
              <w:top w:w="15" w:type="dxa"/>
              <w:left w:w="66" w:type="dxa"/>
              <w:bottom w:w="0" w:type="dxa"/>
              <w:right w:w="66" w:type="dxa"/>
            </w:tcMar>
            <w:hideMark/>
          </w:tcPr>
          <w:p w14:paraId="730504AA"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0.31</w:t>
            </w:r>
          </w:p>
        </w:tc>
        <w:tc>
          <w:tcPr>
            <w:tcW w:w="320" w:type="dxa"/>
            <w:shd w:val="clear" w:color="auto" w:fill="auto"/>
            <w:tcMar>
              <w:top w:w="15" w:type="dxa"/>
              <w:left w:w="15" w:type="dxa"/>
              <w:bottom w:w="0" w:type="dxa"/>
              <w:right w:w="15" w:type="dxa"/>
            </w:tcMar>
            <w:vAlign w:val="center"/>
            <w:hideMark/>
          </w:tcPr>
          <w:p w14:paraId="2290F1EF" w14:textId="77777777" w:rsidR="00193521" w:rsidRPr="005B33D4" w:rsidRDefault="00193521" w:rsidP="00193521">
            <w:pPr>
              <w:spacing w:after="0" w:line="240" w:lineRule="auto"/>
              <w:contextualSpacing/>
              <w:jc w:val="both"/>
              <w:rPr>
                <w:sz w:val="20"/>
                <w:szCs w:val="20"/>
                <w:lang w:val="en-GB"/>
              </w:rPr>
            </w:pPr>
            <w:r w:rsidRPr="005B33D4">
              <w:rPr>
                <w:sz w:val="20"/>
                <w:szCs w:val="20"/>
                <w:lang w:val="en-GB"/>
              </w:rPr>
              <w:t> </w:t>
            </w:r>
          </w:p>
        </w:tc>
      </w:tr>
      <w:tr w:rsidR="00193521" w:rsidRPr="00433EEC" w14:paraId="1578AC28" w14:textId="77777777" w:rsidTr="00D2399C">
        <w:trPr>
          <w:trHeight w:val="316"/>
        </w:trPr>
        <w:tc>
          <w:tcPr>
            <w:tcW w:w="9300" w:type="dxa"/>
            <w:gridSpan w:val="5"/>
            <w:shd w:val="clear" w:color="auto" w:fill="auto"/>
            <w:tcMar>
              <w:top w:w="15" w:type="dxa"/>
              <w:left w:w="66" w:type="dxa"/>
              <w:bottom w:w="0" w:type="dxa"/>
              <w:right w:w="66" w:type="dxa"/>
            </w:tcMar>
            <w:hideMark/>
          </w:tcPr>
          <w:p w14:paraId="266BED3B" w14:textId="77777777" w:rsidR="00193521" w:rsidRPr="005B33D4" w:rsidRDefault="00193521" w:rsidP="00193521">
            <w:pPr>
              <w:spacing w:after="0" w:line="240" w:lineRule="auto"/>
              <w:contextualSpacing/>
              <w:jc w:val="both"/>
              <w:rPr>
                <w:sz w:val="20"/>
                <w:szCs w:val="20"/>
                <w:lang w:val="en-GB"/>
              </w:rPr>
            </w:pPr>
            <w:r w:rsidRPr="005B33D4">
              <w:rPr>
                <w:b/>
                <w:bCs/>
                <w:i/>
                <w:iCs/>
                <w:sz w:val="20"/>
                <w:szCs w:val="20"/>
                <w:lang w:val="en-GB"/>
              </w:rPr>
              <w:t>Number of exacerbations in the year before enrolment, n (%)</w:t>
            </w:r>
          </w:p>
        </w:tc>
      </w:tr>
      <w:tr w:rsidR="00193521" w:rsidRPr="005B33D4" w14:paraId="5D4F9EA4" w14:textId="77777777" w:rsidTr="00D2399C">
        <w:trPr>
          <w:trHeight w:val="318"/>
        </w:trPr>
        <w:tc>
          <w:tcPr>
            <w:tcW w:w="3959" w:type="dxa"/>
            <w:tcBorders>
              <w:right w:val="single" w:sz="4" w:space="0" w:color="auto"/>
            </w:tcBorders>
            <w:shd w:val="clear" w:color="auto" w:fill="auto"/>
            <w:tcMar>
              <w:top w:w="15" w:type="dxa"/>
              <w:left w:w="66" w:type="dxa"/>
              <w:bottom w:w="0" w:type="dxa"/>
              <w:right w:w="66" w:type="dxa"/>
            </w:tcMar>
            <w:vAlign w:val="center"/>
            <w:hideMark/>
          </w:tcPr>
          <w:p w14:paraId="51712517" w14:textId="77777777" w:rsidR="00193521" w:rsidRPr="005B33D4" w:rsidRDefault="00193521" w:rsidP="00193521">
            <w:pPr>
              <w:spacing w:after="0" w:line="240" w:lineRule="auto"/>
              <w:contextualSpacing/>
              <w:jc w:val="both"/>
              <w:rPr>
                <w:sz w:val="20"/>
                <w:szCs w:val="20"/>
                <w:lang w:val="en-GB"/>
              </w:rPr>
            </w:pPr>
            <w:r w:rsidRPr="005B33D4">
              <w:rPr>
                <w:i/>
                <w:iCs/>
                <w:sz w:val="20"/>
                <w:szCs w:val="20"/>
                <w:lang w:val="en-GB"/>
              </w:rPr>
              <w:lastRenderedPageBreak/>
              <w:t xml:space="preserve">             0-1</w:t>
            </w:r>
          </w:p>
        </w:tc>
        <w:tc>
          <w:tcPr>
            <w:tcW w:w="1985" w:type="dxa"/>
            <w:tcBorders>
              <w:left w:val="single" w:sz="4" w:space="0" w:color="auto"/>
              <w:right w:val="single" w:sz="4" w:space="0" w:color="auto"/>
            </w:tcBorders>
            <w:shd w:val="clear" w:color="auto" w:fill="auto"/>
            <w:tcMar>
              <w:top w:w="15" w:type="dxa"/>
              <w:left w:w="66" w:type="dxa"/>
              <w:bottom w:w="0" w:type="dxa"/>
              <w:right w:w="66" w:type="dxa"/>
            </w:tcMar>
            <w:hideMark/>
          </w:tcPr>
          <w:p w14:paraId="7CA8C3C9"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20</w:t>
            </w:r>
          </w:p>
        </w:tc>
        <w:tc>
          <w:tcPr>
            <w:tcW w:w="1696" w:type="dxa"/>
            <w:tcBorders>
              <w:left w:val="single" w:sz="4" w:space="0" w:color="auto"/>
              <w:right w:val="single" w:sz="4" w:space="0" w:color="auto"/>
            </w:tcBorders>
            <w:shd w:val="clear" w:color="auto" w:fill="auto"/>
            <w:tcMar>
              <w:top w:w="15" w:type="dxa"/>
              <w:left w:w="66" w:type="dxa"/>
              <w:bottom w:w="0" w:type="dxa"/>
              <w:right w:w="66" w:type="dxa"/>
            </w:tcMar>
            <w:hideMark/>
          </w:tcPr>
          <w:p w14:paraId="716BED74"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24</w:t>
            </w:r>
          </w:p>
        </w:tc>
        <w:tc>
          <w:tcPr>
            <w:tcW w:w="1340" w:type="dxa"/>
            <w:vMerge w:val="restart"/>
            <w:tcBorders>
              <w:left w:val="single" w:sz="4" w:space="0" w:color="auto"/>
            </w:tcBorders>
            <w:shd w:val="clear" w:color="auto" w:fill="auto"/>
            <w:tcMar>
              <w:top w:w="15" w:type="dxa"/>
              <w:left w:w="66" w:type="dxa"/>
              <w:bottom w:w="0" w:type="dxa"/>
              <w:right w:w="66" w:type="dxa"/>
            </w:tcMar>
            <w:vAlign w:val="center"/>
            <w:hideMark/>
          </w:tcPr>
          <w:p w14:paraId="548169A9"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0.81</w:t>
            </w:r>
          </w:p>
        </w:tc>
        <w:tc>
          <w:tcPr>
            <w:tcW w:w="320" w:type="dxa"/>
            <w:shd w:val="clear" w:color="auto" w:fill="auto"/>
            <w:tcMar>
              <w:top w:w="15" w:type="dxa"/>
              <w:left w:w="15" w:type="dxa"/>
              <w:bottom w:w="0" w:type="dxa"/>
              <w:right w:w="15" w:type="dxa"/>
            </w:tcMar>
            <w:vAlign w:val="center"/>
            <w:hideMark/>
          </w:tcPr>
          <w:p w14:paraId="03BF4F3E" w14:textId="77777777" w:rsidR="00193521" w:rsidRPr="005B33D4" w:rsidRDefault="00193521" w:rsidP="00193521">
            <w:pPr>
              <w:spacing w:after="0" w:line="240" w:lineRule="auto"/>
              <w:contextualSpacing/>
              <w:jc w:val="both"/>
              <w:rPr>
                <w:sz w:val="20"/>
                <w:szCs w:val="20"/>
                <w:lang w:val="en-GB"/>
              </w:rPr>
            </w:pPr>
            <w:r w:rsidRPr="005B33D4">
              <w:rPr>
                <w:sz w:val="20"/>
                <w:szCs w:val="20"/>
                <w:lang w:val="en-GB"/>
              </w:rPr>
              <w:t> </w:t>
            </w:r>
          </w:p>
        </w:tc>
      </w:tr>
      <w:tr w:rsidR="00193521" w:rsidRPr="005B33D4" w14:paraId="20D5D54C" w14:textId="77777777" w:rsidTr="00D2399C">
        <w:trPr>
          <w:trHeight w:val="318"/>
        </w:trPr>
        <w:tc>
          <w:tcPr>
            <w:tcW w:w="3959" w:type="dxa"/>
            <w:tcBorders>
              <w:right w:val="single" w:sz="4" w:space="0" w:color="auto"/>
            </w:tcBorders>
            <w:shd w:val="clear" w:color="auto" w:fill="auto"/>
            <w:tcMar>
              <w:top w:w="15" w:type="dxa"/>
              <w:left w:w="66" w:type="dxa"/>
              <w:bottom w:w="0" w:type="dxa"/>
              <w:right w:w="66" w:type="dxa"/>
            </w:tcMar>
            <w:vAlign w:val="center"/>
            <w:hideMark/>
          </w:tcPr>
          <w:p w14:paraId="5285DE5B" w14:textId="77777777" w:rsidR="00193521" w:rsidRPr="005B33D4" w:rsidRDefault="00193521" w:rsidP="00193521">
            <w:pPr>
              <w:spacing w:after="0" w:line="240" w:lineRule="auto"/>
              <w:contextualSpacing/>
              <w:jc w:val="both"/>
              <w:rPr>
                <w:sz w:val="20"/>
                <w:szCs w:val="20"/>
                <w:lang w:val="en-GB"/>
              </w:rPr>
            </w:pPr>
            <w:r w:rsidRPr="005B33D4">
              <w:rPr>
                <w:i/>
                <w:iCs/>
                <w:sz w:val="20"/>
                <w:szCs w:val="20"/>
                <w:lang w:val="en-GB"/>
              </w:rPr>
              <w:t xml:space="preserve">             ≥2 or 1 with hospital admission</w:t>
            </w:r>
          </w:p>
        </w:tc>
        <w:tc>
          <w:tcPr>
            <w:tcW w:w="1985" w:type="dxa"/>
            <w:tcBorders>
              <w:left w:val="single" w:sz="4" w:space="0" w:color="auto"/>
              <w:right w:val="single" w:sz="4" w:space="0" w:color="auto"/>
            </w:tcBorders>
            <w:shd w:val="clear" w:color="auto" w:fill="auto"/>
            <w:tcMar>
              <w:top w:w="15" w:type="dxa"/>
              <w:left w:w="66" w:type="dxa"/>
              <w:bottom w:w="0" w:type="dxa"/>
              <w:right w:w="66" w:type="dxa"/>
            </w:tcMar>
            <w:hideMark/>
          </w:tcPr>
          <w:p w14:paraId="74B02EA9"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9</w:t>
            </w:r>
          </w:p>
        </w:tc>
        <w:tc>
          <w:tcPr>
            <w:tcW w:w="1696" w:type="dxa"/>
            <w:tcBorders>
              <w:left w:val="single" w:sz="4" w:space="0" w:color="auto"/>
              <w:right w:val="single" w:sz="4" w:space="0" w:color="auto"/>
            </w:tcBorders>
            <w:shd w:val="clear" w:color="auto" w:fill="auto"/>
            <w:tcMar>
              <w:top w:w="15" w:type="dxa"/>
              <w:left w:w="66" w:type="dxa"/>
              <w:bottom w:w="0" w:type="dxa"/>
              <w:right w:w="66" w:type="dxa"/>
            </w:tcMar>
            <w:hideMark/>
          </w:tcPr>
          <w:p w14:paraId="25FAEEED"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7</w:t>
            </w:r>
          </w:p>
        </w:tc>
        <w:tc>
          <w:tcPr>
            <w:tcW w:w="0" w:type="auto"/>
            <w:vMerge/>
            <w:tcBorders>
              <w:left w:val="single" w:sz="4" w:space="0" w:color="auto"/>
            </w:tcBorders>
            <w:vAlign w:val="center"/>
            <w:hideMark/>
          </w:tcPr>
          <w:p w14:paraId="26ACB25F" w14:textId="77777777" w:rsidR="00193521" w:rsidRPr="005B33D4" w:rsidRDefault="00193521" w:rsidP="00193521">
            <w:pPr>
              <w:spacing w:after="0" w:line="240" w:lineRule="auto"/>
              <w:contextualSpacing/>
              <w:jc w:val="both"/>
              <w:rPr>
                <w:sz w:val="20"/>
                <w:szCs w:val="20"/>
                <w:lang w:val="en-GB"/>
              </w:rPr>
            </w:pPr>
          </w:p>
        </w:tc>
        <w:tc>
          <w:tcPr>
            <w:tcW w:w="320" w:type="dxa"/>
            <w:shd w:val="clear" w:color="auto" w:fill="auto"/>
            <w:tcMar>
              <w:top w:w="15" w:type="dxa"/>
              <w:left w:w="15" w:type="dxa"/>
              <w:bottom w:w="0" w:type="dxa"/>
              <w:right w:w="15" w:type="dxa"/>
            </w:tcMar>
            <w:vAlign w:val="center"/>
            <w:hideMark/>
          </w:tcPr>
          <w:p w14:paraId="4A43A9CC" w14:textId="77777777" w:rsidR="00193521" w:rsidRPr="005B33D4" w:rsidRDefault="00193521" w:rsidP="00193521">
            <w:pPr>
              <w:spacing w:after="0" w:line="240" w:lineRule="auto"/>
              <w:contextualSpacing/>
              <w:jc w:val="both"/>
              <w:rPr>
                <w:sz w:val="20"/>
                <w:szCs w:val="20"/>
                <w:lang w:val="en-GB"/>
              </w:rPr>
            </w:pPr>
            <w:r w:rsidRPr="005B33D4">
              <w:rPr>
                <w:sz w:val="20"/>
                <w:szCs w:val="20"/>
                <w:lang w:val="en-GB"/>
              </w:rPr>
              <w:t> </w:t>
            </w:r>
          </w:p>
        </w:tc>
      </w:tr>
      <w:tr w:rsidR="00193521" w:rsidRPr="00433EEC" w14:paraId="193A0054" w14:textId="77777777" w:rsidTr="00D2399C">
        <w:trPr>
          <w:trHeight w:val="316"/>
        </w:trPr>
        <w:tc>
          <w:tcPr>
            <w:tcW w:w="9300" w:type="dxa"/>
            <w:gridSpan w:val="5"/>
            <w:shd w:val="clear" w:color="auto" w:fill="auto"/>
            <w:tcMar>
              <w:top w:w="15" w:type="dxa"/>
              <w:left w:w="66" w:type="dxa"/>
              <w:bottom w:w="0" w:type="dxa"/>
              <w:right w:w="66" w:type="dxa"/>
            </w:tcMar>
            <w:hideMark/>
          </w:tcPr>
          <w:p w14:paraId="46648473" w14:textId="77777777" w:rsidR="00193521" w:rsidRPr="005B33D4" w:rsidRDefault="00193521" w:rsidP="00193521">
            <w:pPr>
              <w:spacing w:after="0" w:line="240" w:lineRule="auto"/>
              <w:contextualSpacing/>
              <w:jc w:val="both"/>
              <w:rPr>
                <w:sz w:val="20"/>
                <w:szCs w:val="20"/>
                <w:lang w:val="en-GB"/>
              </w:rPr>
            </w:pPr>
            <w:r w:rsidRPr="005B33D4">
              <w:rPr>
                <w:b/>
                <w:bCs/>
                <w:i/>
                <w:iCs/>
                <w:sz w:val="20"/>
                <w:szCs w:val="20"/>
                <w:lang w:val="en-GB"/>
              </w:rPr>
              <w:t>Hospital admissions due to COPD, in the year before enrolment, n (%)</w:t>
            </w:r>
          </w:p>
        </w:tc>
      </w:tr>
      <w:tr w:rsidR="00193521" w:rsidRPr="005B33D4" w14:paraId="13574587" w14:textId="77777777" w:rsidTr="00D2399C">
        <w:trPr>
          <w:trHeight w:val="318"/>
        </w:trPr>
        <w:tc>
          <w:tcPr>
            <w:tcW w:w="3959" w:type="dxa"/>
            <w:tcBorders>
              <w:right w:val="single" w:sz="4" w:space="0" w:color="auto"/>
            </w:tcBorders>
            <w:shd w:val="clear" w:color="auto" w:fill="auto"/>
            <w:tcMar>
              <w:top w:w="15" w:type="dxa"/>
              <w:left w:w="66" w:type="dxa"/>
              <w:bottom w:w="0" w:type="dxa"/>
              <w:right w:w="66" w:type="dxa"/>
            </w:tcMar>
            <w:vAlign w:val="center"/>
            <w:hideMark/>
          </w:tcPr>
          <w:p w14:paraId="612B541B" w14:textId="77777777" w:rsidR="00193521" w:rsidRPr="005B33D4" w:rsidRDefault="00193521" w:rsidP="00193521">
            <w:pPr>
              <w:spacing w:after="0" w:line="240" w:lineRule="auto"/>
              <w:contextualSpacing/>
              <w:jc w:val="both"/>
              <w:rPr>
                <w:sz w:val="20"/>
                <w:szCs w:val="20"/>
                <w:lang w:val="en-GB"/>
              </w:rPr>
            </w:pPr>
            <w:r w:rsidRPr="005B33D4">
              <w:rPr>
                <w:i/>
                <w:iCs/>
                <w:sz w:val="20"/>
                <w:szCs w:val="20"/>
                <w:lang w:val="en-GB"/>
              </w:rPr>
              <w:t xml:space="preserve">             0</w:t>
            </w:r>
          </w:p>
        </w:tc>
        <w:tc>
          <w:tcPr>
            <w:tcW w:w="1985" w:type="dxa"/>
            <w:tcBorders>
              <w:left w:val="single" w:sz="4" w:space="0" w:color="auto"/>
              <w:right w:val="single" w:sz="4" w:space="0" w:color="auto"/>
            </w:tcBorders>
            <w:shd w:val="clear" w:color="auto" w:fill="auto"/>
            <w:tcMar>
              <w:top w:w="15" w:type="dxa"/>
              <w:left w:w="66" w:type="dxa"/>
              <w:bottom w:w="0" w:type="dxa"/>
              <w:right w:w="66" w:type="dxa"/>
            </w:tcMar>
            <w:hideMark/>
          </w:tcPr>
          <w:p w14:paraId="5646757C"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23 (43%)</w:t>
            </w:r>
          </w:p>
        </w:tc>
        <w:tc>
          <w:tcPr>
            <w:tcW w:w="1696" w:type="dxa"/>
            <w:tcBorders>
              <w:left w:val="single" w:sz="4" w:space="0" w:color="auto"/>
              <w:right w:val="single" w:sz="4" w:space="0" w:color="auto"/>
            </w:tcBorders>
            <w:shd w:val="clear" w:color="auto" w:fill="auto"/>
            <w:tcMar>
              <w:top w:w="15" w:type="dxa"/>
              <w:left w:w="66" w:type="dxa"/>
              <w:bottom w:w="0" w:type="dxa"/>
              <w:right w:w="66" w:type="dxa"/>
            </w:tcMar>
            <w:hideMark/>
          </w:tcPr>
          <w:p w14:paraId="6816028A"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31 (57%)</w:t>
            </w:r>
          </w:p>
        </w:tc>
        <w:tc>
          <w:tcPr>
            <w:tcW w:w="1340" w:type="dxa"/>
            <w:vMerge w:val="restart"/>
            <w:tcBorders>
              <w:left w:val="single" w:sz="4" w:space="0" w:color="auto"/>
            </w:tcBorders>
            <w:shd w:val="clear" w:color="auto" w:fill="auto"/>
            <w:tcMar>
              <w:top w:w="15" w:type="dxa"/>
              <w:left w:w="66" w:type="dxa"/>
              <w:bottom w:w="0" w:type="dxa"/>
              <w:right w:w="66" w:type="dxa"/>
            </w:tcMar>
            <w:vAlign w:val="center"/>
            <w:hideMark/>
          </w:tcPr>
          <w:p w14:paraId="2F6C68F0" w14:textId="4469E4AD" w:rsidR="00193521" w:rsidRPr="005B33D4" w:rsidRDefault="00193521" w:rsidP="00193521">
            <w:pPr>
              <w:spacing w:after="0" w:line="240" w:lineRule="auto"/>
              <w:contextualSpacing/>
              <w:jc w:val="center"/>
              <w:rPr>
                <w:sz w:val="20"/>
                <w:szCs w:val="20"/>
                <w:lang w:val="en-GB"/>
              </w:rPr>
            </w:pPr>
            <w:r w:rsidRPr="005B33D4">
              <w:rPr>
                <w:b/>
                <w:bCs/>
                <w:sz w:val="20"/>
                <w:szCs w:val="20"/>
                <w:lang w:val="en-GB"/>
              </w:rPr>
              <w:t>0.0</w:t>
            </w:r>
            <w:r w:rsidR="00A22B52" w:rsidRPr="005B33D4">
              <w:rPr>
                <w:b/>
                <w:bCs/>
                <w:sz w:val="20"/>
                <w:szCs w:val="20"/>
                <w:lang w:val="en-GB"/>
              </w:rPr>
              <w:t>25</w:t>
            </w:r>
          </w:p>
        </w:tc>
        <w:tc>
          <w:tcPr>
            <w:tcW w:w="320" w:type="dxa"/>
            <w:shd w:val="clear" w:color="auto" w:fill="auto"/>
            <w:tcMar>
              <w:top w:w="15" w:type="dxa"/>
              <w:left w:w="15" w:type="dxa"/>
              <w:bottom w:w="0" w:type="dxa"/>
              <w:right w:w="15" w:type="dxa"/>
            </w:tcMar>
            <w:vAlign w:val="center"/>
            <w:hideMark/>
          </w:tcPr>
          <w:p w14:paraId="6D027BE1" w14:textId="77777777" w:rsidR="00193521" w:rsidRPr="005B33D4" w:rsidRDefault="00193521" w:rsidP="00193521">
            <w:pPr>
              <w:spacing w:after="0" w:line="240" w:lineRule="auto"/>
              <w:contextualSpacing/>
              <w:jc w:val="both"/>
              <w:rPr>
                <w:sz w:val="20"/>
                <w:szCs w:val="20"/>
                <w:lang w:val="en-GB"/>
              </w:rPr>
            </w:pPr>
            <w:r w:rsidRPr="005B33D4">
              <w:rPr>
                <w:sz w:val="20"/>
                <w:szCs w:val="20"/>
                <w:lang w:val="en-GB"/>
              </w:rPr>
              <w:t> </w:t>
            </w:r>
          </w:p>
        </w:tc>
      </w:tr>
      <w:tr w:rsidR="00193521" w:rsidRPr="005B33D4" w14:paraId="62BACDD7" w14:textId="77777777" w:rsidTr="00D2399C">
        <w:trPr>
          <w:trHeight w:val="318"/>
        </w:trPr>
        <w:tc>
          <w:tcPr>
            <w:tcW w:w="3959" w:type="dxa"/>
            <w:tcBorders>
              <w:bottom w:val="double" w:sz="4" w:space="0" w:color="auto"/>
              <w:right w:val="single" w:sz="4" w:space="0" w:color="auto"/>
            </w:tcBorders>
            <w:shd w:val="clear" w:color="auto" w:fill="auto"/>
            <w:tcMar>
              <w:top w:w="15" w:type="dxa"/>
              <w:left w:w="66" w:type="dxa"/>
              <w:bottom w:w="0" w:type="dxa"/>
              <w:right w:w="66" w:type="dxa"/>
            </w:tcMar>
            <w:vAlign w:val="center"/>
            <w:hideMark/>
          </w:tcPr>
          <w:p w14:paraId="1612F6FB" w14:textId="77777777" w:rsidR="00193521" w:rsidRPr="005B33D4" w:rsidRDefault="00193521" w:rsidP="00193521">
            <w:pPr>
              <w:spacing w:after="0" w:line="240" w:lineRule="auto"/>
              <w:contextualSpacing/>
              <w:jc w:val="both"/>
              <w:rPr>
                <w:sz w:val="20"/>
                <w:szCs w:val="20"/>
                <w:lang w:val="en-GB"/>
              </w:rPr>
            </w:pPr>
            <w:r w:rsidRPr="005B33D4">
              <w:rPr>
                <w:i/>
                <w:iCs/>
                <w:sz w:val="20"/>
                <w:szCs w:val="20"/>
                <w:lang w:val="en-GB"/>
              </w:rPr>
              <w:t xml:space="preserve">             1</w:t>
            </w:r>
          </w:p>
        </w:tc>
        <w:tc>
          <w:tcPr>
            <w:tcW w:w="1985" w:type="dxa"/>
            <w:tcBorders>
              <w:left w:val="single" w:sz="4" w:space="0" w:color="auto"/>
              <w:bottom w:val="double" w:sz="4" w:space="0" w:color="auto"/>
              <w:right w:val="single" w:sz="4" w:space="0" w:color="auto"/>
            </w:tcBorders>
            <w:shd w:val="clear" w:color="auto" w:fill="auto"/>
            <w:tcMar>
              <w:top w:w="15" w:type="dxa"/>
              <w:left w:w="66" w:type="dxa"/>
              <w:bottom w:w="0" w:type="dxa"/>
              <w:right w:w="66" w:type="dxa"/>
            </w:tcMar>
            <w:hideMark/>
          </w:tcPr>
          <w:p w14:paraId="7099B1BB"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6 (100%)</w:t>
            </w:r>
          </w:p>
        </w:tc>
        <w:tc>
          <w:tcPr>
            <w:tcW w:w="1696" w:type="dxa"/>
            <w:tcBorders>
              <w:left w:val="single" w:sz="4" w:space="0" w:color="auto"/>
              <w:bottom w:val="double" w:sz="4" w:space="0" w:color="auto"/>
              <w:right w:val="single" w:sz="4" w:space="0" w:color="auto"/>
            </w:tcBorders>
            <w:shd w:val="clear" w:color="auto" w:fill="auto"/>
            <w:tcMar>
              <w:top w:w="15" w:type="dxa"/>
              <w:left w:w="66" w:type="dxa"/>
              <w:bottom w:w="0" w:type="dxa"/>
              <w:right w:w="66" w:type="dxa"/>
            </w:tcMar>
            <w:hideMark/>
          </w:tcPr>
          <w:p w14:paraId="534435C3" w14:textId="77777777" w:rsidR="00193521" w:rsidRPr="005B33D4" w:rsidRDefault="00193521" w:rsidP="00193521">
            <w:pPr>
              <w:spacing w:after="0" w:line="240" w:lineRule="auto"/>
              <w:contextualSpacing/>
              <w:jc w:val="center"/>
              <w:rPr>
                <w:sz w:val="20"/>
                <w:szCs w:val="20"/>
                <w:lang w:val="en-GB"/>
              </w:rPr>
            </w:pPr>
            <w:r w:rsidRPr="005B33D4">
              <w:rPr>
                <w:sz w:val="20"/>
                <w:szCs w:val="20"/>
                <w:lang w:val="en-GB"/>
              </w:rPr>
              <w:t>0 (0)</w:t>
            </w:r>
          </w:p>
        </w:tc>
        <w:tc>
          <w:tcPr>
            <w:tcW w:w="0" w:type="auto"/>
            <w:vMerge/>
            <w:tcBorders>
              <w:left w:val="single" w:sz="4" w:space="0" w:color="auto"/>
              <w:bottom w:val="double" w:sz="4" w:space="0" w:color="auto"/>
            </w:tcBorders>
            <w:vAlign w:val="center"/>
            <w:hideMark/>
          </w:tcPr>
          <w:p w14:paraId="7ACF6A27" w14:textId="77777777" w:rsidR="00193521" w:rsidRPr="005B33D4" w:rsidRDefault="00193521" w:rsidP="00193521">
            <w:pPr>
              <w:spacing w:after="0" w:line="240" w:lineRule="auto"/>
              <w:contextualSpacing/>
              <w:jc w:val="both"/>
              <w:rPr>
                <w:sz w:val="20"/>
                <w:szCs w:val="20"/>
                <w:lang w:val="en-GB"/>
              </w:rPr>
            </w:pPr>
          </w:p>
        </w:tc>
        <w:tc>
          <w:tcPr>
            <w:tcW w:w="320" w:type="dxa"/>
            <w:tcBorders>
              <w:bottom w:val="double" w:sz="4" w:space="0" w:color="auto"/>
            </w:tcBorders>
            <w:shd w:val="clear" w:color="auto" w:fill="auto"/>
            <w:tcMar>
              <w:top w:w="15" w:type="dxa"/>
              <w:left w:w="15" w:type="dxa"/>
              <w:bottom w:w="0" w:type="dxa"/>
              <w:right w:w="15" w:type="dxa"/>
            </w:tcMar>
            <w:vAlign w:val="center"/>
            <w:hideMark/>
          </w:tcPr>
          <w:p w14:paraId="02286517" w14:textId="77777777" w:rsidR="00193521" w:rsidRPr="005B33D4" w:rsidRDefault="00193521" w:rsidP="00193521">
            <w:pPr>
              <w:spacing w:after="0" w:line="240" w:lineRule="auto"/>
              <w:contextualSpacing/>
              <w:jc w:val="both"/>
              <w:rPr>
                <w:sz w:val="20"/>
                <w:szCs w:val="20"/>
                <w:lang w:val="en-GB"/>
              </w:rPr>
            </w:pPr>
            <w:r w:rsidRPr="005B33D4">
              <w:rPr>
                <w:sz w:val="20"/>
                <w:szCs w:val="20"/>
                <w:lang w:val="en-GB"/>
              </w:rPr>
              <w:t> </w:t>
            </w:r>
          </w:p>
        </w:tc>
      </w:tr>
      <w:tr w:rsidR="00193521" w:rsidRPr="00433EEC" w14:paraId="0C0BEF3D" w14:textId="77777777" w:rsidTr="00D2399C">
        <w:trPr>
          <w:trHeight w:val="1679"/>
        </w:trPr>
        <w:tc>
          <w:tcPr>
            <w:tcW w:w="9300" w:type="dxa"/>
            <w:gridSpan w:val="5"/>
            <w:tcBorders>
              <w:top w:val="double" w:sz="4" w:space="0" w:color="auto"/>
            </w:tcBorders>
            <w:shd w:val="clear" w:color="auto" w:fill="auto"/>
            <w:tcMar>
              <w:top w:w="15" w:type="dxa"/>
              <w:left w:w="66" w:type="dxa"/>
              <w:bottom w:w="0" w:type="dxa"/>
              <w:right w:w="66" w:type="dxa"/>
            </w:tcMar>
            <w:hideMark/>
          </w:tcPr>
          <w:p w14:paraId="33778A93" w14:textId="0603F9D1" w:rsidR="00433EEC" w:rsidRPr="00433EEC" w:rsidRDefault="00193521" w:rsidP="00D2399C">
            <w:pPr>
              <w:spacing w:after="0" w:line="240" w:lineRule="auto"/>
              <w:contextualSpacing/>
              <w:jc w:val="both"/>
              <w:rPr>
                <w:i/>
                <w:iCs/>
                <w:sz w:val="16"/>
                <w:szCs w:val="16"/>
                <w:lang w:val="en-GB"/>
              </w:rPr>
            </w:pPr>
            <w:r w:rsidRPr="005B33D4">
              <w:rPr>
                <w:i/>
                <w:iCs/>
                <w:sz w:val="16"/>
                <w:szCs w:val="16"/>
                <w:lang w:val="en-GB"/>
              </w:rPr>
              <w:t xml:space="preserve">n (%): number of individuals in each group plus the corresponding percentage. mean±SD: </w:t>
            </w:r>
            <w:proofErr w:type="spellStart"/>
            <w:r w:rsidRPr="005B33D4">
              <w:rPr>
                <w:i/>
                <w:iCs/>
                <w:sz w:val="16"/>
                <w:szCs w:val="16"/>
                <w:lang w:val="en-GB"/>
              </w:rPr>
              <w:t>mean±standard</w:t>
            </w:r>
            <w:proofErr w:type="spellEnd"/>
            <w:r w:rsidRPr="005B33D4">
              <w:rPr>
                <w:i/>
                <w:iCs/>
                <w:sz w:val="16"/>
                <w:szCs w:val="16"/>
                <w:lang w:val="en-GB"/>
              </w:rPr>
              <w:t xml:space="preserve"> deviation. CCI: </w:t>
            </w:r>
            <w:proofErr w:type="spellStart"/>
            <w:r w:rsidRPr="005B33D4">
              <w:rPr>
                <w:i/>
                <w:iCs/>
                <w:sz w:val="16"/>
                <w:szCs w:val="16"/>
                <w:lang w:val="en-GB"/>
              </w:rPr>
              <w:t>Charlson</w:t>
            </w:r>
            <w:proofErr w:type="spellEnd"/>
            <w:r w:rsidRPr="005B33D4">
              <w:rPr>
                <w:i/>
                <w:iCs/>
                <w:sz w:val="16"/>
                <w:szCs w:val="16"/>
                <w:lang w:val="en-GB"/>
              </w:rPr>
              <w:t xml:space="preserve"> Comorbidity Index; BMI: Body Mass Index; GOLD Grade: 3– Severe; 4– Very Severe; GOLD Group: A– Less symptoms and low risk of exacerbations; B– More symptoms and low risk of exacerbations; C– Less symptoms and high risk of exacerbations; D–</w:t>
            </w:r>
            <w:r w:rsidR="00D2399C" w:rsidRPr="005B33D4">
              <w:rPr>
                <w:i/>
                <w:iCs/>
                <w:sz w:val="16"/>
                <w:szCs w:val="16"/>
                <w:lang w:val="en-GB"/>
              </w:rPr>
              <w:t xml:space="preserve"> </w:t>
            </w:r>
            <w:r w:rsidRPr="005B33D4">
              <w:rPr>
                <w:i/>
                <w:iCs/>
                <w:sz w:val="16"/>
                <w:szCs w:val="16"/>
                <w:lang w:val="en-GB"/>
              </w:rPr>
              <w:t>More symptoms and high risk of exacerbations; FEV1pp: forced expiratory volume in 1 second percentage of predicted; CAT: COPD assessment test; SpO2: peripheral capillary oxygen saturation.  Comparisons between patients with COPD and Healthy controls were conducted with unpaired t-test with Welch’s correction, Mann-Whitney U-test and Fisher’s exact test.</w:t>
            </w:r>
          </w:p>
        </w:tc>
      </w:tr>
    </w:tbl>
    <w:p w14:paraId="73528180" w14:textId="2E7AF920" w:rsidR="0056799C" w:rsidRDefault="00433EEC" w:rsidP="00433EEC">
      <w:pPr>
        <w:jc w:val="both"/>
        <w:rPr>
          <w:lang w:val="en-GB"/>
        </w:rPr>
      </w:pPr>
      <w:r>
        <w:rPr>
          <w:b/>
          <w:bCs/>
          <w:lang w:val="en-GB"/>
        </w:rPr>
        <w:t>Supplementary t</w:t>
      </w:r>
      <w:r w:rsidRPr="005B33D4">
        <w:rPr>
          <w:b/>
          <w:bCs/>
          <w:lang w:val="en-GB"/>
        </w:rPr>
        <w:t xml:space="preserve">able </w:t>
      </w:r>
      <w:r>
        <w:rPr>
          <w:b/>
          <w:bCs/>
          <w:lang w:val="en-GB"/>
        </w:rPr>
        <w:t>3</w:t>
      </w:r>
      <w:r w:rsidRPr="005B33D4">
        <w:rPr>
          <w:b/>
          <w:bCs/>
          <w:lang w:val="en-GB"/>
        </w:rPr>
        <w:t xml:space="preserve">. Summary table of </w:t>
      </w:r>
      <w:r>
        <w:rPr>
          <w:b/>
          <w:bCs/>
          <w:lang w:val="en-GB"/>
        </w:rPr>
        <w:t xml:space="preserve">significant </w:t>
      </w:r>
      <w:r w:rsidRPr="005B33D4">
        <w:rPr>
          <w:b/>
          <w:bCs/>
          <w:lang w:val="en-GB"/>
        </w:rPr>
        <w:t>logistic regression models</w:t>
      </w:r>
      <w:r>
        <w:rPr>
          <w:b/>
          <w:bCs/>
          <w:lang w:val="en-GB"/>
        </w:rPr>
        <w:t xml:space="preserve"> established</w:t>
      </w:r>
      <w:r w:rsidRPr="005B33D4">
        <w:rPr>
          <w:b/>
          <w:bCs/>
          <w:lang w:val="en-GB"/>
        </w:rPr>
        <w:t xml:space="preserve"> for both GOLD D and hospital admission</w:t>
      </w:r>
      <w:r>
        <w:rPr>
          <w:b/>
          <w:bCs/>
          <w:lang w:val="en-GB"/>
        </w:rPr>
        <w:t>, adjusted for Pack-years. Coefficients were represented in model equations.</w:t>
      </w:r>
    </w:p>
    <w:tbl>
      <w:tblPr>
        <w:tblW w:w="10915" w:type="dxa"/>
        <w:jc w:val="center"/>
        <w:tblLayout w:type="fixed"/>
        <w:tblLook w:val="04A0" w:firstRow="1" w:lastRow="0" w:firstColumn="1" w:lastColumn="0" w:noHBand="0" w:noVBand="1"/>
      </w:tblPr>
      <w:tblGrid>
        <w:gridCol w:w="3830"/>
        <w:gridCol w:w="1416"/>
        <w:gridCol w:w="851"/>
        <w:gridCol w:w="708"/>
        <w:gridCol w:w="426"/>
        <w:gridCol w:w="850"/>
        <w:gridCol w:w="567"/>
        <w:gridCol w:w="1558"/>
        <w:gridCol w:w="709"/>
      </w:tblGrid>
      <w:tr w:rsidR="00433EEC" w:rsidRPr="007004F7" w14:paraId="7840034A" w14:textId="77777777" w:rsidTr="00433EEC">
        <w:trPr>
          <w:trHeight w:val="288"/>
          <w:jc w:val="center"/>
        </w:trPr>
        <w:tc>
          <w:tcPr>
            <w:tcW w:w="3830" w:type="dxa"/>
            <w:tcBorders>
              <w:bottom w:val="double" w:sz="4" w:space="0" w:color="auto"/>
            </w:tcBorders>
            <w:shd w:val="clear" w:color="auto" w:fill="auto"/>
            <w:vAlign w:val="center"/>
            <w:hideMark/>
          </w:tcPr>
          <w:p w14:paraId="6D19EEFD" w14:textId="77777777" w:rsidR="00433EEC" w:rsidRPr="007004F7" w:rsidRDefault="00433EEC" w:rsidP="004B55E7">
            <w:pPr>
              <w:spacing w:after="0" w:line="240" w:lineRule="auto"/>
              <w:rPr>
                <w:rFonts w:ascii="Times New Roman" w:eastAsia="Times New Roman" w:hAnsi="Times New Roman" w:cs="Times New Roman"/>
                <w:sz w:val="24"/>
                <w:szCs w:val="24"/>
                <w:lang w:val="en-GB" w:eastAsia="en-GB"/>
              </w:rPr>
            </w:pPr>
          </w:p>
        </w:tc>
        <w:tc>
          <w:tcPr>
            <w:tcW w:w="1416" w:type="dxa"/>
            <w:tcBorders>
              <w:bottom w:val="double" w:sz="4" w:space="0" w:color="auto"/>
            </w:tcBorders>
            <w:shd w:val="clear" w:color="auto" w:fill="auto"/>
            <w:vAlign w:val="center"/>
            <w:hideMark/>
          </w:tcPr>
          <w:p w14:paraId="16F243A4" w14:textId="77777777" w:rsidR="00433EEC" w:rsidRPr="007004F7" w:rsidRDefault="00433EEC" w:rsidP="004B55E7">
            <w:pPr>
              <w:spacing w:after="0" w:line="240" w:lineRule="auto"/>
              <w:jc w:val="center"/>
              <w:rPr>
                <w:rFonts w:ascii="Times New Roman" w:eastAsia="Times New Roman" w:hAnsi="Times New Roman" w:cs="Times New Roman"/>
                <w:sz w:val="20"/>
                <w:szCs w:val="20"/>
                <w:lang w:val="en-GB" w:eastAsia="en-GB"/>
              </w:rPr>
            </w:pPr>
          </w:p>
        </w:tc>
        <w:tc>
          <w:tcPr>
            <w:tcW w:w="851" w:type="dxa"/>
            <w:tcBorders>
              <w:bottom w:val="double" w:sz="4" w:space="0" w:color="auto"/>
            </w:tcBorders>
            <w:shd w:val="clear" w:color="auto" w:fill="auto"/>
            <w:vAlign w:val="center"/>
            <w:hideMark/>
          </w:tcPr>
          <w:p w14:paraId="6719BB6C" w14:textId="77777777" w:rsidR="00433EEC" w:rsidRPr="007004F7" w:rsidRDefault="00433EEC" w:rsidP="004B55E7">
            <w:pPr>
              <w:spacing w:after="0" w:line="240" w:lineRule="auto"/>
              <w:jc w:val="center"/>
              <w:rPr>
                <w:rFonts w:ascii="Times New Roman" w:eastAsia="Times New Roman" w:hAnsi="Times New Roman" w:cs="Times New Roman"/>
                <w:sz w:val="20"/>
                <w:szCs w:val="20"/>
                <w:lang w:val="en-GB" w:eastAsia="en-GB"/>
              </w:rPr>
            </w:pPr>
          </w:p>
        </w:tc>
        <w:tc>
          <w:tcPr>
            <w:tcW w:w="1984" w:type="dxa"/>
            <w:gridSpan w:val="3"/>
            <w:tcBorders>
              <w:bottom w:val="double" w:sz="4" w:space="0" w:color="auto"/>
            </w:tcBorders>
            <w:shd w:val="clear" w:color="auto" w:fill="auto"/>
            <w:noWrap/>
            <w:vAlign w:val="center"/>
            <w:hideMark/>
          </w:tcPr>
          <w:p w14:paraId="61381E0F"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r w:rsidRPr="007004F7">
              <w:rPr>
                <w:rFonts w:ascii="Calibri" w:eastAsia="Times New Roman" w:hAnsi="Calibri" w:cs="Calibri"/>
                <w:b/>
                <w:bCs/>
                <w:color w:val="000000"/>
                <w:sz w:val="18"/>
                <w:szCs w:val="18"/>
                <w:lang w:val="en-GB" w:eastAsia="en-GB"/>
              </w:rPr>
              <w:t>Likelihood ratio test</w:t>
            </w:r>
            <w:r w:rsidRPr="007004F7">
              <w:rPr>
                <w:rFonts w:ascii="Calibri" w:eastAsia="Times New Roman" w:hAnsi="Calibri" w:cs="Calibri"/>
                <w:b/>
                <w:bCs/>
                <w:color w:val="000000"/>
                <w:sz w:val="18"/>
                <w:szCs w:val="18"/>
                <w:vertAlign w:val="superscript"/>
                <w:lang w:val="en-GB" w:eastAsia="en-GB"/>
              </w:rPr>
              <w:t>▪</w:t>
            </w:r>
          </w:p>
        </w:tc>
        <w:tc>
          <w:tcPr>
            <w:tcW w:w="567" w:type="dxa"/>
            <w:tcBorders>
              <w:bottom w:val="double" w:sz="4" w:space="0" w:color="auto"/>
            </w:tcBorders>
            <w:shd w:val="clear" w:color="auto" w:fill="auto"/>
            <w:vAlign w:val="center"/>
            <w:hideMark/>
          </w:tcPr>
          <w:p w14:paraId="40E62102"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p>
        </w:tc>
        <w:tc>
          <w:tcPr>
            <w:tcW w:w="1558" w:type="dxa"/>
            <w:tcBorders>
              <w:bottom w:val="double" w:sz="4" w:space="0" w:color="auto"/>
            </w:tcBorders>
            <w:shd w:val="clear" w:color="auto" w:fill="auto"/>
            <w:vAlign w:val="center"/>
            <w:hideMark/>
          </w:tcPr>
          <w:p w14:paraId="578D115B" w14:textId="77777777" w:rsidR="00433EEC" w:rsidRPr="007004F7" w:rsidRDefault="00433EEC" w:rsidP="004B55E7">
            <w:pPr>
              <w:spacing w:after="0" w:line="240" w:lineRule="auto"/>
              <w:jc w:val="center"/>
              <w:rPr>
                <w:rFonts w:ascii="Times New Roman" w:eastAsia="Times New Roman" w:hAnsi="Times New Roman" w:cs="Times New Roman"/>
                <w:sz w:val="20"/>
                <w:szCs w:val="20"/>
                <w:lang w:val="en-GB" w:eastAsia="en-GB"/>
              </w:rPr>
            </w:pPr>
          </w:p>
        </w:tc>
        <w:tc>
          <w:tcPr>
            <w:tcW w:w="709" w:type="dxa"/>
            <w:tcBorders>
              <w:bottom w:val="double" w:sz="4" w:space="0" w:color="auto"/>
            </w:tcBorders>
            <w:shd w:val="clear" w:color="auto" w:fill="auto"/>
            <w:vAlign w:val="center"/>
            <w:hideMark/>
          </w:tcPr>
          <w:p w14:paraId="59DFC2C6" w14:textId="77777777" w:rsidR="00433EEC" w:rsidRPr="007004F7" w:rsidRDefault="00433EEC" w:rsidP="004B55E7">
            <w:pPr>
              <w:spacing w:after="0" w:line="240" w:lineRule="auto"/>
              <w:jc w:val="center"/>
              <w:rPr>
                <w:rFonts w:ascii="Times New Roman" w:eastAsia="Times New Roman" w:hAnsi="Times New Roman" w:cs="Times New Roman"/>
                <w:sz w:val="20"/>
                <w:szCs w:val="20"/>
                <w:lang w:val="en-GB" w:eastAsia="en-GB"/>
              </w:rPr>
            </w:pPr>
          </w:p>
        </w:tc>
      </w:tr>
      <w:tr w:rsidR="00433EEC" w:rsidRPr="007004F7" w14:paraId="69704E98" w14:textId="77777777" w:rsidTr="00433EEC">
        <w:trPr>
          <w:trHeight w:val="492"/>
          <w:jc w:val="center"/>
        </w:trPr>
        <w:tc>
          <w:tcPr>
            <w:tcW w:w="3830" w:type="dxa"/>
            <w:tcBorders>
              <w:top w:val="double" w:sz="4" w:space="0" w:color="auto"/>
              <w:right w:val="single" w:sz="4" w:space="0" w:color="auto"/>
            </w:tcBorders>
            <w:shd w:val="clear" w:color="auto" w:fill="auto"/>
            <w:vAlign w:val="center"/>
            <w:hideMark/>
          </w:tcPr>
          <w:p w14:paraId="4ACB1429"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r w:rsidRPr="007004F7">
              <w:rPr>
                <w:rFonts w:ascii="Calibri" w:eastAsia="Times New Roman" w:hAnsi="Calibri" w:cs="Calibri"/>
                <w:b/>
                <w:bCs/>
                <w:color w:val="000000"/>
                <w:sz w:val="18"/>
                <w:szCs w:val="18"/>
                <w:lang w:val="en-GB" w:eastAsia="en-GB"/>
              </w:rPr>
              <w:t>Model equation</w:t>
            </w:r>
          </w:p>
        </w:tc>
        <w:tc>
          <w:tcPr>
            <w:tcW w:w="1416" w:type="dxa"/>
            <w:tcBorders>
              <w:top w:val="double" w:sz="4" w:space="0" w:color="auto"/>
              <w:left w:val="single" w:sz="4" w:space="0" w:color="auto"/>
            </w:tcBorders>
            <w:shd w:val="clear" w:color="auto" w:fill="auto"/>
            <w:vAlign w:val="center"/>
            <w:hideMark/>
          </w:tcPr>
          <w:p w14:paraId="6BD1407C"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r w:rsidRPr="007004F7">
              <w:rPr>
                <w:rFonts w:ascii="Calibri" w:eastAsia="Times New Roman" w:hAnsi="Calibri" w:cs="Calibri"/>
                <w:b/>
                <w:bCs/>
                <w:color w:val="000000"/>
                <w:sz w:val="18"/>
                <w:szCs w:val="18"/>
                <w:lang w:val="en-GB" w:eastAsia="en-GB"/>
              </w:rPr>
              <w:t>Coefficients</w:t>
            </w:r>
          </w:p>
        </w:tc>
        <w:tc>
          <w:tcPr>
            <w:tcW w:w="851" w:type="dxa"/>
            <w:tcBorders>
              <w:top w:val="double" w:sz="4" w:space="0" w:color="auto"/>
            </w:tcBorders>
            <w:shd w:val="clear" w:color="auto" w:fill="auto"/>
            <w:vAlign w:val="center"/>
            <w:hideMark/>
          </w:tcPr>
          <w:p w14:paraId="55A3BBD9"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r w:rsidRPr="007004F7">
              <w:rPr>
                <w:rFonts w:ascii="Calibri" w:eastAsia="Times New Roman" w:hAnsi="Calibri" w:cs="Calibri"/>
                <w:b/>
                <w:bCs/>
                <w:color w:val="000000"/>
                <w:sz w:val="18"/>
                <w:szCs w:val="18"/>
                <w:lang w:val="en-GB" w:eastAsia="en-GB"/>
              </w:rPr>
              <w:t>p-value</w:t>
            </w:r>
          </w:p>
        </w:tc>
        <w:tc>
          <w:tcPr>
            <w:tcW w:w="708" w:type="dxa"/>
            <w:tcBorders>
              <w:top w:val="double" w:sz="4" w:space="0" w:color="auto"/>
            </w:tcBorders>
            <w:shd w:val="clear" w:color="auto" w:fill="auto"/>
            <w:vAlign w:val="center"/>
            <w:hideMark/>
          </w:tcPr>
          <w:p w14:paraId="056A55C4"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r w:rsidRPr="007004F7">
              <w:rPr>
                <w:rFonts w:ascii="Calibri" w:eastAsia="Times New Roman" w:hAnsi="Calibri" w:cs="Calibri"/>
                <w:b/>
                <w:bCs/>
                <w:color w:val="000000"/>
                <w:sz w:val="18"/>
                <w:szCs w:val="18"/>
                <w:lang w:val="en-GB" w:eastAsia="en-GB"/>
              </w:rPr>
              <w:t>χ2</w:t>
            </w:r>
          </w:p>
        </w:tc>
        <w:tc>
          <w:tcPr>
            <w:tcW w:w="426" w:type="dxa"/>
            <w:tcBorders>
              <w:top w:val="double" w:sz="4" w:space="0" w:color="auto"/>
            </w:tcBorders>
            <w:shd w:val="clear" w:color="auto" w:fill="auto"/>
            <w:vAlign w:val="center"/>
            <w:hideMark/>
          </w:tcPr>
          <w:p w14:paraId="5B690330"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r w:rsidRPr="007004F7">
              <w:rPr>
                <w:rFonts w:ascii="Calibri" w:eastAsia="Times New Roman" w:hAnsi="Calibri" w:cs="Calibri"/>
                <w:b/>
                <w:bCs/>
                <w:color w:val="000000"/>
                <w:sz w:val="18"/>
                <w:szCs w:val="18"/>
                <w:lang w:val="en-GB" w:eastAsia="en-GB"/>
              </w:rPr>
              <w:t>df</w:t>
            </w:r>
          </w:p>
        </w:tc>
        <w:tc>
          <w:tcPr>
            <w:tcW w:w="850" w:type="dxa"/>
            <w:tcBorders>
              <w:top w:val="double" w:sz="4" w:space="0" w:color="auto"/>
            </w:tcBorders>
            <w:shd w:val="clear" w:color="auto" w:fill="auto"/>
            <w:vAlign w:val="center"/>
            <w:hideMark/>
          </w:tcPr>
          <w:p w14:paraId="66AC311C"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r w:rsidRPr="007004F7">
              <w:rPr>
                <w:rFonts w:ascii="Calibri" w:eastAsia="Times New Roman" w:hAnsi="Calibri" w:cs="Calibri"/>
                <w:b/>
                <w:bCs/>
                <w:color w:val="000000"/>
                <w:sz w:val="18"/>
                <w:szCs w:val="18"/>
                <w:lang w:val="en-GB" w:eastAsia="en-GB"/>
              </w:rPr>
              <w:t>p-value</w:t>
            </w:r>
          </w:p>
        </w:tc>
        <w:tc>
          <w:tcPr>
            <w:tcW w:w="567" w:type="dxa"/>
            <w:tcBorders>
              <w:top w:val="double" w:sz="4" w:space="0" w:color="auto"/>
            </w:tcBorders>
            <w:shd w:val="clear" w:color="auto" w:fill="auto"/>
            <w:vAlign w:val="center"/>
            <w:hideMark/>
          </w:tcPr>
          <w:p w14:paraId="76E4F5DB"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r w:rsidRPr="007004F7">
              <w:rPr>
                <w:rFonts w:ascii="Calibri" w:eastAsia="Times New Roman" w:hAnsi="Calibri" w:cs="Calibri"/>
                <w:b/>
                <w:bCs/>
                <w:color w:val="000000"/>
                <w:sz w:val="18"/>
                <w:szCs w:val="18"/>
                <w:lang w:val="en-GB" w:eastAsia="en-GB"/>
              </w:rPr>
              <w:t>AIC</w:t>
            </w:r>
            <w:r w:rsidRPr="007004F7">
              <w:rPr>
                <w:rFonts w:ascii="Calibri" w:eastAsia="Times New Roman" w:hAnsi="Calibri" w:cs="Calibri"/>
                <w:b/>
                <w:bCs/>
                <w:color w:val="000000"/>
                <w:sz w:val="18"/>
                <w:szCs w:val="18"/>
                <w:vertAlign w:val="superscript"/>
                <w:lang w:val="en-GB" w:eastAsia="en-GB"/>
              </w:rPr>
              <w:t>▪▪</w:t>
            </w:r>
          </w:p>
        </w:tc>
        <w:tc>
          <w:tcPr>
            <w:tcW w:w="1558" w:type="dxa"/>
            <w:tcBorders>
              <w:top w:val="double" w:sz="4" w:space="0" w:color="auto"/>
            </w:tcBorders>
            <w:shd w:val="clear" w:color="auto" w:fill="auto"/>
            <w:vAlign w:val="center"/>
            <w:hideMark/>
          </w:tcPr>
          <w:p w14:paraId="48B8C7F9"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r w:rsidRPr="007004F7">
              <w:rPr>
                <w:rFonts w:ascii="Calibri" w:eastAsia="Times New Roman" w:hAnsi="Calibri" w:cs="Calibri"/>
                <w:b/>
                <w:bCs/>
                <w:color w:val="000000"/>
                <w:sz w:val="18"/>
                <w:szCs w:val="18"/>
                <w:lang w:val="en-GB" w:eastAsia="en-GB"/>
              </w:rPr>
              <w:t>OR (IC 95%)</w:t>
            </w:r>
          </w:p>
        </w:tc>
        <w:tc>
          <w:tcPr>
            <w:tcW w:w="709" w:type="dxa"/>
            <w:tcBorders>
              <w:top w:val="double" w:sz="4" w:space="0" w:color="auto"/>
            </w:tcBorders>
            <w:shd w:val="clear" w:color="auto" w:fill="auto"/>
            <w:vAlign w:val="center"/>
            <w:hideMark/>
          </w:tcPr>
          <w:p w14:paraId="73DC6735"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r w:rsidRPr="007004F7">
              <w:rPr>
                <w:rFonts w:ascii="Calibri" w:eastAsia="Times New Roman" w:hAnsi="Calibri" w:cs="Calibri"/>
                <w:b/>
                <w:bCs/>
                <w:color w:val="000000"/>
                <w:sz w:val="18"/>
                <w:szCs w:val="18"/>
                <w:lang w:val="en-GB" w:eastAsia="en-GB"/>
              </w:rPr>
              <w:t>AUC</w:t>
            </w:r>
          </w:p>
        </w:tc>
      </w:tr>
      <w:tr w:rsidR="00433EEC" w:rsidRPr="007004F7" w14:paraId="3F908CA4" w14:textId="77777777" w:rsidTr="00433EEC">
        <w:trPr>
          <w:trHeight w:val="300"/>
          <w:jc w:val="center"/>
        </w:trPr>
        <w:tc>
          <w:tcPr>
            <w:tcW w:w="3830" w:type="dxa"/>
            <w:vMerge w:val="restart"/>
            <w:tcBorders>
              <w:right w:val="single" w:sz="4" w:space="0" w:color="auto"/>
            </w:tcBorders>
            <w:shd w:val="clear" w:color="auto" w:fill="auto"/>
            <w:vAlign w:val="center"/>
            <w:hideMark/>
          </w:tcPr>
          <w:p w14:paraId="1483FE41"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Predicted logit of (</w:t>
            </w:r>
            <w:r w:rsidRPr="007004F7">
              <w:rPr>
                <w:rFonts w:ascii="Calibri" w:eastAsia="Times New Roman" w:hAnsi="Calibri" w:cs="Calibri"/>
                <w:b/>
                <w:bCs/>
                <w:color w:val="000000"/>
                <w:sz w:val="18"/>
                <w:szCs w:val="18"/>
                <w:lang w:val="en-GB" w:eastAsia="en-GB"/>
              </w:rPr>
              <w:t>GOLD D</w:t>
            </w:r>
            <w:r w:rsidRPr="007004F7">
              <w:rPr>
                <w:rFonts w:ascii="Calibri" w:eastAsia="Times New Roman" w:hAnsi="Calibri" w:cs="Calibri"/>
                <w:color w:val="000000"/>
                <w:sz w:val="18"/>
                <w:szCs w:val="18"/>
                <w:lang w:val="en-GB" w:eastAsia="en-GB"/>
              </w:rPr>
              <w:t>) = -3.92+(-0.</w:t>
            </w:r>
            <w:proofErr w:type="gramStart"/>
            <w:r w:rsidRPr="007004F7">
              <w:rPr>
                <w:rFonts w:ascii="Calibri" w:eastAsia="Times New Roman" w:hAnsi="Calibri" w:cs="Calibri"/>
                <w:color w:val="000000"/>
                <w:sz w:val="18"/>
                <w:szCs w:val="18"/>
                <w:lang w:val="en-GB" w:eastAsia="en-GB"/>
              </w:rPr>
              <w:t>73)*</w:t>
            </w:r>
            <w:proofErr w:type="gramEnd"/>
            <w:r w:rsidRPr="007004F7">
              <w:rPr>
                <w:rFonts w:ascii="Calibri" w:eastAsia="Times New Roman" w:hAnsi="Calibri" w:cs="Calibri"/>
                <w:b/>
                <w:bCs/>
                <w:color w:val="000000"/>
                <w:sz w:val="18"/>
                <w:szCs w:val="18"/>
                <w:lang w:val="en-GB" w:eastAsia="en-GB"/>
              </w:rPr>
              <w:t>log</w:t>
            </w:r>
            <w:r w:rsidRPr="007004F7">
              <w:rPr>
                <w:rFonts w:ascii="Calibri" w:eastAsia="Times New Roman" w:hAnsi="Calibri" w:cs="Calibri"/>
                <w:b/>
                <w:bCs/>
                <w:color w:val="000000"/>
                <w:sz w:val="18"/>
                <w:szCs w:val="18"/>
                <w:vertAlign w:val="subscript"/>
                <w:lang w:val="en-GB" w:eastAsia="en-GB"/>
              </w:rPr>
              <w:t>2</w:t>
            </w:r>
            <w:r w:rsidRPr="007004F7">
              <w:rPr>
                <w:rFonts w:ascii="Calibri" w:eastAsia="Times New Roman" w:hAnsi="Calibri" w:cs="Calibri"/>
                <w:b/>
                <w:bCs/>
                <w:color w:val="000000"/>
                <w:sz w:val="18"/>
                <w:szCs w:val="18"/>
                <w:lang w:val="en-GB" w:eastAsia="en-GB"/>
              </w:rPr>
              <w:t>(</w:t>
            </w:r>
            <w:r w:rsidRPr="007004F7">
              <w:rPr>
                <w:rFonts w:ascii="Calibri" w:eastAsia="Times New Roman" w:hAnsi="Calibri" w:cs="Calibri"/>
                <w:b/>
                <w:bCs/>
                <w:i/>
                <w:iCs/>
                <w:color w:val="000000"/>
                <w:sz w:val="18"/>
                <w:szCs w:val="18"/>
                <w:lang w:val="en-GB" w:eastAsia="en-GB"/>
              </w:rPr>
              <w:t>Prevotella</w:t>
            </w:r>
            <w:r w:rsidRPr="007004F7">
              <w:rPr>
                <w:rFonts w:ascii="Calibri" w:eastAsia="Times New Roman" w:hAnsi="Calibri" w:cs="Calibri"/>
                <w:b/>
                <w:bCs/>
                <w:color w:val="000000"/>
                <w:sz w:val="18"/>
                <w:szCs w:val="18"/>
                <w:lang w:val="en-GB" w:eastAsia="en-GB"/>
              </w:rPr>
              <w:t>)</w:t>
            </w:r>
            <w:r w:rsidRPr="007004F7">
              <w:rPr>
                <w:rFonts w:ascii="Calibri" w:eastAsia="Times New Roman" w:hAnsi="Calibri" w:cs="Calibri"/>
                <w:color w:val="000000"/>
                <w:sz w:val="18"/>
                <w:szCs w:val="18"/>
                <w:lang w:val="en-GB" w:eastAsia="en-GB"/>
              </w:rPr>
              <w:t>+(0.006)</w:t>
            </w:r>
            <w:r w:rsidRPr="007004F7">
              <w:rPr>
                <w:rFonts w:ascii="Calibri" w:eastAsia="Times New Roman" w:hAnsi="Calibri" w:cs="Calibri"/>
                <w:b/>
                <w:bCs/>
                <w:color w:val="000000"/>
                <w:sz w:val="18"/>
                <w:szCs w:val="18"/>
                <w:lang w:val="en-GB" w:eastAsia="en-GB"/>
              </w:rPr>
              <w:t>*log</w:t>
            </w:r>
            <w:r w:rsidRPr="007004F7">
              <w:rPr>
                <w:rFonts w:ascii="Calibri" w:eastAsia="Times New Roman" w:hAnsi="Calibri" w:cs="Calibri"/>
                <w:b/>
                <w:bCs/>
                <w:color w:val="000000"/>
                <w:sz w:val="18"/>
                <w:szCs w:val="18"/>
                <w:vertAlign w:val="subscript"/>
                <w:lang w:val="en-GB" w:eastAsia="en-GB"/>
              </w:rPr>
              <w:t>2</w:t>
            </w:r>
            <w:r w:rsidRPr="007004F7">
              <w:rPr>
                <w:rFonts w:ascii="Calibri" w:eastAsia="Times New Roman" w:hAnsi="Calibri" w:cs="Calibri"/>
                <w:b/>
                <w:bCs/>
                <w:color w:val="000000"/>
                <w:sz w:val="18"/>
                <w:szCs w:val="18"/>
                <w:lang w:val="en-GB" w:eastAsia="en-GB"/>
              </w:rPr>
              <w:t>(Pack-Years)</w:t>
            </w:r>
          </w:p>
        </w:tc>
        <w:tc>
          <w:tcPr>
            <w:tcW w:w="1416" w:type="dxa"/>
            <w:tcBorders>
              <w:left w:val="single" w:sz="4" w:space="0" w:color="auto"/>
            </w:tcBorders>
            <w:shd w:val="clear" w:color="auto" w:fill="auto"/>
            <w:vAlign w:val="center"/>
            <w:hideMark/>
          </w:tcPr>
          <w:p w14:paraId="26BDBFB5" w14:textId="77777777" w:rsidR="00433EEC" w:rsidRPr="007004F7" w:rsidRDefault="00433EEC" w:rsidP="004B55E7">
            <w:pPr>
              <w:spacing w:after="0" w:line="240" w:lineRule="auto"/>
              <w:jc w:val="center"/>
              <w:rPr>
                <w:rFonts w:ascii="Calibri" w:eastAsia="Times New Roman" w:hAnsi="Calibri" w:cs="Calibri"/>
                <w:b/>
                <w:bCs/>
                <w:i/>
                <w:iCs/>
                <w:color w:val="000000"/>
                <w:sz w:val="18"/>
                <w:szCs w:val="18"/>
                <w:lang w:val="en-GB" w:eastAsia="en-GB"/>
              </w:rPr>
            </w:pPr>
            <w:r w:rsidRPr="007004F7">
              <w:rPr>
                <w:rFonts w:ascii="Calibri" w:eastAsia="Times New Roman" w:hAnsi="Calibri" w:cs="Calibri"/>
                <w:b/>
                <w:bCs/>
                <w:i/>
                <w:iCs/>
                <w:color w:val="000000"/>
                <w:sz w:val="18"/>
                <w:szCs w:val="18"/>
                <w:lang w:val="en-GB" w:eastAsia="en-GB"/>
              </w:rPr>
              <w:t>Prevotella</w:t>
            </w:r>
          </w:p>
        </w:tc>
        <w:tc>
          <w:tcPr>
            <w:tcW w:w="851" w:type="dxa"/>
            <w:shd w:val="clear" w:color="auto" w:fill="auto"/>
            <w:vAlign w:val="center"/>
            <w:hideMark/>
          </w:tcPr>
          <w:p w14:paraId="58705027"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0.003</w:t>
            </w:r>
          </w:p>
        </w:tc>
        <w:tc>
          <w:tcPr>
            <w:tcW w:w="708" w:type="dxa"/>
            <w:vMerge w:val="restart"/>
            <w:shd w:val="clear" w:color="auto" w:fill="auto"/>
            <w:vAlign w:val="center"/>
            <w:hideMark/>
          </w:tcPr>
          <w:p w14:paraId="67BFDA5B"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14.9</w:t>
            </w:r>
          </w:p>
        </w:tc>
        <w:tc>
          <w:tcPr>
            <w:tcW w:w="426" w:type="dxa"/>
            <w:vMerge w:val="restart"/>
            <w:shd w:val="clear" w:color="auto" w:fill="auto"/>
            <w:vAlign w:val="center"/>
            <w:hideMark/>
          </w:tcPr>
          <w:p w14:paraId="4628CE5E"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2</w:t>
            </w:r>
          </w:p>
        </w:tc>
        <w:tc>
          <w:tcPr>
            <w:tcW w:w="850" w:type="dxa"/>
            <w:vMerge w:val="restart"/>
            <w:shd w:val="clear" w:color="auto" w:fill="auto"/>
            <w:vAlign w:val="center"/>
            <w:hideMark/>
          </w:tcPr>
          <w:p w14:paraId="2681C8E9"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0.0006</w:t>
            </w:r>
          </w:p>
        </w:tc>
        <w:tc>
          <w:tcPr>
            <w:tcW w:w="567" w:type="dxa"/>
            <w:vMerge w:val="restart"/>
            <w:shd w:val="clear" w:color="auto" w:fill="auto"/>
            <w:vAlign w:val="center"/>
            <w:hideMark/>
          </w:tcPr>
          <w:p w14:paraId="5C056789"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60.3</w:t>
            </w:r>
          </w:p>
        </w:tc>
        <w:tc>
          <w:tcPr>
            <w:tcW w:w="1558" w:type="dxa"/>
            <w:shd w:val="clear" w:color="auto" w:fill="auto"/>
            <w:vAlign w:val="center"/>
            <w:hideMark/>
          </w:tcPr>
          <w:p w14:paraId="5661EB41"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0.48 (0.27; 0.74)</w:t>
            </w:r>
          </w:p>
        </w:tc>
        <w:tc>
          <w:tcPr>
            <w:tcW w:w="709" w:type="dxa"/>
            <w:vMerge w:val="restart"/>
            <w:shd w:val="clear" w:color="auto" w:fill="auto"/>
            <w:vAlign w:val="center"/>
            <w:hideMark/>
          </w:tcPr>
          <w:p w14:paraId="058AF974"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81%</w:t>
            </w:r>
          </w:p>
        </w:tc>
      </w:tr>
      <w:tr w:rsidR="00433EEC" w:rsidRPr="007004F7" w14:paraId="7ADB3A43" w14:textId="77777777" w:rsidTr="00433EEC">
        <w:trPr>
          <w:trHeight w:val="288"/>
          <w:jc w:val="center"/>
        </w:trPr>
        <w:tc>
          <w:tcPr>
            <w:tcW w:w="3830" w:type="dxa"/>
            <w:vMerge/>
            <w:tcBorders>
              <w:right w:val="single" w:sz="4" w:space="0" w:color="auto"/>
            </w:tcBorders>
            <w:vAlign w:val="center"/>
            <w:hideMark/>
          </w:tcPr>
          <w:p w14:paraId="27703D95"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1416" w:type="dxa"/>
            <w:tcBorders>
              <w:left w:val="single" w:sz="4" w:space="0" w:color="auto"/>
            </w:tcBorders>
            <w:shd w:val="clear" w:color="auto" w:fill="auto"/>
            <w:vAlign w:val="center"/>
            <w:hideMark/>
          </w:tcPr>
          <w:p w14:paraId="17F733FB"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r w:rsidRPr="007004F7">
              <w:rPr>
                <w:rFonts w:ascii="Calibri" w:eastAsia="Times New Roman" w:hAnsi="Calibri" w:cs="Calibri"/>
                <w:b/>
                <w:bCs/>
                <w:color w:val="000000"/>
                <w:sz w:val="18"/>
                <w:szCs w:val="18"/>
                <w:lang w:val="en-GB" w:eastAsia="en-GB"/>
              </w:rPr>
              <w:t>Pack-years</w:t>
            </w:r>
          </w:p>
        </w:tc>
        <w:tc>
          <w:tcPr>
            <w:tcW w:w="851" w:type="dxa"/>
            <w:shd w:val="clear" w:color="auto" w:fill="auto"/>
            <w:vAlign w:val="center"/>
            <w:hideMark/>
          </w:tcPr>
          <w:p w14:paraId="0191D62A"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0.46</w:t>
            </w:r>
          </w:p>
        </w:tc>
        <w:tc>
          <w:tcPr>
            <w:tcW w:w="708" w:type="dxa"/>
            <w:vMerge/>
            <w:vAlign w:val="center"/>
            <w:hideMark/>
          </w:tcPr>
          <w:p w14:paraId="52D1C2A7"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426" w:type="dxa"/>
            <w:vMerge/>
            <w:vAlign w:val="center"/>
            <w:hideMark/>
          </w:tcPr>
          <w:p w14:paraId="54255FC1"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850" w:type="dxa"/>
            <w:vMerge/>
            <w:vAlign w:val="center"/>
            <w:hideMark/>
          </w:tcPr>
          <w:p w14:paraId="38D7414F"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567" w:type="dxa"/>
            <w:vMerge/>
            <w:vAlign w:val="center"/>
            <w:hideMark/>
          </w:tcPr>
          <w:p w14:paraId="34F15781"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1558" w:type="dxa"/>
            <w:shd w:val="clear" w:color="auto" w:fill="auto"/>
            <w:vAlign w:val="center"/>
            <w:hideMark/>
          </w:tcPr>
          <w:p w14:paraId="29B6C79B"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1 (0.99; 1.02)</w:t>
            </w:r>
          </w:p>
        </w:tc>
        <w:tc>
          <w:tcPr>
            <w:tcW w:w="709" w:type="dxa"/>
            <w:vMerge/>
            <w:vAlign w:val="center"/>
            <w:hideMark/>
          </w:tcPr>
          <w:p w14:paraId="641453AF"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r>
      <w:tr w:rsidR="00433EEC" w:rsidRPr="007004F7" w14:paraId="792624E7" w14:textId="77777777" w:rsidTr="00433EEC">
        <w:trPr>
          <w:trHeight w:val="288"/>
          <w:jc w:val="center"/>
        </w:trPr>
        <w:tc>
          <w:tcPr>
            <w:tcW w:w="3830" w:type="dxa"/>
            <w:vMerge w:val="restart"/>
            <w:tcBorders>
              <w:right w:val="single" w:sz="4" w:space="0" w:color="auto"/>
            </w:tcBorders>
            <w:shd w:val="clear" w:color="auto" w:fill="auto"/>
            <w:vAlign w:val="center"/>
            <w:hideMark/>
          </w:tcPr>
          <w:p w14:paraId="47570670"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Predicted logit of (</w:t>
            </w:r>
            <w:r w:rsidRPr="007004F7">
              <w:rPr>
                <w:rFonts w:ascii="Calibri" w:eastAsia="Times New Roman" w:hAnsi="Calibri" w:cs="Calibri"/>
                <w:b/>
                <w:bCs/>
                <w:color w:val="000000"/>
                <w:sz w:val="18"/>
                <w:szCs w:val="18"/>
                <w:lang w:val="en-GB" w:eastAsia="en-GB"/>
              </w:rPr>
              <w:t>GOLD D</w:t>
            </w:r>
            <w:r w:rsidRPr="007004F7">
              <w:rPr>
                <w:rFonts w:ascii="Calibri" w:eastAsia="Times New Roman" w:hAnsi="Calibri" w:cs="Calibri"/>
                <w:color w:val="000000"/>
                <w:sz w:val="18"/>
                <w:szCs w:val="18"/>
                <w:lang w:val="en-GB" w:eastAsia="en-GB"/>
              </w:rPr>
              <w:t>) = 0.88+(1.</w:t>
            </w:r>
            <w:proofErr w:type="gramStart"/>
            <w:r w:rsidRPr="007004F7">
              <w:rPr>
                <w:rFonts w:ascii="Calibri" w:eastAsia="Times New Roman" w:hAnsi="Calibri" w:cs="Calibri"/>
                <w:color w:val="000000"/>
                <w:sz w:val="18"/>
                <w:szCs w:val="18"/>
                <w:lang w:val="en-GB" w:eastAsia="en-GB"/>
              </w:rPr>
              <w:t>1)*</w:t>
            </w:r>
            <w:proofErr w:type="gramEnd"/>
            <w:r w:rsidRPr="007004F7">
              <w:rPr>
                <w:rFonts w:ascii="Calibri" w:eastAsia="Times New Roman" w:hAnsi="Calibri" w:cs="Calibri"/>
                <w:b/>
                <w:bCs/>
                <w:color w:val="000000"/>
                <w:sz w:val="18"/>
                <w:szCs w:val="18"/>
                <w:lang w:val="en-GB" w:eastAsia="en-GB"/>
              </w:rPr>
              <w:t>log</w:t>
            </w:r>
            <w:r w:rsidRPr="007004F7">
              <w:rPr>
                <w:rFonts w:ascii="Calibri" w:eastAsia="Times New Roman" w:hAnsi="Calibri" w:cs="Calibri"/>
                <w:b/>
                <w:bCs/>
                <w:color w:val="000000"/>
                <w:sz w:val="18"/>
                <w:szCs w:val="18"/>
                <w:vertAlign w:val="subscript"/>
                <w:lang w:val="en-GB" w:eastAsia="en-GB"/>
              </w:rPr>
              <w:t>2</w:t>
            </w:r>
            <w:r w:rsidRPr="007004F7">
              <w:rPr>
                <w:rFonts w:ascii="Calibri" w:eastAsia="Times New Roman" w:hAnsi="Calibri" w:cs="Calibri"/>
                <w:b/>
                <w:bCs/>
                <w:color w:val="000000"/>
                <w:sz w:val="18"/>
                <w:szCs w:val="18"/>
                <w:lang w:val="en-GB" w:eastAsia="en-GB"/>
              </w:rPr>
              <w:t>(Proteobacteria)+</w:t>
            </w:r>
            <w:r w:rsidRPr="007004F7">
              <w:rPr>
                <w:rFonts w:ascii="Calibri" w:eastAsia="Times New Roman" w:hAnsi="Calibri" w:cs="Calibri"/>
                <w:color w:val="000000"/>
                <w:sz w:val="18"/>
                <w:szCs w:val="18"/>
                <w:lang w:val="en-GB" w:eastAsia="en-GB"/>
              </w:rPr>
              <w:t>(0.01)</w:t>
            </w:r>
            <w:r w:rsidRPr="007004F7">
              <w:rPr>
                <w:rFonts w:ascii="Calibri" w:eastAsia="Times New Roman" w:hAnsi="Calibri" w:cs="Calibri"/>
                <w:b/>
                <w:bCs/>
                <w:color w:val="000000"/>
                <w:sz w:val="18"/>
                <w:szCs w:val="18"/>
                <w:lang w:val="en-GB" w:eastAsia="en-GB"/>
              </w:rPr>
              <w:t>*log</w:t>
            </w:r>
            <w:r w:rsidRPr="007004F7">
              <w:rPr>
                <w:rFonts w:ascii="Calibri" w:eastAsia="Times New Roman" w:hAnsi="Calibri" w:cs="Calibri"/>
                <w:b/>
                <w:bCs/>
                <w:color w:val="000000"/>
                <w:sz w:val="18"/>
                <w:szCs w:val="18"/>
                <w:vertAlign w:val="subscript"/>
                <w:lang w:val="en-GB" w:eastAsia="en-GB"/>
              </w:rPr>
              <w:t>2</w:t>
            </w:r>
            <w:r w:rsidRPr="007004F7">
              <w:rPr>
                <w:rFonts w:ascii="Calibri" w:eastAsia="Times New Roman" w:hAnsi="Calibri" w:cs="Calibri"/>
                <w:b/>
                <w:bCs/>
                <w:color w:val="000000"/>
                <w:sz w:val="18"/>
                <w:szCs w:val="18"/>
                <w:lang w:val="en-GB" w:eastAsia="en-GB"/>
              </w:rPr>
              <w:t>(Pack-Years)</w:t>
            </w:r>
          </w:p>
        </w:tc>
        <w:tc>
          <w:tcPr>
            <w:tcW w:w="1416" w:type="dxa"/>
            <w:tcBorders>
              <w:left w:val="single" w:sz="4" w:space="0" w:color="auto"/>
            </w:tcBorders>
            <w:shd w:val="clear" w:color="auto" w:fill="auto"/>
            <w:vAlign w:val="center"/>
            <w:hideMark/>
          </w:tcPr>
          <w:p w14:paraId="709ED851"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r w:rsidRPr="007004F7">
              <w:rPr>
                <w:rFonts w:ascii="Calibri" w:eastAsia="Times New Roman" w:hAnsi="Calibri" w:cs="Calibri"/>
                <w:b/>
                <w:bCs/>
                <w:color w:val="000000"/>
                <w:sz w:val="18"/>
                <w:szCs w:val="18"/>
                <w:lang w:val="en-GB" w:eastAsia="en-GB"/>
              </w:rPr>
              <w:t>Proteobacteria</w:t>
            </w:r>
          </w:p>
        </w:tc>
        <w:tc>
          <w:tcPr>
            <w:tcW w:w="851" w:type="dxa"/>
            <w:shd w:val="clear" w:color="auto" w:fill="auto"/>
            <w:vAlign w:val="center"/>
            <w:hideMark/>
          </w:tcPr>
          <w:p w14:paraId="18DD8F45"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0.007</w:t>
            </w:r>
          </w:p>
        </w:tc>
        <w:tc>
          <w:tcPr>
            <w:tcW w:w="708" w:type="dxa"/>
            <w:vMerge w:val="restart"/>
            <w:shd w:val="clear" w:color="auto" w:fill="auto"/>
            <w:vAlign w:val="center"/>
            <w:hideMark/>
          </w:tcPr>
          <w:p w14:paraId="06CDF6A7"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12.5</w:t>
            </w:r>
          </w:p>
        </w:tc>
        <w:tc>
          <w:tcPr>
            <w:tcW w:w="426" w:type="dxa"/>
            <w:vMerge w:val="restart"/>
            <w:shd w:val="clear" w:color="auto" w:fill="auto"/>
            <w:vAlign w:val="center"/>
            <w:hideMark/>
          </w:tcPr>
          <w:p w14:paraId="267C1B11"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2</w:t>
            </w:r>
          </w:p>
        </w:tc>
        <w:tc>
          <w:tcPr>
            <w:tcW w:w="850" w:type="dxa"/>
            <w:vMerge w:val="restart"/>
            <w:shd w:val="clear" w:color="auto" w:fill="auto"/>
            <w:vAlign w:val="center"/>
            <w:hideMark/>
          </w:tcPr>
          <w:p w14:paraId="02273013"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0.002</w:t>
            </w:r>
          </w:p>
        </w:tc>
        <w:tc>
          <w:tcPr>
            <w:tcW w:w="567" w:type="dxa"/>
            <w:vMerge w:val="restart"/>
            <w:shd w:val="clear" w:color="auto" w:fill="auto"/>
            <w:vAlign w:val="center"/>
            <w:hideMark/>
          </w:tcPr>
          <w:p w14:paraId="346BF4A9"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65.5</w:t>
            </w:r>
          </w:p>
        </w:tc>
        <w:tc>
          <w:tcPr>
            <w:tcW w:w="1558" w:type="dxa"/>
            <w:shd w:val="clear" w:color="auto" w:fill="auto"/>
            <w:vAlign w:val="center"/>
            <w:hideMark/>
          </w:tcPr>
          <w:p w14:paraId="2C95D43C"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3 (1.48; 7.64)</w:t>
            </w:r>
          </w:p>
        </w:tc>
        <w:tc>
          <w:tcPr>
            <w:tcW w:w="709" w:type="dxa"/>
            <w:vMerge w:val="restart"/>
            <w:shd w:val="clear" w:color="auto" w:fill="auto"/>
            <w:vAlign w:val="center"/>
            <w:hideMark/>
          </w:tcPr>
          <w:p w14:paraId="0AFBCE4D"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75%</w:t>
            </w:r>
          </w:p>
        </w:tc>
      </w:tr>
      <w:tr w:rsidR="00433EEC" w:rsidRPr="007004F7" w14:paraId="3918563C" w14:textId="77777777" w:rsidTr="00433EEC">
        <w:trPr>
          <w:trHeight w:val="288"/>
          <w:jc w:val="center"/>
        </w:trPr>
        <w:tc>
          <w:tcPr>
            <w:tcW w:w="3830" w:type="dxa"/>
            <w:vMerge/>
            <w:tcBorders>
              <w:right w:val="single" w:sz="4" w:space="0" w:color="auto"/>
            </w:tcBorders>
            <w:vAlign w:val="center"/>
            <w:hideMark/>
          </w:tcPr>
          <w:p w14:paraId="4762B651"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1416" w:type="dxa"/>
            <w:tcBorders>
              <w:left w:val="single" w:sz="4" w:space="0" w:color="auto"/>
            </w:tcBorders>
            <w:shd w:val="clear" w:color="auto" w:fill="auto"/>
            <w:vAlign w:val="center"/>
            <w:hideMark/>
          </w:tcPr>
          <w:p w14:paraId="30F919C4"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r w:rsidRPr="007004F7">
              <w:rPr>
                <w:rFonts w:ascii="Calibri" w:eastAsia="Times New Roman" w:hAnsi="Calibri" w:cs="Calibri"/>
                <w:b/>
                <w:bCs/>
                <w:color w:val="000000"/>
                <w:sz w:val="18"/>
                <w:szCs w:val="18"/>
                <w:lang w:val="en-GB" w:eastAsia="en-GB"/>
              </w:rPr>
              <w:t>Pack-years</w:t>
            </w:r>
          </w:p>
        </w:tc>
        <w:tc>
          <w:tcPr>
            <w:tcW w:w="851" w:type="dxa"/>
            <w:shd w:val="clear" w:color="auto" w:fill="auto"/>
            <w:vAlign w:val="center"/>
            <w:hideMark/>
          </w:tcPr>
          <w:p w14:paraId="5F5E53F6"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0.16</w:t>
            </w:r>
          </w:p>
        </w:tc>
        <w:tc>
          <w:tcPr>
            <w:tcW w:w="708" w:type="dxa"/>
            <w:vMerge/>
            <w:vAlign w:val="center"/>
            <w:hideMark/>
          </w:tcPr>
          <w:p w14:paraId="40C7E374"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426" w:type="dxa"/>
            <w:vMerge/>
            <w:vAlign w:val="center"/>
            <w:hideMark/>
          </w:tcPr>
          <w:p w14:paraId="4F6D9FDF"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850" w:type="dxa"/>
            <w:vMerge/>
            <w:vAlign w:val="center"/>
            <w:hideMark/>
          </w:tcPr>
          <w:p w14:paraId="3B9B19D6"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567" w:type="dxa"/>
            <w:vMerge/>
            <w:vAlign w:val="center"/>
            <w:hideMark/>
          </w:tcPr>
          <w:p w14:paraId="483AE8D4"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1558" w:type="dxa"/>
            <w:shd w:val="clear" w:color="auto" w:fill="auto"/>
            <w:vAlign w:val="center"/>
            <w:hideMark/>
          </w:tcPr>
          <w:p w14:paraId="1702EECD"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1.01 (1; 1.02)</w:t>
            </w:r>
          </w:p>
        </w:tc>
        <w:tc>
          <w:tcPr>
            <w:tcW w:w="709" w:type="dxa"/>
            <w:vMerge/>
            <w:vAlign w:val="center"/>
            <w:hideMark/>
          </w:tcPr>
          <w:p w14:paraId="668FE385"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r>
      <w:tr w:rsidR="00433EEC" w:rsidRPr="007004F7" w14:paraId="581EED0E" w14:textId="77777777" w:rsidTr="00433EEC">
        <w:trPr>
          <w:trHeight w:val="288"/>
          <w:jc w:val="center"/>
        </w:trPr>
        <w:tc>
          <w:tcPr>
            <w:tcW w:w="3830" w:type="dxa"/>
            <w:vMerge w:val="restart"/>
            <w:tcBorders>
              <w:right w:val="single" w:sz="4" w:space="0" w:color="auto"/>
            </w:tcBorders>
            <w:shd w:val="clear" w:color="auto" w:fill="auto"/>
            <w:vAlign w:val="center"/>
            <w:hideMark/>
          </w:tcPr>
          <w:p w14:paraId="75B10B5E"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Predicted logit of (</w:t>
            </w:r>
            <w:r w:rsidRPr="007004F7">
              <w:rPr>
                <w:rFonts w:ascii="Calibri" w:eastAsia="Times New Roman" w:hAnsi="Calibri" w:cs="Calibri"/>
                <w:b/>
                <w:bCs/>
                <w:color w:val="000000"/>
                <w:sz w:val="18"/>
                <w:szCs w:val="18"/>
                <w:lang w:val="en-GB" w:eastAsia="en-GB"/>
              </w:rPr>
              <w:t>GOLD D</w:t>
            </w:r>
            <w:r w:rsidRPr="007004F7">
              <w:rPr>
                <w:rFonts w:ascii="Calibri" w:eastAsia="Times New Roman" w:hAnsi="Calibri" w:cs="Calibri"/>
                <w:color w:val="000000"/>
                <w:sz w:val="18"/>
                <w:szCs w:val="18"/>
                <w:lang w:val="en-GB" w:eastAsia="en-GB"/>
              </w:rPr>
              <w:t>) = -1.84+(1.</w:t>
            </w:r>
            <w:proofErr w:type="gramStart"/>
            <w:r w:rsidRPr="007004F7">
              <w:rPr>
                <w:rFonts w:ascii="Calibri" w:eastAsia="Times New Roman" w:hAnsi="Calibri" w:cs="Calibri"/>
                <w:color w:val="000000"/>
                <w:sz w:val="18"/>
                <w:szCs w:val="18"/>
                <w:lang w:val="en-GB" w:eastAsia="en-GB"/>
              </w:rPr>
              <w:t>04)*</w:t>
            </w:r>
            <w:proofErr w:type="gramEnd"/>
            <w:r w:rsidRPr="007004F7">
              <w:rPr>
                <w:rFonts w:ascii="Calibri" w:eastAsia="Times New Roman" w:hAnsi="Calibri" w:cs="Calibri"/>
                <w:b/>
                <w:bCs/>
                <w:color w:val="000000"/>
                <w:sz w:val="18"/>
                <w:szCs w:val="18"/>
                <w:lang w:val="en-GB" w:eastAsia="en-GB"/>
              </w:rPr>
              <w:t>log</w:t>
            </w:r>
            <w:r w:rsidRPr="007004F7">
              <w:rPr>
                <w:rFonts w:ascii="Calibri" w:eastAsia="Times New Roman" w:hAnsi="Calibri" w:cs="Calibri"/>
                <w:b/>
                <w:bCs/>
                <w:color w:val="000000"/>
                <w:sz w:val="18"/>
                <w:szCs w:val="18"/>
                <w:vertAlign w:val="subscript"/>
                <w:lang w:val="en-GB" w:eastAsia="en-GB"/>
              </w:rPr>
              <w:t>2</w:t>
            </w:r>
            <w:r w:rsidRPr="007004F7">
              <w:rPr>
                <w:rFonts w:ascii="Calibri" w:eastAsia="Times New Roman" w:hAnsi="Calibri" w:cs="Calibri"/>
                <w:b/>
                <w:bCs/>
                <w:color w:val="000000"/>
                <w:sz w:val="18"/>
                <w:szCs w:val="18"/>
                <w:lang w:val="en-GB" w:eastAsia="en-GB"/>
              </w:rPr>
              <w:t>(Proteobacteria)</w:t>
            </w:r>
            <w:r w:rsidRPr="007004F7">
              <w:rPr>
                <w:rFonts w:ascii="Calibri" w:eastAsia="Times New Roman" w:hAnsi="Calibri" w:cs="Calibri"/>
                <w:color w:val="000000"/>
                <w:sz w:val="18"/>
                <w:szCs w:val="18"/>
                <w:lang w:val="en-GB" w:eastAsia="en-GB"/>
              </w:rPr>
              <w:t>+(-0.83)*</w:t>
            </w:r>
            <w:r w:rsidRPr="007004F7">
              <w:rPr>
                <w:rFonts w:ascii="Calibri" w:eastAsia="Times New Roman" w:hAnsi="Calibri" w:cs="Calibri"/>
                <w:b/>
                <w:bCs/>
                <w:color w:val="000000"/>
                <w:sz w:val="18"/>
                <w:szCs w:val="18"/>
                <w:lang w:val="en-GB" w:eastAsia="en-GB"/>
              </w:rPr>
              <w:t>log</w:t>
            </w:r>
            <w:r w:rsidRPr="007004F7">
              <w:rPr>
                <w:rFonts w:ascii="Calibri" w:eastAsia="Times New Roman" w:hAnsi="Calibri" w:cs="Calibri"/>
                <w:b/>
                <w:bCs/>
                <w:color w:val="000000"/>
                <w:sz w:val="18"/>
                <w:szCs w:val="18"/>
                <w:vertAlign w:val="subscript"/>
                <w:lang w:val="en-GB" w:eastAsia="en-GB"/>
              </w:rPr>
              <w:t>2</w:t>
            </w:r>
            <w:r w:rsidRPr="007004F7">
              <w:rPr>
                <w:rFonts w:ascii="Calibri" w:eastAsia="Times New Roman" w:hAnsi="Calibri" w:cs="Calibri"/>
                <w:b/>
                <w:bCs/>
                <w:color w:val="000000"/>
                <w:sz w:val="18"/>
                <w:szCs w:val="18"/>
                <w:lang w:val="en-GB" w:eastAsia="en-GB"/>
              </w:rPr>
              <w:t>(</w:t>
            </w:r>
            <w:r w:rsidRPr="007004F7">
              <w:rPr>
                <w:rFonts w:ascii="Calibri" w:eastAsia="Times New Roman" w:hAnsi="Calibri" w:cs="Calibri"/>
                <w:b/>
                <w:bCs/>
                <w:i/>
                <w:iCs/>
                <w:color w:val="000000"/>
                <w:sz w:val="18"/>
                <w:szCs w:val="18"/>
                <w:lang w:val="en-GB" w:eastAsia="en-GB"/>
              </w:rPr>
              <w:t>Prevotella)+</w:t>
            </w:r>
            <w:r w:rsidRPr="007004F7">
              <w:rPr>
                <w:rFonts w:ascii="Calibri" w:eastAsia="Times New Roman" w:hAnsi="Calibri" w:cs="Calibri"/>
                <w:color w:val="000000"/>
                <w:sz w:val="18"/>
                <w:szCs w:val="18"/>
                <w:lang w:val="en-GB" w:eastAsia="en-GB"/>
              </w:rPr>
              <w:t>(0.002)</w:t>
            </w:r>
            <w:r w:rsidRPr="007004F7">
              <w:rPr>
                <w:rFonts w:ascii="Calibri" w:eastAsia="Times New Roman" w:hAnsi="Calibri" w:cs="Calibri"/>
                <w:b/>
                <w:bCs/>
                <w:color w:val="000000"/>
                <w:sz w:val="18"/>
                <w:szCs w:val="18"/>
                <w:lang w:val="en-GB" w:eastAsia="en-GB"/>
              </w:rPr>
              <w:t>*log</w:t>
            </w:r>
            <w:r w:rsidRPr="007004F7">
              <w:rPr>
                <w:rFonts w:ascii="Calibri" w:eastAsia="Times New Roman" w:hAnsi="Calibri" w:cs="Calibri"/>
                <w:b/>
                <w:bCs/>
                <w:color w:val="000000"/>
                <w:sz w:val="18"/>
                <w:szCs w:val="18"/>
                <w:vertAlign w:val="subscript"/>
                <w:lang w:val="en-GB" w:eastAsia="en-GB"/>
              </w:rPr>
              <w:t>2</w:t>
            </w:r>
            <w:r w:rsidRPr="007004F7">
              <w:rPr>
                <w:rFonts w:ascii="Calibri" w:eastAsia="Times New Roman" w:hAnsi="Calibri" w:cs="Calibri"/>
                <w:b/>
                <w:bCs/>
                <w:color w:val="000000"/>
                <w:sz w:val="18"/>
                <w:szCs w:val="18"/>
                <w:lang w:val="en-GB" w:eastAsia="en-GB"/>
              </w:rPr>
              <w:t>(Pack-Years)</w:t>
            </w:r>
          </w:p>
        </w:tc>
        <w:tc>
          <w:tcPr>
            <w:tcW w:w="1416" w:type="dxa"/>
            <w:tcBorders>
              <w:left w:val="single" w:sz="4" w:space="0" w:color="auto"/>
            </w:tcBorders>
            <w:shd w:val="clear" w:color="auto" w:fill="auto"/>
            <w:vAlign w:val="center"/>
            <w:hideMark/>
          </w:tcPr>
          <w:p w14:paraId="240E119B"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r w:rsidRPr="007004F7">
              <w:rPr>
                <w:rFonts w:ascii="Calibri" w:eastAsia="Times New Roman" w:hAnsi="Calibri" w:cs="Calibri"/>
                <w:b/>
                <w:bCs/>
                <w:color w:val="000000"/>
                <w:sz w:val="18"/>
                <w:szCs w:val="18"/>
                <w:lang w:val="en-GB" w:eastAsia="en-GB"/>
              </w:rPr>
              <w:t>Proteobacteria</w:t>
            </w:r>
          </w:p>
        </w:tc>
        <w:tc>
          <w:tcPr>
            <w:tcW w:w="851" w:type="dxa"/>
            <w:shd w:val="clear" w:color="auto" w:fill="auto"/>
            <w:vAlign w:val="center"/>
            <w:hideMark/>
          </w:tcPr>
          <w:p w14:paraId="4AC635E8"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0.02</w:t>
            </w:r>
          </w:p>
        </w:tc>
        <w:tc>
          <w:tcPr>
            <w:tcW w:w="708" w:type="dxa"/>
            <w:vMerge w:val="restart"/>
            <w:shd w:val="clear" w:color="auto" w:fill="auto"/>
            <w:vAlign w:val="center"/>
            <w:hideMark/>
          </w:tcPr>
          <w:p w14:paraId="310EF3E0"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22.02</w:t>
            </w:r>
          </w:p>
        </w:tc>
        <w:tc>
          <w:tcPr>
            <w:tcW w:w="426" w:type="dxa"/>
            <w:vMerge w:val="restart"/>
            <w:shd w:val="clear" w:color="auto" w:fill="auto"/>
            <w:vAlign w:val="center"/>
            <w:hideMark/>
          </w:tcPr>
          <w:p w14:paraId="25AEB61D"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3</w:t>
            </w:r>
          </w:p>
        </w:tc>
        <w:tc>
          <w:tcPr>
            <w:tcW w:w="850" w:type="dxa"/>
            <w:vMerge w:val="restart"/>
            <w:shd w:val="clear" w:color="auto" w:fill="auto"/>
            <w:vAlign w:val="center"/>
            <w:hideMark/>
          </w:tcPr>
          <w:p w14:paraId="3A8D32EE"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&lt;0.0001</w:t>
            </w:r>
          </w:p>
        </w:tc>
        <w:tc>
          <w:tcPr>
            <w:tcW w:w="567" w:type="dxa"/>
            <w:vMerge w:val="restart"/>
            <w:shd w:val="clear" w:color="auto" w:fill="auto"/>
            <w:vAlign w:val="center"/>
            <w:hideMark/>
          </w:tcPr>
          <w:p w14:paraId="55E7975F"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55.1</w:t>
            </w:r>
          </w:p>
        </w:tc>
        <w:tc>
          <w:tcPr>
            <w:tcW w:w="1558" w:type="dxa"/>
            <w:shd w:val="clear" w:color="auto" w:fill="auto"/>
            <w:vAlign w:val="center"/>
            <w:hideMark/>
          </w:tcPr>
          <w:p w14:paraId="30A6F938"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2.83 (1.34; 7.65)</w:t>
            </w:r>
          </w:p>
        </w:tc>
        <w:tc>
          <w:tcPr>
            <w:tcW w:w="709" w:type="dxa"/>
            <w:vMerge w:val="restart"/>
            <w:shd w:val="clear" w:color="auto" w:fill="auto"/>
            <w:vAlign w:val="center"/>
            <w:hideMark/>
          </w:tcPr>
          <w:p w14:paraId="10B3ADCB"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87%</w:t>
            </w:r>
          </w:p>
        </w:tc>
      </w:tr>
      <w:tr w:rsidR="00433EEC" w:rsidRPr="007004F7" w14:paraId="36EA6760" w14:textId="77777777" w:rsidTr="00433EEC">
        <w:trPr>
          <w:trHeight w:val="288"/>
          <w:jc w:val="center"/>
        </w:trPr>
        <w:tc>
          <w:tcPr>
            <w:tcW w:w="3830" w:type="dxa"/>
            <w:vMerge/>
            <w:tcBorders>
              <w:right w:val="single" w:sz="4" w:space="0" w:color="auto"/>
            </w:tcBorders>
            <w:vAlign w:val="center"/>
            <w:hideMark/>
          </w:tcPr>
          <w:p w14:paraId="357927A6"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1416" w:type="dxa"/>
            <w:tcBorders>
              <w:left w:val="single" w:sz="4" w:space="0" w:color="auto"/>
            </w:tcBorders>
            <w:shd w:val="clear" w:color="auto" w:fill="auto"/>
            <w:vAlign w:val="center"/>
            <w:hideMark/>
          </w:tcPr>
          <w:p w14:paraId="03F2E4EC" w14:textId="77777777" w:rsidR="00433EEC" w:rsidRPr="007004F7" w:rsidRDefault="00433EEC" w:rsidP="004B55E7">
            <w:pPr>
              <w:spacing w:after="0" w:line="240" w:lineRule="auto"/>
              <w:jc w:val="center"/>
              <w:rPr>
                <w:rFonts w:ascii="Calibri" w:eastAsia="Times New Roman" w:hAnsi="Calibri" w:cs="Calibri"/>
                <w:b/>
                <w:bCs/>
                <w:i/>
                <w:iCs/>
                <w:color w:val="000000"/>
                <w:sz w:val="18"/>
                <w:szCs w:val="18"/>
                <w:lang w:val="en-GB" w:eastAsia="en-GB"/>
              </w:rPr>
            </w:pPr>
            <w:r w:rsidRPr="007004F7">
              <w:rPr>
                <w:rFonts w:ascii="Calibri" w:eastAsia="Times New Roman" w:hAnsi="Calibri" w:cs="Calibri"/>
                <w:b/>
                <w:bCs/>
                <w:i/>
                <w:iCs/>
                <w:color w:val="000000"/>
                <w:sz w:val="18"/>
                <w:szCs w:val="18"/>
                <w:lang w:val="en-GB" w:eastAsia="en-GB"/>
              </w:rPr>
              <w:t>Prevotella</w:t>
            </w:r>
          </w:p>
        </w:tc>
        <w:tc>
          <w:tcPr>
            <w:tcW w:w="851" w:type="dxa"/>
            <w:shd w:val="clear" w:color="auto" w:fill="auto"/>
            <w:vAlign w:val="center"/>
            <w:hideMark/>
          </w:tcPr>
          <w:p w14:paraId="1844EE81"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0.002</w:t>
            </w:r>
          </w:p>
        </w:tc>
        <w:tc>
          <w:tcPr>
            <w:tcW w:w="708" w:type="dxa"/>
            <w:vMerge/>
            <w:vAlign w:val="center"/>
            <w:hideMark/>
          </w:tcPr>
          <w:p w14:paraId="277E8A41"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426" w:type="dxa"/>
            <w:vMerge/>
            <w:vAlign w:val="center"/>
            <w:hideMark/>
          </w:tcPr>
          <w:p w14:paraId="3C8AACB7"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850" w:type="dxa"/>
            <w:vMerge/>
            <w:vAlign w:val="center"/>
            <w:hideMark/>
          </w:tcPr>
          <w:p w14:paraId="2F10BECD"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567" w:type="dxa"/>
            <w:vMerge/>
            <w:vAlign w:val="center"/>
            <w:hideMark/>
          </w:tcPr>
          <w:p w14:paraId="30747B8A"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1558" w:type="dxa"/>
            <w:shd w:val="clear" w:color="auto" w:fill="auto"/>
            <w:vAlign w:val="center"/>
            <w:hideMark/>
          </w:tcPr>
          <w:p w14:paraId="7FB43864"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0.44 (0.23; 0.69)</w:t>
            </w:r>
          </w:p>
        </w:tc>
        <w:tc>
          <w:tcPr>
            <w:tcW w:w="709" w:type="dxa"/>
            <w:vMerge/>
            <w:vAlign w:val="center"/>
            <w:hideMark/>
          </w:tcPr>
          <w:p w14:paraId="3FE45DAC"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r>
      <w:tr w:rsidR="00433EEC" w:rsidRPr="007004F7" w14:paraId="47D33CB8" w14:textId="77777777" w:rsidTr="00433EEC">
        <w:trPr>
          <w:trHeight w:val="288"/>
          <w:jc w:val="center"/>
        </w:trPr>
        <w:tc>
          <w:tcPr>
            <w:tcW w:w="3830" w:type="dxa"/>
            <w:vMerge/>
            <w:tcBorders>
              <w:right w:val="single" w:sz="4" w:space="0" w:color="auto"/>
            </w:tcBorders>
            <w:vAlign w:val="center"/>
            <w:hideMark/>
          </w:tcPr>
          <w:p w14:paraId="598CAA2F"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1416" w:type="dxa"/>
            <w:tcBorders>
              <w:left w:val="single" w:sz="4" w:space="0" w:color="auto"/>
            </w:tcBorders>
            <w:shd w:val="clear" w:color="auto" w:fill="auto"/>
            <w:vAlign w:val="center"/>
            <w:hideMark/>
          </w:tcPr>
          <w:p w14:paraId="0469C4E3"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r w:rsidRPr="007004F7">
              <w:rPr>
                <w:rFonts w:ascii="Calibri" w:eastAsia="Times New Roman" w:hAnsi="Calibri" w:cs="Calibri"/>
                <w:b/>
                <w:bCs/>
                <w:color w:val="000000"/>
                <w:sz w:val="18"/>
                <w:szCs w:val="18"/>
                <w:lang w:val="en-GB" w:eastAsia="en-GB"/>
              </w:rPr>
              <w:t>Pack-years</w:t>
            </w:r>
          </w:p>
        </w:tc>
        <w:tc>
          <w:tcPr>
            <w:tcW w:w="851" w:type="dxa"/>
            <w:shd w:val="clear" w:color="auto" w:fill="auto"/>
            <w:vAlign w:val="center"/>
            <w:hideMark/>
          </w:tcPr>
          <w:p w14:paraId="68B2FCF2"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0.8</w:t>
            </w:r>
          </w:p>
        </w:tc>
        <w:tc>
          <w:tcPr>
            <w:tcW w:w="708" w:type="dxa"/>
            <w:vMerge/>
            <w:vAlign w:val="center"/>
            <w:hideMark/>
          </w:tcPr>
          <w:p w14:paraId="359ED0DE"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426" w:type="dxa"/>
            <w:vMerge/>
            <w:vAlign w:val="center"/>
            <w:hideMark/>
          </w:tcPr>
          <w:p w14:paraId="28BF9F47"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850" w:type="dxa"/>
            <w:vMerge/>
            <w:vAlign w:val="center"/>
            <w:hideMark/>
          </w:tcPr>
          <w:p w14:paraId="5A4E3D55"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567" w:type="dxa"/>
            <w:vMerge/>
            <w:vAlign w:val="center"/>
            <w:hideMark/>
          </w:tcPr>
          <w:p w14:paraId="0693DE38"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1558" w:type="dxa"/>
            <w:shd w:val="clear" w:color="auto" w:fill="auto"/>
            <w:vAlign w:val="center"/>
            <w:hideMark/>
          </w:tcPr>
          <w:p w14:paraId="71C0B2E1"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1 (0.98; 1.02)</w:t>
            </w:r>
          </w:p>
        </w:tc>
        <w:tc>
          <w:tcPr>
            <w:tcW w:w="709" w:type="dxa"/>
            <w:vMerge/>
            <w:vAlign w:val="center"/>
            <w:hideMark/>
          </w:tcPr>
          <w:p w14:paraId="089B45D9"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r>
      <w:tr w:rsidR="00433EEC" w:rsidRPr="007004F7" w14:paraId="271AD028" w14:textId="77777777" w:rsidTr="00433EEC">
        <w:trPr>
          <w:trHeight w:val="288"/>
          <w:jc w:val="center"/>
        </w:trPr>
        <w:tc>
          <w:tcPr>
            <w:tcW w:w="3830" w:type="dxa"/>
            <w:vMerge w:val="restart"/>
            <w:tcBorders>
              <w:right w:val="single" w:sz="4" w:space="0" w:color="auto"/>
            </w:tcBorders>
            <w:shd w:val="clear" w:color="auto" w:fill="auto"/>
            <w:vAlign w:val="center"/>
            <w:hideMark/>
          </w:tcPr>
          <w:p w14:paraId="0DCD431A"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Predicted logit of (</w:t>
            </w:r>
            <w:r w:rsidRPr="007004F7">
              <w:rPr>
                <w:rFonts w:ascii="Calibri" w:eastAsia="Times New Roman" w:hAnsi="Calibri" w:cs="Calibri"/>
                <w:b/>
                <w:bCs/>
                <w:color w:val="000000"/>
                <w:sz w:val="18"/>
                <w:szCs w:val="18"/>
                <w:lang w:val="en-GB" w:eastAsia="en-GB"/>
              </w:rPr>
              <w:t>Hospital admission</w:t>
            </w:r>
            <w:r w:rsidRPr="007004F7">
              <w:rPr>
                <w:rFonts w:ascii="Calibri" w:eastAsia="Times New Roman" w:hAnsi="Calibri" w:cs="Calibri"/>
                <w:color w:val="000000"/>
                <w:sz w:val="18"/>
                <w:szCs w:val="18"/>
                <w:lang w:val="en-GB" w:eastAsia="en-GB"/>
              </w:rPr>
              <w:t>) = -4.28+(-0.</w:t>
            </w:r>
            <w:proofErr w:type="gramStart"/>
            <w:r w:rsidRPr="007004F7">
              <w:rPr>
                <w:rFonts w:ascii="Calibri" w:eastAsia="Times New Roman" w:hAnsi="Calibri" w:cs="Calibri"/>
                <w:color w:val="000000"/>
                <w:sz w:val="18"/>
                <w:szCs w:val="18"/>
                <w:lang w:val="en-GB" w:eastAsia="en-GB"/>
              </w:rPr>
              <w:t>53)*</w:t>
            </w:r>
            <w:proofErr w:type="gramEnd"/>
            <w:r w:rsidRPr="007004F7">
              <w:rPr>
                <w:rFonts w:ascii="Calibri" w:eastAsia="Times New Roman" w:hAnsi="Calibri" w:cs="Calibri"/>
                <w:b/>
                <w:bCs/>
                <w:color w:val="000000"/>
                <w:sz w:val="18"/>
                <w:szCs w:val="18"/>
                <w:lang w:val="en-GB" w:eastAsia="en-GB"/>
              </w:rPr>
              <w:t>log</w:t>
            </w:r>
            <w:r w:rsidRPr="007004F7">
              <w:rPr>
                <w:rFonts w:ascii="Calibri" w:eastAsia="Times New Roman" w:hAnsi="Calibri" w:cs="Calibri"/>
                <w:b/>
                <w:bCs/>
                <w:color w:val="000000"/>
                <w:sz w:val="18"/>
                <w:szCs w:val="18"/>
                <w:vertAlign w:val="subscript"/>
                <w:lang w:val="en-GB" w:eastAsia="en-GB"/>
              </w:rPr>
              <w:t>2</w:t>
            </w:r>
            <w:r w:rsidRPr="007004F7">
              <w:rPr>
                <w:rFonts w:ascii="Calibri" w:eastAsia="Times New Roman" w:hAnsi="Calibri" w:cs="Calibri"/>
                <w:b/>
                <w:bCs/>
                <w:color w:val="000000"/>
                <w:sz w:val="18"/>
                <w:szCs w:val="18"/>
                <w:lang w:val="en-GB" w:eastAsia="en-GB"/>
              </w:rPr>
              <w:t>(</w:t>
            </w:r>
            <w:r w:rsidRPr="007004F7">
              <w:rPr>
                <w:rFonts w:ascii="Calibri" w:eastAsia="Times New Roman" w:hAnsi="Calibri" w:cs="Calibri"/>
                <w:b/>
                <w:bCs/>
                <w:i/>
                <w:iCs/>
                <w:color w:val="000000"/>
                <w:sz w:val="18"/>
                <w:szCs w:val="18"/>
                <w:lang w:val="en-GB" w:eastAsia="en-GB"/>
              </w:rPr>
              <w:t>Prevotella</w:t>
            </w:r>
            <w:r w:rsidRPr="007004F7">
              <w:rPr>
                <w:rFonts w:ascii="Calibri" w:eastAsia="Times New Roman" w:hAnsi="Calibri" w:cs="Calibri"/>
                <w:b/>
                <w:bCs/>
                <w:color w:val="000000"/>
                <w:sz w:val="18"/>
                <w:szCs w:val="18"/>
                <w:lang w:val="en-GB" w:eastAsia="en-GB"/>
              </w:rPr>
              <w:t>)</w:t>
            </w:r>
            <w:r w:rsidRPr="007004F7">
              <w:rPr>
                <w:rFonts w:ascii="Calibri" w:eastAsia="Times New Roman" w:hAnsi="Calibri" w:cs="Calibri"/>
                <w:color w:val="000000"/>
                <w:sz w:val="18"/>
                <w:szCs w:val="18"/>
                <w:lang w:val="en-GB" w:eastAsia="en-GB"/>
              </w:rPr>
              <w:t>+(0.01)</w:t>
            </w:r>
            <w:r w:rsidRPr="007004F7">
              <w:rPr>
                <w:rFonts w:ascii="Calibri" w:eastAsia="Times New Roman" w:hAnsi="Calibri" w:cs="Calibri"/>
                <w:b/>
                <w:bCs/>
                <w:color w:val="000000"/>
                <w:sz w:val="18"/>
                <w:szCs w:val="18"/>
                <w:lang w:val="en-GB" w:eastAsia="en-GB"/>
              </w:rPr>
              <w:t>*log</w:t>
            </w:r>
            <w:r w:rsidRPr="007004F7">
              <w:rPr>
                <w:rFonts w:ascii="Calibri" w:eastAsia="Times New Roman" w:hAnsi="Calibri" w:cs="Calibri"/>
                <w:b/>
                <w:bCs/>
                <w:color w:val="000000"/>
                <w:sz w:val="18"/>
                <w:szCs w:val="18"/>
                <w:vertAlign w:val="subscript"/>
                <w:lang w:val="en-GB" w:eastAsia="en-GB"/>
              </w:rPr>
              <w:t>2</w:t>
            </w:r>
            <w:r w:rsidRPr="007004F7">
              <w:rPr>
                <w:rFonts w:ascii="Calibri" w:eastAsia="Times New Roman" w:hAnsi="Calibri" w:cs="Calibri"/>
                <w:b/>
                <w:bCs/>
                <w:color w:val="000000"/>
                <w:sz w:val="18"/>
                <w:szCs w:val="18"/>
                <w:lang w:val="en-GB" w:eastAsia="en-GB"/>
              </w:rPr>
              <w:t>(Pack-Years)</w:t>
            </w:r>
          </w:p>
        </w:tc>
        <w:tc>
          <w:tcPr>
            <w:tcW w:w="1416" w:type="dxa"/>
            <w:tcBorders>
              <w:left w:val="single" w:sz="4" w:space="0" w:color="auto"/>
            </w:tcBorders>
            <w:shd w:val="clear" w:color="auto" w:fill="auto"/>
            <w:vAlign w:val="center"/>
            <w:hideMark/>
          </w:tcPr>
          <w:p w14:paraId="1693F146" w14:textId="77777777" w:rsidR="00433EEC" w:rsidRPr="007004F7" w:rsidRDefault="00433EEC" w:rsidP="004B55E7">
            <w:pPr>
              <w:spacing w:after="0" w:line="240" w:lineRule="auto"/>
              <w:jc w:val="center"/>
              <w:rPr>
                <w:rFonts w:ascii="Calibri" w:eastAsia="Times New Roman" w:hAnsi="Calibri" w:cs="Calibri"/>
                <w:b/>
                <w:bCs/>
                <w:i/>
                <w:iCs/>
                <w:color w:val="000000"/>
                <w:sz w:val="18"/>
                <w:szCs w:val="18"/>
                <w:lang w:val="en-GB" w:eastAsia="en-GB"/>
              </w:rPr>
            </w:pPr>
            <w:r w:rsidRPr="007004F7">
              <w:rPr>
                <w:rFonts w:ascii="Calibri" w:eastAsia="Times New Roman" w:hAnsi="Calibri" w:cs="Calibri"/>
                <w:b/>
                <w:bCs/>
                <w:i/>
                <w:iCs/>
                <w:color w:val="000000"/>
                <w:sz w:val="18"/>
                <w:szCs w:val="18"/>
                <w:lang w:val="en-GB" w:eastAsia="en-GB"/>
              </w:rPr>
              <w:t>Prevotella</w:t>
            </w:r>
          </w:p>
        </w:tc>
        <w:tc>
          <w:tcPr>
            <w:tcW w:w="851" w:type="dxa"/>
            <w:shd w:val="clear" w:color="auto" w:fill="auto"/>
            <w:vAlign w:val="center"/>
            <w:hideMark/>
          </w:tcPr>
          <w:p w14:paraId="449BC014"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0.02</w:t>
            </w:r>
          </w:p>
        </w:tc>
        <w:tc>
          <w:tcPr>
            <w:tcW w:w="708" w:type="dxa"/>
            <w:vMerge w:val="restart"/>
            <w:shd w:val="clear" w:color="auto" w:fill="auto"/>
            <w:vAlign w:val="center"/>
            <w:hideMark/>
          </w:tcPr>
          <w:p w14:paraId="26249B34"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10.3</w:t>
            </w:r>
          </w:p>
        </w:tc>
        <w:tc>
          <w:tcPr>
            <w:tcW w:w="426" w:type="dxa"/>
            <w:vMerge w:val="restart"/>
            <w:shd w:val="clear" w:color="auto" w:fill="auto"/>
            <w:vAlign w:val="center"/>
            <w:hideMark/>
          </w:tcPr>
          <w:p w14:paraId="6562EEDB"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2</w:t>
            </w:r>
          </w:p>
        </w:tc>
        <w:tc>
          <w:tcPr>
            <w:tcW w:w="850" w:type="dxa"/>
            <w:vMerge w:val="restart"/>
            <w:shd w:val="clear" w:color="auto" w:fill="auto"/>
            <w:vAlign w:val="center"/>
            <w:hideMark/>
          </w:tcPr>
          <w:p w14:paraId="1F724704"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0.006</w:t>
            </w:r>
          </w:p>
        </w:tc>
        <w:tc>
          <w:tcPr>
            <w:tcW w:w="567" w:type="dxa"/>
            <w:vMerge w:val="restart"/>
            <w:shd w:val="clear" w:color="auto" w:fill="auto"/>
            <w:vAlign w:val="center"/>
            <w:hideMark/>
          </w:tcPr>
          <w:p w14:paraId="7E1B16CD"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48.6</w:t>
            </w:r>
          </w:p>
        </w:tc>
        <w:tc>
          <w:tcPr>
            <w:tcW w:w="1558" w:type="dxa"/>
            <w:shd w:val="clear" w:color="auto" w:fill="auto"/>
            <w:vAlign w:val="center"/>
            <w:hideMark/>
          </w:tcPr>
          <w:p w14:paraId="7046B912"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0.58 (0.36; 0.86)</w:t>
            </w:r>
          </w:p>
        </w:tc>
        <w:tc>
          <w:tcPr>
            <w:tcW w:w="709" w:type="dxa"/>
            <w:vMerge w:val="restart"/>
            <w:shd w:val="clear" w:color="auto" w:fill="auto"/>
            <w:vAlign w:val="center"/>
            <w:hideMark/>
          </w:tcPr>
          <w:p w14:paraId="6436D874"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89%</w:t>
            </w:r>
          </w:p>
        </w:tc>
      </w:tr>
      <w:tr w:rsidR="00433EEC" w:rsidRPr="007004F7" w14:paraId="1CE11819" w14:textId="77777777" w:rsidTr="00433EEC">
        <w:trPr>
          <w:trHeight w:val="288"/>
          <w:jc w:val="center"/>
        </w:trPr>
        <w:tc>
          <w:tcPr>
            <w:tcW w:w="3830" w:type="dxa"/>
            <w:vMerge/>
            <w:tcBorders>
              <w:right w:val="single" w:sz="4" w:space="0" w:color="auto"/>
            </w:tcBorders>
            <w:vAlign w:val="center"/>
            <w:hideMark/>
          </w:tcPr>
          <w:p w14:paraId="4AB0453B"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1416" w:type="dxa"/>
            <w:tcBorders>
              <w:left w:val="single" w:sz="4" w:space="0" w:color="auto"/>
            </w:tcBorders>
            <w:shd w:val="clear" w:color="auto" w:fill="auto"/>
            <w:vAlign w:val="center"/>
            <w:hideMark/>
          </w:tcPr>
          <w:p w14:paraId="675CB2D6"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r w:rsidRPr="007004F7">
              <w:rPr>
                <w:rFonts w:ascii="Calibri" w:eastAsia="Times New Roman" w:hAnsi="Calibri" w:cs="Calibri"/>
                <w:b/>
                <w:bCs/>
                <w:color w:val="000000"/>
                <w:sz w:val="18"/>
                <w:szCs w:val="18"/>
                <w:lang w:val="en-GB" w:eastAsia="en-GB"/>
              </w:rPr>
              <w:t>Pack-years</w:t>
            </w:r>
          </w:p>
        </w:tc>
        <w:tc>
          <w:tcPr>
            <w:tcW w:w="851" w:type="dxa"/>
            <w:shd w:val="clear" w:color="auto" w:fill="auto"/>
            <w:vAlign w:val="center"/>
            <w:hideMark/>
          </w:tcPr>
          <w:p w14:paraId="6A45A3BE"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0.16</w:t>
            </w:r>
          </w:p>
        </w:tc>
        <w:tc>
          <w:tcPr>
            <w:tcW w:w="708" w:type="dxa"/>
            <w:vMerge/>
            <w:vAlign w:val="center"/>
            <w:hideMark/>
          </w:tcPr>
          <w:p w14:paraId="0CA78E5D"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426" w:type="dxa"/>
            <w:vMerge/>
            <w:vAlign w:val="center"/>
            <w:hideMark/>
          </w:tcPr>
          <w:p w14:paraId="130D2D33"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850" w:type="dxa"/>
            <w:vMerge/>
            <w:vAlign w:val="center"/>
            <w:hideMark/>
          </w:tcPr>
          <w:p w14:paraId="7B8BC5D4"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567" w:type="dxa"/>
            <w:vMerge/>
            <w:vAlign w:val="center"/>
            <w:hideMark/>
          </w:tcPr>
          <w:p w14:paraId="3C316115"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1558" w:type="dxa"/>
            <w:shd w:val="clear" w:color="auto" w:fill="auto"/>
            <w:vAlign w:val="center"/>
            <w:hideMark/>
          </w:tcPr>
          <w:p w14:paraId="4D664143"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1.01 (0.99; 1.02)</w:t>
            </w:r>
          </w:p>
        </w:tc>
        <w:tc>
          <w:tcPr>
            <w:tcW w:w="709" w:type="dxa"/>
            <w:vMerge/>
            <w:vAlign w:val="center"/>
            <w:hideMark/>
          </w:tcPr>
          <w:p w14:paraId="66E290FD"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r>
      <w:tr w:rsidR="00433EEC" w:rsidRPr="007004F7" w14:paraId="56D0DEC4" w14:textId="77777777" w:rsidTr="00433EEC">
        <w:trPr>
          <w:trHeight w:val="720"/>
          <w:jc w:val="center"/>
        </w:trPr>
        <w:tc>
          <w:tcPr>
            <w:tcW w:w="3830" w:type="dxa"/>
            <w:vMerge w:val="restart"/>
            <w:tcBorders>
              <w:right w:val="single" w:sz="4" w:space="0" w:color="auto"/>
            </w:tcBorders>
            <w:shd w:val="clear" w:color="auto" w:fill="auto"/>
            <w:vAlign w:val="center"/>
            <w:hideMark/>
          </w:tcPr>
          <w:p w14:paraId="026636ED"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Predicted logit of (</w:t>
            </w:r>
            <w:r w:rsidRPr="007004F7">
              <w:rPr>
                <w:rFonts w:ascii="Calibri" w:eastAsia="Times New Roman" w:hAnsi="Calibri" w:cs="Calibri"/>
                <w:b/>
                <w:bCs/>
                <w:color w:val="000000"/>
                <w:sz w:val="18"/>
                <w:szCs w:val="18"/>
                <w:lang w:val="en-GB" w:eastAsia="en-GB"/>
              </w:rPr>
              <w:t>Hospital admission</w:t>
            </w:r>
            <w:r w:rsidRPr="007004F7">
              <w:rPr>
                <w:rFonts w:ascii="Calibri" w:eastAsia="Times New Roman" w:hAnsi="Calibri" w:cs="Calibri"/>
                <w:color w:val="000000"/>
                <w:sz w:val="18"/>
                <w:szCs w:val="18"/>
                <w:lang w:val="en-GB" w:eastAsia="en-GB"/>
              </w:rPr>
              <w:t>) = -4.54+(-0.</w:t>
            </w:r>
            <w:proofErr w:type="gramStart"/>
            <w:r w:rsidRPr="007004F7">
              <w:rPr>
                <w:rFonts w:ascii="Calibri" w:eastAsia="Times New Roman" w:hAnsi="Calibri" w:cs="Calibri"/>
                <w:color w:val="000000"/>
                <w:sz w:val="18"/>
                <w:szCs w:val="18"/>
                <w:lang w:val="en-GB" w:eastAsia="en-GB"/>
              </w:rPr>
              <w:t>46)*</w:t>
            </w:r>
            <w:proofErr w:type="gramEnd"/>
            <w:r w:rsidRPr="007004F7">
              <w:rPr>
                <w:rFonts w:ascii="Calibri" w:eastAsia="Times New Roman" w:hAnsi="Calibri" w:cs="Calibri"/>
                <w:b/>
                <w:bCs/>
                <w:color w:val="000000"/>
                <w:sz w:val="18"/>
                <w:szCs w:val="18"/>
                <w:lang w:val="en-GB" w:eastAsia="en-GB"/>
              </w:rPr>
              <w:t>log</w:t>
            </w:r>
            <w:r w:rsidRPr="007004F7">
              <w:rPr>
                <w:rFonts w:ascii="Calibri" w:eastAsia="Times New Roman" w:hAnsi="Calibri" w:cs="Calibri"/>
                <w:b/>
                <w:bCs/>
                <w:color w:val="000000"/>
                <w:sz w:val="18"/>
                <w:szCs w:val="18"/>
                <w:vertAlign w:val="subscript"/>
                <w:lang w:val="en-GB" w:eastAsia="en-GB"/>
              </w:rPr>
              <w:t>2</w:t>
            </w:r>
            <w:r w:rsidRPr="007004F7">
              <w:rPr>
                <w:rFonts w:ascii="Calibri" w:eastAsia="Times New Roman" w:hAnsi="Calibri" w:cs="Calibri"/>
                <w:b/>
                <w:bCs/>
                <w:color w:val="000000"/>
                <w:sz w:val="18"/>
                <w:szCs w:val="18"/>
                <w:lang w:val="en-GB" w:eastAsia="en-GB"/>
              </w:rPr>
              <w:t>(d0b698c7298bf04110a6d2f220879bfb)</w:t>
            </w:r>
            <w:r w:rsidRPr="007004F7">
              <w:rPr>
                <w:rFonts w:ascii="Calibri" w:eastAsia="Times New Roman" w:hAnsi="Calibri" w:cs="Calibri"/>
                <w:color w:val="000000"/>
                <w:sz w:val="18"/>
                <w:szCs w:val="18"/>
                <w:lang w:val="en-GB" w:eastAsia="en-GB"/>
              </w:rPr>
              <w:t>+(0.01)*</w:t>
            </w:r>
            <w:r w:rsidRPr="007004F7">
              <w:rPr>
                <w:rFonts w:ascii="Calibri" w:eastAsia="Times New Roman" w:hAnsi="Calibri" w:cs="Calibri"/>
                <w:b/>
                <w:bCs/>
                <w:color w:val="000000"/>
                <w:sz w:val="18"/>
                <w:szCs w:val="18"/>
                <w:lang w:val="en-GB" w:eastAsia="en-GB"/>
              </w:rPr>
              <w:t>log</w:t>
            </w:r>
            <w:r w:rsidRPr="007004F7">
              <w:rPr>
                <w:rFonts w:ascii="Calibri" w:eastAsia="Times New Roman" w:hAnsi="Calibri" w:cs="Calibri"/>
                <w:b/>
                <w:bCs/>
                <w:color w:val="000000"/>
                <w:sz w:val="18"/>
                <w:szCs w:val="18"/>
                <w:vertAlign w:val="subscript"/>
                <w:lang w:val="en-GB" w:eastAsia="en-GB"/>
              </w:rPr>
              <w:t>2</w:t>
            </w:r>
            <w:r w:rsidRPr="007004F7">
              <w:rPr>
                <w:rFonts w:ascii="Calibri" w:eastAsia="Times New Roman" w:hAnsi="Calibri" w:cs="Calibri"/>
                <w:b/>
                <w:bCs/>
                <w:color w:val="000000"/>
                <w:sz w:val="18"/>
                <w:szCs w:val="18"/>
                <w:lang w:val="en-GB" w:eastAsia="en-GB"/>
              </w:rPr>
              <w:t>(Pack-Years)</w:t>
            </w:r>
          </w:p>
        </w:tc>
        <w:tc>
          <w:tcPr>
            <w:tcW w:w="1416" w:type="dxa"/>
            <w:tcBorders>
              <w:left w:val="single" w:sz="4" w:space="0" w:color="auto"/>
            </w:tcBorders>
            <w:shd w:val="clear" w:color="auto" w:fill="auto"/>
            <w:vAlign w:val="center"/>
            <w:hideMark/>
          </w:tcPr>
          <w:p w14:paraId="2655CC49"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r w:rsidRPr="007004F7">
              <w:rPr>
                <w:rFonts w:ascii="Calibri" w:eastAsia="Times New Roman" w:hAnsi="Calibri" w:cs="Calibri"/>
                <w:b/>
                <w:bCs/>
                <w:color w:val="000000"/>
                <w:sz w:val="18"/>
                <w:szCs w:val="18"/>
                <w:lang w:val="en-GB" w:eastAsia="en-GB"/>
              </w:rPr>
              <w:t>d0b698c7298bf04110a6d2f220879bfb</w:t>
            </w:r>
          </w:p>
        </w:tc>
        <w:tc>
          <w:tcPr>
            <w:tcW w:w="851" w:type="dxa"/>
            <w:shd w:val="clear" w:color="auto" w:fill="auto"/>
            <w:vAlign w:val="center"/>
            <w:hideMark/>
          </w:tcPr>
          <w:p w14:paraId="448ACA1D"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0.005</w:t>
            </w:r>
          </w:p>
        </w:tc>
        <w:tc>
          <w:tcPr>
            <w:tcW w:w="708" w:type="dxa"/>
            <w:vMerge w:val="restart"/>
            <w:shd w:val="clear" w:color="auto" w:fill="auto"/>
            <w:vAlign w:val="center"/>
            <w:hideMark/>
          </w:tcPr>
          <w:p w14:paraId="1B7890DB"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12.6</w:t>
            </w:r>
          </w:p>
        </w:tc>
        <w:tc>
          <w:tcPr>
            <w:tcW w:w="426" w:type="dxa"/>
            <w:vMerge w:val="restart"/>
            <w:shd w:val="clear" w:color="auto" w:fill="auto"/>
            <w:vAlign w:val="center"/>
            <w:hideMark/>
          </w:tcPr>
          <w:p w14:paraId="7B59DE9F"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2</w:t>
            </w:r>
          </w:p>
        </w:tc>
        <w:tc>
          <w:tcPr>
            <w:tcW w:w="850" w:type="dxa"/>
            <w:vMerge w:val="restart"/>
            <w:shd w:val="clear" w:color="auto" w:fill="auto"/>
            <w:vAlign w:val="center"/>
            <w:hideMark/>
          </w:tcPr>
          <w:p w14:paraId="41BE7B63"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0.002</w:t>
            </w:r>
          </w:p>
        </w:tc>
        <w:tc>
          <w:tcPr>
            <w:tcW w:w="567" w:type="dxa"/>
            <w:vMerge w:val="restart"/>
            <w:shd w:val="clear" w:color="auto" w:fill="auto"/>
            <w:vAlign w:val="center"/>
            <w:hideMark/>
          </w:tcPr>
          <w:p w14:paraId="43906818"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46.3</w:t>
            </w:r>
          </w:p>
        </w:tc>
        <w:tc>
          <w:tcPr>
            <w:tcW w:w="1558" w:type="dxa"/>
            <w:shd w:val="clear" w:color="auto" w:fill="auto"/>
            <w:vAlign w:val="center"/>
            <w:hideMark/>
          </w:tcPr>
          <w:p w14:paraId="15F64679"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0.63 (0.43; 0.84)</w:t>
            </w:r>
          </w:p>
        </w:tc>
        <w:tc>
          <w:tcPr>
            <w:tcW w:w="709" w:type="dxa"/>
            <w:vMerge w:val="restart"/>
            <w:shd w:val="clear" w:color="auto" w:fill="auto"/>
            <w:vAlign w:val="center"/>
            <w:hideMark/>
          </w:tcPr>
          <w:p w14:paraId="23FA5D0F"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86%</w:t>
            </w:r>
          </w:p>
        </w:tc>
      </w:tr>
      <w:tr w:rsidR="00433EEC" w:rsidRPr="007004F7" w14:paraId="5537A261" w14:textId="77777777" w:rsidTr="00433EEC">
        <w:trPr>
          <w:trHeight w:val="300"/>
          <w:jc w:val="center"/>
        </w:trPr>
        <w:tc>
          <w:tcPr>
            <w:tcW w:w="3830" w:type="dxa"/>
            <w:vMerge/>
            <w:tcBorders>
              <w:bottom w:val="double" w:sz="4" w:space="0" w:color="auto"/>
              <w:right w:val="single" w:sz="4" w:space="0" w:color="auto"/>
            </w:tcBorders>
            <w:vAlign w:val="center"/>
            <w:hideMark/>
          </w:tcPr>
          <w:p w14:paraId="25FEE8A3"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1416" w:type="dxa"/>
            <w:tcBorders>
              <w:left w:val="single" w:sz="4" w:space="0" w:color="auto"/>
              <w:bottom w:val="double" w:sz="4" w:space="0" w:color="auto"/>
            </w:tcBorders>
            <w:shd w:val="clear" w:color="auto" w:fill="auto"/>
            <w:vAlign w:val="center"/>
            <w:hideMark/>
          </w:tcPr>
          <w:p w14:paraId="3F2F6A1D" w14:textId="77777777" w:rsidR="00433EEC" w:rsidRPr="007004F7" w:rsidRDefault="00433EEC" w:rsidP="004B55E7">
            <w:pPr>
              <w:spacing w:after="0" w:line="240" w:lineRule="auto"/>
              <w:jc w:val="center"/>
              <w:rPr>
                <w:rFonts w:ascii="Calibri" w:eastAsia="Times New Roman" w:hAnsi="Calibri" w:cs="Calibri"/>
                <w:b/>
                <w:bCs/>
                <w:color w:val="000000"/>
                <w:sz w:val="18"/>
                <w:szCs w:val="18"/>
                <w:lang w:val="en-GB" w:eastAsia="en-GB"/>
              </w:rPr>
            </w:pPr>
            <w:r w:rsidRPr="007004F7">
              <w:rPr>
                <w:rFonts w:ascii="Calibri" w:eastAsia="Times New Roman" w:hAnsi="Calibri" w:cs="Calibri"/>
                <w:b/>
                <w:bCs/>
                <w:color w:val="000000"/>
                <w:sz w:val="18"/>
                <w:szCs w:val="18"/>
                <w:lang w:val="en-GB" w:eastAsia="en-GB"/>
              </w:rPr>
              <w:t>Pack-years</w:t>
            </w:r>
          </w:p>
        </w:tc>
        <w:tc>
          <w:tcPr>
            <w:tcW w:w="851" w:type="dxa"/>
            <w:tcBorders>
              <w:bottom w:val="double" w:sz="4" w:space="0" w:color="auto"/>
            </w:tcBorders>
            <w:shd w:val="clear" w:color="auto" w:fill="auto"/>
            <w:vAlign w:val="center"/>
            <w:hideMark/>
          </w:tcPr>
          <w:p w14:paraId="1906BD85"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0.1</w:t>
            </w:r>
          </w:p>
        </w:tc>
        <w:tc>
          <w:tcPr>
            <w:tcW w:w="708" w:type="dxa"/>
            <w:vMerge/>
            <w:tcBorders>
              <w:bottom w:val="double" w:sz="4" w:space="0" w:color="auto"/>
            </w:tcBorders>
            <w:vAlign w:val="center"/>
            <w:hideMark/>
          </w:tcPr>
          <w:p w14:paraId="32A148C5"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426" w:type="dxa"/>
            <w:vMerge/>
            <w:tcBorders>
              <w:bottom w:val="double" w:sz="4" w:space="0" w:color="auto"/>
            </w:tcBorders>
            <w:vAlign w:val="center"/>
            <w:hideMark/>
          </w:tcPr>
          <w:p w14:paraId="707182E8"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850" w:type="dxa"/>
            <w:vMerge/>
            <w:tcBorders>
              <w:bottom w:val="double" w:sz="4" w:space="0" w:color="auto"/>
            </w:tcBorders>
            <w:vAlign w:val="center"/>
            <w:hideMark/>
          </w:tcPr>
          <w:p w14:paraId="4DB7FA36"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567" w:type="dxa"/>
            <w:vMerge/>
            <w:tcBorders>
              <w:bottom w:val="double" w:sz="4" w:space="0" w:color="auto"/>
            </w:tcBorders>
            <w:vAlign w:val="center"/>
            <w:hideMark/>
          </w:tcPr>
          <w:p w14:paraId="2606D43E"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c>
          <w:tcPr>
            <w:tcW w:w="1558" w:type="dxa"/>
            <w:tcBorders>
              <w:bottom w:val="double" w:sz="4" w:space="0" w:color="auto"/>
            </w:tcBorders>
            <w:shd w:val="clear" w:color="auto" w:fill="auto"/>
            <w:vAlign w:val="center"/>
            <w:hideMark/>
          </w:tcPr>
          <w:p w14:paraId="6F091434" w14:textId="77777777" w:rsidR="00433EEC" w:rsidRPr="007004F7" w:rsidRDefault="00433EEC" w:rsidP="004B55E7">
            <w:pPr>
              <w:spacing w:after="0" w:line="240" w:lineRule="auto"/>
              <w:jc w:val="center"/>
              <w:rPr>
                <w:rFonts w:ascii="Calibri" w:eastAsia="Times New Roman" w:hAnsi="Calibri" w:cs="Calibri"/>
                <w:color w:val="000000"/>
                <w:sz w:val="18"/>
                <w:szCs w:val="18"/>
                <w:lang w:val="en-GB" w:eastAsia="en-GB"/>
              </w:rPr>
            </w:pPr>
            <w:r w:rsidRPr="007004F7">
              <w:rPr>
                <w:rFonts w:ascii="Calibri" w:eastAsia="Times New Roman" w:hAnsi="Calibri" w:cs="Calibri"/>
                <w:color w:val="000000"/>
                <w:sz w:val="18"/>
                <w:szCs w:val="18"/>
                <w:lang w:val="en-GB" w:eastAsia="en-GB"/>
              </w:rPr>
              <w:t>1.01 (0.99; 1.03)</w:t>
            </w:r>
          </w:p>
        </w:tc>
        <w:tc>
          <w:tcPr>
            <w:tcW w:w="709" w:type="dxa"/>
            <w:vMerge/>
            <w:tcBorders>
              <w:bottom w:val="double" w:sz="4" w:space="0" w:color="auto"/>
            </w:tcBorders>
            <w:vAlign w:val="center"/>
            <w:hideMark/>
          </w:tcPr>
          <w:p w14:paraId="4A590C3F" w14:textId="77777777" w:rsidR="00433EEC" w:rsidRPr="007004F7" w:rsidRDefault="00433EEC" w:rsidP="004B55E7">
            <w:pPr>
              <w:spacing w:after="0" w:line="240" w:lineRule="auto"/>
              <w:rPr>
                <w:rFonts w:ascii="Calibri" w:eastAsia="Times New Roman" w:hAnsi="Calibri" w:cs="Calibri"/>
                <w:color w:val="000000"/>
                <w:sz w:val="18"/>
                <w:szCs w:val="18"/>
                <w:lang w:val="en-GB" w:eastAsia="en-GB"/>
              </w:rPr>
            </w:pPr>
          </w:p>
        </w:tc>
      </w:tr>
      <w:tr w:rsidR="00433EEC" w:rsidRPr="00433EEC" w14:paraId="5E88A179" w14:textId="77777777" w:rsidTr="00433EEC">
        <w:trPr>
          <w:trHeight w:val="300"/>
          <w:jc w:val="center"/>
        </w:trPr>
        <w:tc>
          <w:tcPr>
            <w:tcW w:w="10915" w:type="dxa"/>
            <w:gridSpan w:val="9"/>
            <w:tcBorders>
              <w:top w:val="double" w:sz="4" w:space="0" w:color="auto"/>
            </w:tcBorders>
            <w:shd w:val="clear" w:color="auto" w:fill="auto"/>
            <w:vAlign w:val="center"/>
            <w:hideMark/>
          </w:tcPr>
          <w:p w14:paraId="525D46BE" w14:textId="77777777" w:rsidR="00433EEC" w:rsidRDefault="00433EEC" w:rsidP="004B55E7">
            <w:pPr>
              <w:spacing w:after="0" w:line="240" w:lineRule="auto"/>
              <w:jc w:val="center"/>
              <w:rPr>
                <w:rFonts w:ascii="Calibri" w:eastAsia="Times New Roman" w:hAnsi="Calibri" w:cs="Calibri"/>
                <w:color w:val="000000"/>
                <w:sz w:val="18"/>
                <w:szCs w:val="18"/>
                <w:lang w:val="en-GB" w:eastAsia="en-GB"/>
              </w:rPr>
            </w:pPr>
            <w:r w:rsidRPr="00D76CCF">
              <w:rPr>
                <w:rFonts w:ascii="Calibri" w:eastAsia="Times New Roman" w:hAnsi="Calibri" w:cs="Calibri"/>
                <w:color w:val="000000"/>
                <w:sz w:val="18"/>
                <w:szCs w:val="18"/>
                <w:lang w:val="en-GB" w:eastAsia="en-GB"/>
              </w:rPr>
              <w:t>▪Comparison between the established model and null model for either being GOLD D or having had a recent severe exacerbation with hospital admission</w:t>
            </w:r>
          </w:p>
          <w:p w14:paraId="5F6FC941" w14:textId="77777777" w:rsidR="00433EEC" w:rsidRPr="00D76CCF" w:rsidRDefault="00433EEC" w:rsidP="004B55E7">
            <w:pPr>
              <w:spacing w:after="0" w:line="240" w:lineRule="auto"/>
              <w:jc w:val="center"/>
              <w:rPr>
                <w:rFonts w:ascii="Calibri" w:eastAsia="Times New Roman" w:hAnsi="Calibri" w:cs="Calibri"/>
                <w:color w:val="000000"/>
                <w:sz w:val="18"/>
                <w:szCs w:val="18"/>
                <w:lang w:val="en-GB" w:eastAsia="en-GB"/>
              </w:rPr>
            </w:pPr>
            <w:r w:rsidRPr="00D76CCF">
              <w:rPr>
                <w:rFonts w:ascii="Calibri" w:eastAsia="Times New Roman" w:hAnsi="Calibri" w:cs="Calibri"/>
                <w:color w:val="000000"/>
                <w:sz w:val="18"/>
                <w:szCs w:val="18"/>
                <w:lang w:val="en-GB" w:eastAsia="en-GB"/>
              </w:rPr>
              <w:t>▪▪</w:t>
            </w:r>
            <w:r>
              <w:rPr>
                <w:rFonts w:ascii="Calibri" w:eastAsia="Times New Roman" w:hAnsi="Calibri" w:cs="Calibri"/>
                <w:color w:val="000000"/>
                <w:sz w:val="18"/>
                <w:szCs w:val="18"/>
                <w:lang w:val="en-GB" w:eastAsia="en-GB"/>
              </w:rPr>
              <w:t xml:space="preserve">The </w:t>
            </w:r>
            <w:r w:rsidRPr="00D76CCF">
              <w:rPr>
                <w:rFonts w:ascii="Calibri" w:eastAsia="Times New Roman" w:hAnsi="Calibri" w:cs="Calibri"/>
                <w:color w:val="000000"/>
                <w:sz w:val="18"/>
                <w:szCs w:val="18"/>
                <w:lang w:val="en-GB" w:eastAsia="en-GB"/>
              </w:rPr>
              <w:t>AICs</w:t>
            </w:r>
            <w:r>
              <w:rPr>
                <w:rFonts w:ascii="Calibri" w:eastAsia="Times New Roman" w:hAnsi="Calibri" w:cs="Calibri"/>
                <w:color w:val="000000"/>
                <w:sz w:val="18"/>
                <w:szCs w:val="18"/>
                <w:lang w:val="en-GB" w:eastAsia="en-GB"/>
              </w:rPr>
              <w:t xml:space="preserve"> </w:t>
            </w:r>
            <w:r w:rsidRPr="00D76CCF">
              <w:rPr>
                <w:rFonts w:ascii="Calibri" w:eastAsia="Times New Roman" w:hAnsi="Calibri" w:cs="Calibri"/>
                <w:color w:val="000000"/>
                <w:sz w:val="18"/>
                <w:szCs w:val="18"/>
                <w:lang w:val="en-GB" w:eastAsia="en-GB"/>
              </w:rPr>
              <w:t xml:space="preserve">presented for each model were </w:t>
            </w:r>
            <w:r>
              <w:rPr>
                <w:rFonts w:ascii="Calibri" w:eastAsia="Times New Roman" w:hAnsi="Calibri" w:cs="Calibri"/>
                <w:color w:val="000000"/>
                <w:sz w:val="18"/>
                <w:szCs w:val="18"/>
                <w:lang w:val="en-GB" w:eastAsia="en-GB"/>
              </w:rPr>
              <w:t>lower than</w:t>
            </w:r>
            <w:r w:rsidRPr="00D76CCF">
              <w:rPr>
                <w:rFonts w:ascii="Calibri" w:eastAsia="Times New Roman" w:hAnsi="Calibri" w:cs="Calibri"/>
                <w:color w:val="000000"/>
                <w:sz w:val="18"/>
                <w:szCs w:val="18"/>
                <w:lang w:val="en-GB" w:eastAsia="en-GB"/>
              </w:rPr>
              <w:t xml:space="preserve"> the</w:t>
            </w:r>
            <w:r>
              <w:rPr>
                <w:rFonts w:ascii="Calibri" w:eastAsia="Times New Roman" w:hAnsi="Calibri" w:cs="Calibri"/>
                <w:color w:val="000000"/>
                <w:sz w:val="18"/>
                <w:szCs w:val="18"/>
                <w:lang w:val="en-GB" w:eastAsia="en-GB"/>
              </w:rPr>
              <w:t xml:space="preserve"> AICs of</w:t>
            </w:r>
            <w:r w:rsidRPr="00D76CCF">
              <w:rPr>
                <w:rFonts w:ascii="Calibri" w:eastAsia="Times New Roman" w:hAnsi="Calibri" w:cs="Calibri"/>
                <w:color w:val="000000"/>
                <w:sz w:val="18"/>
                <w:szCs w:val="18"/>
                <w:lang w:val="en-GB" w:eastAsia="en-GB"/>
              </w:rPr>
              <w:t xml:space="preserve"> null models for either being GOLD D or having had a recent severe exacerbation with hospital admission</w:t>
            </w:r>
          </w:p>
        </w:tc>
      </w:tr>
    </w:tbl>
    <w:p w14:paraId="00F4B7FA" w14:textId="6FFB60F4" w:rsidR="002812CF" w:rsidRPr="005B33D4" w:rsidRDefault="00542824" w:rsidP="002812CF">
      <w:pPr>
        <w:pStyle w:val="Ttulo1"/>
        <w:spacing w:line="480" w:lineRule="auto"/>
        <w:jc w:val="both"/>
        <w:rPr>
          <w:rFonts w:asciiTheme="minorHAnsi" w:hAnsiTheme="minorHAnsi" w:cstheme="minorHAnsi"/>
          <w:sz w:val="26"/>
          <w:szCs w:val="26"/>
          <w:lang w:val="en-GB"/>
        </w:rPr>
      </w:pPr>
      <w:r>
        <w:rPr>
          <w:rFonts w:asciiTheme="minorHAnsi" w:hAnsiTheme="minorHAnsi" w:cstheme="minorHAnsi"/>
          <w:sz w:val="26"/>
          <w:szCs w:val="26"/>
          <w:lang w:val="en-GB"/>
        </w:rPr>
        <w:lastRenderedPageBreak/>
        <w:t>S</w:t>
      </w:r>
      <w:r w:rsidR="00E210B5" w:rsidRPr="005B33D4">
        <w:rPr>
          <w:rFonts w:asciiTheme="minorHAnsi" w:hAnsiTheme="minorHAnsi" w:cstheme="minorHAnsi"/>
          <w:sz w:val="26"/>
          <w:szCs w:val="26"/>
          <w:lang w:val="en-GB"/>
        </w:rPr>
        <w:t>upplementary figures</w:t>
      </w:r>
    </w:p>
    <w:p w14:paraId="438DD00A" w14:textId="11AD5E9B" w:rsidR="009A3F9C" w:rsidRDefault="00433EEC" w:rsidP="009A3F9C">
      <w:pPr>
        <w:pStyle w:val="NormalWeb"/>
        <w:spacing w:before="0" w:beforeAutospacing="0" w:after="0" w:afterAutospacing="0"/>
        <w:jc w:val="center"/>
        <w:rPr>
          <w:rFonts w:ascii="Calibri" w:eastAsia="+mn-ea" w:hAnsi="Calibri" w:cs="+mn-cs"/>
          <w:b/>
          <w:bCs/>
          <w:noProof/>
          <w:color w:val="000000"/>
          <w:kern w:val="24"/>
          <w:sz w:val="22"/>
          <w:szCs w:val="22"/>
        </w:rPr>
      </w:pPr>
      <w:r>
        <w:rPr>
          <w:noProof/>
        </w:rPr>
        <w:drawing>
          <wp:inline distT="0" distB="0" distL="0" distR="0" wp14:anchorId="5198FE98" wp14:editId="433C5C6A">
            <wp:extent cx="5400040" cy="2434590"/>
            <wp:effectExtent l="0" t="0" r="0" b="3810"/>
            <wp:docPr id="2" name="Imagem 2"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m texto&#10;&#10;Descrição gerada automatica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0040" cy="2434590"/>
                    </a:xfrm>
                    <a:prstGeom prst="rect">
                      <a:avLst/>
                    </a:prstGeom>
                    <a:noFill/>
                    <a:ln>
                      <a:noFill/>
                    </a:ln>
                  </pic:spPr>
                </pic:pic>
              </a:graphicData>
            </a:graphic>
          </wp:inline>
        </w:drawing>
      </w:r>
    </w:p>
    <w:p w14:paraId="3BA3382A" w14:textId="2E440B61" w:rsidR="00D042EF" w:rsidRPr="00D042EF" w:rsidRDefault="00D042EF" w:rsidP="00D042EF">
      <w:pPr>
        <w:pStyle w:val="NormalWeb"/>
        <w:jc w:val="both"/>
        <w:rPr>
          <w:rFonts w:asciiTheme="minorHAnsi" w:eastAsiaTheme="minorEastAsia" w:hAnsiTheme="minorHAnsi" w:cstheme="minorHAnsi"/>
          <w:b/>
          <w:bCs/>
          <w:color w:val="000000" w:themeColor="text1"/>
          <w:kern w:val="24"/>
          <w:sz w:val="22"/>
          <w:szCs w:val="22"/>
        </w:rPr>
      </w:pPr>
      <w:r w:rsidRPr="00D042EF">
        <w:rPr>
          <w:rFonts w:asciiTheme="minorHAnsi" w:eastAsiaTheme="minorEastAsia" w:hAnsiTheme="minorHAnsi" w:cstheme="minorHAnsi"/>
          <w:b/>
          <w:bCs/>
          <w:color w:val="000000" w:themeColor="text1"/>
          <w:kern w:val="24"/>
          <w:sz w:val="22"/>
          <w:szCs w:val="22"/>
        </w:rPr>
        <w:t xml:space="preserve">Supplementary figure 1. Salivary microbiota composition is different between patients with COPD and healthy controls. A) </w:t>
      </w:r>
      <w:r w:rsidRPr="00D042EF">
        <w:rPr>
          <w:rFonts w:asciiTheme="minorHAnsi" w:eastAsiaTheme="minorEastAsia" w:hAnsiTheme="minorHAnsi" w:cstheme="minorHAnsi"/>
          <w:color w:val="000000" w:themeColor="text1"/>
          <w:kern w:val="24"/>
          <w:sz w:val="22"/>
          <w:szCs w:val="22"/>
        </w:rPr>
        <w:t>Bar-plot representing the differentially abundant genera between moderate patients with COPD and healthy controls inferred by LEfSe at a significance cut</w:t>
      </w:r>
      <w:r w:rsidR="007D2441">
        <w:rPr>
          <w:rFonts w:asciiTheme="minorHAnsi" w:eastAsiaTheme="minorEastAsia" w:hAnsiTheme="minorHAnsi" w:cstheme="minorHAnsi"/>
          <w:color w:val="000000" w:themeColor="text1"/>
          <w:kern w:val="24"/>
          <w:sz w:val="22"/>
          <w:szCs w:val="22"/>
        </w:rPr>
        <w:t>-</w:t>
      </w:r>
      <w:r w:rsidRPr="00D042EF">
        <w:rPr>
          <w:rFonts w:asciiTheme="minorHAnsi" w:eastAsiaTheme="minorEastAsia" w:hAnsiTheme="minorHAnsi" w:cstheme="minorHAnsi"/>
          <w:color w:val="000000" w:themeColor="text1"/>
          <w:kern w:val="24"/>
          <w:sz w:val="22"/>
          <w:szCs w:val="22"/>
        </w:rPr>
        <w:t>off of 3.</w:t>
      </w:r>
      <w:r w:rsidRPr="00D042EF">
        <w:rPr>
          <w:rFonts w:asciiTheme="minorHAnsi" w:eastAsiaTheme="minorEastAsia" w:hAnsiTheme="minorHAnsi" w:cstheme="minorHAnsi"/>
          <w:b/>
          <w:bCs/>
          <w:color w:val="000000" w:themeColor="text1"/>
          <w:kern w:val="24"/>
          <w:sz w:val="22"/>
          <w:szCs w:val="22"/>
        </w:rPr>
        <w:t xml:space="preserve"> B) </w:t>
      </w:r>
      <w:r w:rsidRPr="00D042EF">
        <w:rPr>
          <w:rFonts w:asciiTheme="minorHAnsi" w:eastAsiaTheme="minorEastAsia" w:hAnsiTheme="minorHAnsi" w:cstheme="minorHAnsi"/>
          <w:color w:val="000000" w:themeColor="text1"/>
          <w:kern w:val="24"/>
          <w:sz w:val="22"/>
          <w:szCs w:val="22"/>
        </w:rPr>
        <w:t>Bar-plot representing the differentially abundant genera between moderate patients with COPD and healthy controls inferred by LEfSe at a significance cut</w:t>
      </w:r>
      <w:r w:rsidR="007D2441">
        <w:rPr>
          <w:rFonts w:asciiTheme="minorHAnsi" w:eastAsiaTheme="minorEastAsia" w:hAnsiTheme="minorHAnsi" w:cstheme="minorHAnsi"/>
          <w:color w:val="000000" w:themeColor="text1"/>
          <w:kern w:val="24"/>
          <w:sz w:val="22"/>
          <w:szCs w:val="22"/>
        </w:rPr>
        <w:t>-</w:t>
      </w:r>
      <w:r w:rsidRPr="00D042EF">
        <w:rPr>
          <w:rFonts w:asciiTheme="minorHAnsi" w:eastAsiaTheme="minorEastAsia" w:hAnsiTheme="minorHAnsi" w:cstheme="minorHAnsi"/>
          <w:color w:val="000000" w:themeColor="text1"/>
          <w:kern w:val="24"/>
          <w:sz w:val="22"/>
          <w:szCs w:val="22"/>
        </w:rPr>
        <w:t>off of 3.</w:t>
      </w:r>
      <w:r w:rsidRPr="00D042EF">
        <w:rPr>
          <w:rFonts w:asciiTheme="minorHAnsi" w:eastAsiaTheme="minorEastAsia" w:hAnsiTheme="minorHAnsi" w:cstheme="minorHAnsi"/>
          <w:b/>
          <w:bCs/>
          <w:color w:val="000000" w:themeColor="text1"/>
          <w:kern w:val="24"/>
          <w:sz w:val="22"/>
          <w:szCs w:val="22"/>
        </w:rPr>
        <w:t xml:space="preserve"> C) </w:t>
      </w:r>
      <w:r w:rsidRPr="00D042EF">
        <w:rPr>
          <w:rFonts w:asciiTheme="minorHAnsi" w:eastAsiaTheme="minorEastAsia" w:hAnsiTheme="minorHAnsi" w:cstheme="minorHAnsi"/>
          <w:color w:val="000000" w:themeColor="text1"/>
          <w:kern w:val="24"/>
          <w:sz w:val="22"/>
          <w:szCs w:val="22"/>
        </w:rPr>
        <w:t>Bar-plot representing the differentially abundant genera between severe patients with COPD and healthy controls inferred by LEfSe at a significance cut</w:t>
      </w:r>
      <w:r w:rsidR="007D2441">
        <w:rPr>
          <w:rFonts w:asciiTheme="minorHAnsi" w:eastAsiaTheme="minorEastAsia" w:hAnsiTheme="minorHAnsi" w:cstheme="minorHAnsi"/>
          <w:color w:val="000000" w:themeColor="text1"/>
          <w:kern w:val="24"/>
          <w:sz w:val="22"/>
          <w:szCs w:val="22"/>
        </w:rPr>
        <w:t>-</w:t>
      </w:r>
      <w:r w:rsidRPr="00D042EF">
        <w:rPr>
          <w:rFonts w:asciiTheme="minorHAnsi" w:eastAsiaTheme="minorEastAsia" w:hAnsiTheme="minorHAnsi" w:cstheme="minorHAnsi"/>
          <w:color w:val="000000" w:themeColor="text1"/>
          <w:kern w:val="24"/>
          <w:sz w:val="22"/>
          <w:szCs w:val="22"/>
        </w:rPr>
        <w:t>off of 3.</w:t>
      </w:r>
      <w:r w:rsidRPr="00D042EF">
        <w:rPr>
          <w:rFonts w:asciiTheme="minorHAnsi" w:eastAsiaTheme="minorEastAsia" w:hAnsiTheme="minorHAnsi" w:cstheme="minorHAnsi"/>
          <w:b/>
          <w:bCs/>
          <w:color w:val="000000" w:themeColor="text1"/>
          <w:kern w:val="24"/>
          <w:sz w:val="22"/>
          <w:szCs w:val="22"/>
        </w:rPr>
        <w:t xml:space="preserve"> A), B) </w:t>
      </w:r>
      <w:r w:rsidRPr="00D042EF">
        <w:rPr>
          <w:rFonts w:asciiTheme="minorHAnsi" w:eastAsiaTheme="minorEastAsia" w:hAnsiTheme="minorHAnsi" w:cstheme="minorHAnsi"/>
          <w:color w:val="000000" w:themeColor="text1"/>
          <w:kern w:val="24"/>
          <w:sz w:val="22"/>
          <w:szCs w:val="22"/>
        </w:rPr>
        <w:t>and</w:t>
      </w:r>
      <w:r w:rsidRPr="00D042EF">
        <w:rPr>
          <w:rFonts w:asciiTheme="minorHAnsi" w:eastAsiaTheme="minorEastAsia" w:hAnsiTheme="minorHAnsi" w:cstheme="minorHAnsi"/>
          <w:b/>
          <w:bCs/>
          <w:color w:val="000000" w:themeColor="text1"/>
          <w:kern w:val="24"/>
          <w:sz w:val="22"/>
          <w:szCs w:val="22"/>
        </w:rPr>
        <w:t xml:space="preserve"> C) </w:t>
      </w:r>
      <w:r w:rsidRPr="00D042EF">
        <w:rPr>
          <w:rFonts w:asciiTheme="minorHAnsi" w:eastAsiaTheme="minorEastAsia" w:hAnsiTheme="minorHAnsi" w:cstheme="minorHAnsi"/>
          <w:color w:val="000000" w:themeColor="text1"/>
          <w:kern w:val="24"/>
          <w:sz w:val="22"/>
          <w:szCs w:val="22"/>
        </w:rPr>
        <w:t>the differential OTUs inferred by ANCOM at 0.7 significance cut</w:t>
      </w:r>
      <w:r w:rsidR="007D2441">
        <w:rPr>
          <w:rFonts w:asciiTheme="minorHAnsi" w:eastAsiaTheme="minorEastAsia" w:hAnsiTheme="minorHAnsi" w:cstheme="minorHAnsi"/>
          <w:color w:val="000000" w:themeColor="text1"/>
          <w:kern w:val="24"/>
          <w:sz w:val="22"/>
          <w:szCs w:val="22"/>
        </w:rPr>
        <w:t>-</w:t>
      </w:r>
      <w:r w:rsidRPr="00D042EF">
        <w:rPr>
          <w:rFonts w:asciiTheme="minorHAnsi" w:eastAsiaTheme="minorEastAsia" w:hAnsiTheme="minorHAnsi" w:cstheme="minorHAnsi"/>
          <w:color w:val="000000" w:themeColor="text1"/>
          <w:kern w:val="24"/>
          <w:sz w:val="22"/>
          <w:szCs w:val="22"/>
        </w:rPr>
        <w:t>off are represented in underlined.</w:t>
      </w:r>
      <w:r w:rsidRPr="00D042EF">
        <w:rPr>
          <w:rFonts w:asciiTheme="minorHAnsi" w:eastAsiaTheme="minorEastAsia" w:hAnsiTheme="minorHAnsi" w:cstheme="minorHAnsi"/>
          <w:b/>
          <w:bCs/>
          <w:color w:val="000000" w:themeColor="text1"/>
          <w:kern w:val="24"/>
          <w:sz w:val="22"/>
          <w:szCs w:val="22"/>
        </w:rPr>
        <w:t xml:space="preserve"> </w:t>
      </w:r>
    </w:p>
    <w:p w14:paraId="2A5E225F" w14:textId="709336A6" w:rsidR="002812CF" w:rsidRDefault="002812CF" w:rsidP="002812CF">
      <w:pPr>
        <w:pStyle w:val="NormalWeb"/>
        <w:spacing w:before="0" w:beforeAutospacing="0" w:after="0" w:afterAutospacing="0"/>
        <w:jc w:val="both"/>
        <w:rPr>
          <w:rFonts w:ascii="Calibri" w:eastAsia="+mn-ea" w:hAnsi="Calibri" w:cs="+mn-cs"/>
          <w:b/>
          <w:bCs/>
          <w:color w:val="000000"/>
          <w:kern w:val="24"/>
          <w:sz w:val="22"/>
          <w:szCs w:val="22"/>
        </w:rPr>
      </w:pPr>
    </w:p>
    <w:p w14:paraId="5AA47524" w14:textId="0DF059E7" w:rsidR="009A3F9C" w:rsidRPr="005B33D4" w:rsidRDefault="00433EEC" w:rsidP="009A3F9C">
      <w:pPr>
        <w:pStyle w:val="NormalWeb"/>
        <w:spacing w:before="0" w:beforeAutospacing="0" w:after="0" w:afterAutospacing="0"/>
        <w:jc w:val="center"/>
        <w:rPr>
          <w:rFonts w:ascii="Calibri" w:eastAsia="+mn-ea" w:hAnsi="Calibri" w:cs="+mn-cs"/>
          <w:b/>
          <w:bCs/>
          <w:color w:val="000000"/>
          <w:kern w:val="24"/>
          <w:sz w:val="22"/>
          <w:szCs w:val="22"/>
        </w:rPr>
      </w:pPr>
      <w:r>
        <w:rPr>
          <w:noProof/>
        </w:rPr>
        <w:drawing>
          <wp:inline distT="0" distB="0" distL="0" distR="0" wp14:anchorId="0986ECE5" wp14:editId="4090CC09">
            <wp:extent cx="3063240" cy="2545080"/>
            <wp:effectExtent l="0" t="0" r="3810" b="762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63240" cy="2545080"/>
                    </a:xfrm>
                    <a:prstGeom prst="rect">
                      <a:avLst/>
                    </a:prstGeom>
                    <a:noFill/>
                    <a:ln>
                      <a:noFill/>
                    </a:ln>
                  </pic:spPr>
                </pic:pic>
              </a:graphicData>
            </a:graphic>
          </wp:inline>
        </w:drawing>
      </w:r>
    </w:p>
    <w:p w14:paraId="0DEB0F90" w14:textId="19C368E7" w:rsidR="00FE75B5" w:rsidRPr="00542824" w:rsidRDefault="00D042EF" w:rsidP="00542824">
      <w:pPr>
        <w:pStyle w:val="NormalWeb"/>
        <w:jc w:val="both"/>
        <w:rPr>
          <w:rFonts w:ascii="Calibri" w:eastAsia="+mn-ea" w:hAnsi="Calibri" w:cs="+mn-cs"/>
          <w:b/>
          <w:bCs/>
          <w:color w:val="000000"/>
          <w:kern w:val="24"/>
          <w:sz w:val="22"/>
          <w:szCs w:val="22"/>
        </w:rPr>
      </w:pPr>
      <w:r w:rsidRPr="00D042EF">
        <w:rPr>
          <w:rFonts w:ascii="Calibri" w:eastAsia="+mn-ea" w:hAnsi="Calibri" w:cs="+mn-cs"/>
          <w:b/>
          <w:bCs/>
          <w:color w:val="000000"/>
          <w:kern w:val="24"/>
          <w:sz w:val="22"/>
          <w:szCs w:val="22"/>
        </w:rPr>
        <w:t>Supplementary figure 2. Salivary microbiota composition is different between the two clusters.</w:t>
      </w:r>
      <w:r w:rsidRPr="00D042EF">
        <w:rPr>
          <w:rFonts w:ascii="Calibri" w:eastAsia="+mn-ea" w:hAnsi="Calibri" w:cs="+mn-cs"/>
          <w:color w:val="000000"/>
          <w:kern w:val="24"/>
          <w:sz w:val="22"/>
          <w:szCs w:val="22"/>
        </w:rPr>
        <w:t xml:space="preserve"> Bar-plot representing the differentially abundant genera between cluster 1 and cluster 2 inferred by LEfSe at a significance cut</w:t>
      </w:r>
      <w:r w:rsidR="007D2441">
        <w:rPr>
          <w:rFonts w:ascii="Calibri" w:eastAsia="+mn-ea" w:hAnsi="Calibri" w:cs="+mn-cs"/>
          <w:color w:val="000000"/>
          <w:kern w:val="24"/>
          <w:sz w:val="22"/>
          <w:szCs w:val="22"/>
        </w:rPr>
        <w:t>-</w:t>
      </w:r>
      <w:r w:rsidRPr="00D042EF">
        <w:rPr>
          <w:rFonts w:ascii="Calibri" w:eastAsia="+mn-ea" w:hAnsi="Calibri" w:cs="+mn-cs"/>
          <w:color w:val="000000"/>
          <w:kern w:val="24"/>
          <w:sz w:val="22"/>
          <w:szCs w:val="22"/>
        </w:rPr>
        <w:t>off of 3. The Differential OTUs inferred by ANCOM are represented in underlined at 0.7 significance cut</w:t>
      </w:r>
      <w:r w:rsidR="007D2441">
        <w:rPr>
          <w:rFonts w:ascii="Calibri" w:eastAsia="+mn-ea" w:hAnsi="Calibri" w:cs="+mn-cs"/>
          <w:color w:val="000000"/>
          <w:kern w:val="24"/>
          <w:sz w:val="22"/>
          <w:szCs w:val="22"/>
        </w:rPr>
        <w:t>-</w:t>
      </w:r>
      <w:r w:rsidRPr="00D042EF">
        <w:rPr>
          <w:rFonts w:ascii="Calibri" w:eastAsia="+mn-ea" w:hAnsi="Calibri" w:cs="+mn-cs"/>
          <w:color w:val="000000"/>
          <w:kern w:val="24"/>
          <w:sz w:val="22"/>
          <w:szCs w:val="22"/>
        </w:rPr>
        <w:t>off.</w:t>
      </w:r>
      <w:r w:rsidRPr="00D042EF">
        <w:rPr>
          <w:rFonts w:ascii="Calibri" w:eastAsia="+mn-ea" w:hAnsi="Calibri" w:cs="+mn-cs"/>
          <w:b/>
          <w:bCs/>
          <w:color w:val="000000"/>
          <w:kern w:val="24"/>
          <w:sz w:val="22"/>
          <w:szCs w:val="22"/>
        </w:rPr>
        <w:t xml:space="preserve"> </w:t>
      </w:r>
    </w:p>
    <w:sectPr w:rsidR="00FE75B5" w:rsidRPr="00542824" w:rsidSect="00542824">
      <w:footerReference w:type="default" r:id="rId11"/>
      <w:pgSz w:w="11906" w:h="16838"/>
      <w:pgMar w:top="1417" w:right="1701" w:bottom="1417" w:left="1701"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CF68FE" w14:textId="77777777" w:rsidR="00777A79" w:rsidRDefault="00777A79" w:rsidP="002812CF">
      <w:pPr>
        <w:spacing w:after="0" w:line="240" w:lineRule="auto"/>
      </w:pPr>
      <w:r>
        <w:separator/>
      </w:r>
    </w:p>
  </w:endnote>
  <w:endnote w:type="continuationSeparator" w:id="0">
    <w:p w14:paraId="7D9C0C45" w14:textId="77777777" w:rsidR="00777A79" w:rsidRDefault="00777A79" w:rsidP="002812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qcmsqAdvTT86d47313+22">
    <w:altName w:val="Yu Gothic"/>
    <w:panose1 w:val="00000000000000000000"/>
    <w:charset w:val="80"/>
    <w:family w:val="auto"/>
    <w:notTrueType/>
    <w:pitch w:val="default"/>
    <w:sig w:usb0="00000001" w:usb1="08070000" w:usb2="00000010" w:usb3="00000000" w:csb0="00020000" w:csb1="00000000"/>
  </w:font>
  <w:font w:name="+mn-ea">
    <w:panose1 w:val="00000000000000000000"/>
    <w:charset w:val="00"/>
    <w:family w:val="roman"/>
    <w:notTrueType/>
    <w:pitch w:val="default"/>
  </w:font>
  <w:font w:name="+mn-c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1769756"/>
      <w:docPartObj>
        <w:docPartGallery w:val="Page Numbers (Bottom of Page)"/>
        <w:docPartUnique/>
      </w:docPartObj>
    </w:sdtPr>
    <w:sdtEndPr/>
    <w:sdtContent>
      <w:p w14:paraId="5BBCC08D" w14:textId="23D85843" w:rsidR="00542824" w:rsidRDefault="00542824">
        <w:pPr>
          <w:pStyle w:val="Rodap"/>
          <w:jc w:val="right"/>
        </w:pPr>
        <w:r>
          <w:fldChar w:fldCharType="begin"/>
        </w:r>
        <w:r>
          <w:instrText>PAGE   \* MERGEFORMAT</w:instrText>
        </w:r>
        <w:r>
          <w:fldChar w:fldCharType="separate"/>
        </w:r>
        <w:r>
          <w:t>2</w:t>
        </w:r>
        <w:r>
          <w:fldChar w:fldCharType="end"/>
        </w:r>
      </w:p>
    </w:sdtContent>
  </w:sdt>
  <w:p w14:paraId="516376D6" w14:textId="77777777" w:rsidR="00542824" w:rsidRDefault="0054282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25540E" w14:textId="77777777" w:rsidR="00777A79" w:rsidRDefault="00777A79" w:rsidP="002812CF">
      <w:pPr>
        <w:spacing w:after="0" w:line="240" w:lineRule="auto"/>
      </w:pPr>
      <w:r>
        <w:separator/>
      </w:r>
    </w:p>
  </w:footnote>
  <w:footnote w:type="continuationSeparator" w:id="0">
    <w:p w14:paraId="05253C0D" w14:textId="77777777" w:rsidR="00777A79" w:rsidRDefault="00777A79" w:rsidP="002812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EE5DB4"/>
    <w:multiLevelType w:val="hybridMultilevel"/>
    <w:tmpl w:val="F7BEB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847"/>
    <w:rsid w:val="00007830"/>
    <w:rsid w:val="00093D4B"/>
    <w:rsid w:val="000A2F6B"/>
    <w:rsid w:val="000B5A8B"/>
    <w:rsid w:val="000C026F"/>
    <w:rsid w:val="00191E65"/>
    <w:rsid w:val="00193521"/>
    <w:rsid w:val="001A19C0"/>
    <w:rsid w:val="001F51B3"/>
    <w:rsid w:val="001F77FF"/>
    <w:rsid w:val="002219E3"/>
    <w:rsid w:val="00264B2C"/>
    <w:rsid w:val="002812CF"/>
    <w:rsid w:val="002B61D6"/>
    <w:rsid w:val="003709F2"/>
    <w:rsid w:val="003E0A39"/>
    <w:rsid w:val="003F7E40"/>
    <w:rsid w:val="00433EEC"/>
    <w:rsid w:val="00452ECA"/>
    <w:rsid w:val="00473280"/>
    <w:rsid w:val="0049004F"/>
    <w:rsid w:val="004A5CA5"/>
    <w:rsid w:val="004C5186"/>
    <w:rsid w:val="0052231D"/>
    <w:rsid w:val="005355AC"/>
    <w:rsid w:val="00542824"/>
    <w:rsid w:val="00565EDC"/>
    <w:rsid w:val="0056799C"/>
    <w:rsid w:val="00581F2F"/>
    <w:rsid w:val="005B33D4"/>
    <w:rsid w:val="00601A13"/>
    <w:rsid w:val="006440BB"/>
    <w:rsid w:val="006479A2"/>
    <w:rsid w:val="007004F7"/>
    <w:rsid w:val="00727050"/>
    <w:rsid w:val="007477D7"/>
    <w:rsid w:val="00763390"/>
    <w:rsid w:val="00777A79"/>
    <w:rsid w:val="007C4373"/>
    <w:rsid w:val="007D2441"/>
    <w:rsid w:val="007D311F"/>
    <w:rsid w:val="008011E5"/>
    <w:rsid w:val="008133FD"/>
    <w:rsid w:val="00885237"/>
    <w:rsid w:val="00915569"/>
    <w:rsid w:val="00926416"/>
    <w:rsid w:val="00937641"/>
    <w:rsid w:val="009918E4"/>
    <w:rsid w:val="00992662"/>
    <w:rsid w:val="009A3F9C"/>
    <w:rsid w:val="009C4D93"/>
    <w:rsid w:val="00A22B52"/>
    <w:rsid w:val="00A44BA5"/>
    <w:rsid w:val="00A56A08"/>
    <w:rsid w:val="00A84847"/>
    <w:rsid w:val="00AA2D09"/>
    <w:rsid w:val="00AB5ABE"/>
    <w:rsid w:val="00AC1063"/>
    <w:rsid w:val="00AF4E6C"/>
    <w:rsid w:val="00B006EB"/>
    <w:rsid w:val="00B2329A"/>
    <w:rsid w:val="00B810A3"/>
    <w:rsid w:val="00BB5337"/>
    <w:rsid w:val="00BE092F"/>
    <w:rsid w:val="00C520FA"/>
    <w:rsid w:val="00C71D73"/>
    <w:rsid w:val="00C76285"/>
    <w:rsid w:val="00CF46E6"/>
    <w:rsid w:val="00D042EF"/>
    <w:rsid w:val="00D2399C"/>
    <w:rsid w:val="00D4444F"/>
    <w:rsid w:val="00D76CCF"/>
    <w:rsid w:val="00DB3C3F"/>
    <w:rsid w:val="00E057AA"/>
    <w:rsid w:val="00E13D42"/>
    <w:rsid w:val="00E210B5"/>
    <w:rsid w:val="00E732ED"/>
    <w:rsid w:val="00E87C55"/>
    <w:rsid w:val="00EA7FA5"/>
    <w:rsid w:val="00EF040E"/>
    <w:rsid w:val="00EF1BE0"/>
    <w:rsid w:val="00F10FC2"/>
    <w:rsid w:val="00F347E5"/>
    <w:rsid w:val="00F40473"/>
    <w:rsid w:val="00F51065"/>
    <w:rsid w:val="00F92BF7"/>
    <w:rsid w:val="00FB2AD2"/>
    <w:rsid w:val="00FD19F4"/>
    <w:rsid w:val="00FE75B5"/>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A7851"/>
  <w15:chartTrackingRefBased/>
  <w15:docId w15:val="{61EB6C2E-67EC-4B17-9F18-E5B0B94DF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4847"/>
    <w:pPr>
      <w:spacing w:after="200" w:line="276" w:lineRule="auto"/>
    </w:pPr>
  </w:style>
  <w:style w:type="paragraph" w:styleId="Ttulo1">
    <w:name w:val="heading 1"/>
    <w:basedOn w:val="Normal"/>
    <w:next w:val="Normal"/>
    <w:link w:val="Ttulo1Carter"/>
    <w:uiPriority w:val="9"/>
    <w:qFormat/>
    <w:rsid w:val="00A84847"/>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Ttulo2">
    <w:name w:val="heading 2"/>
    <w:basedOn w:val="Normal"/>
    <w:next w:val="Normal"/>
    <w:link w:val="Ttulo2Carter"/>
    <w:uiPriority w:val="9"/>
    <w:unhideWhenUsed/>
    <w:qFormat/>
    <w:rsid w:val="00A84847"/>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basedOn w:val="Tipodeletrapredefinidodopargrafo"/>
    <w:link w:val="Ttulo1"/>
    <w:uiPriority w:val="9"/>
    <w:rsid w:val="00A84847"/>
    <w:rPr>
      <w:rFonts w:asciiTheme="majorHAnsi" w:eastAsiaTheme="majorEastAsia" w:hAnsiTheme="majorHAnsi" w:cstheme="majorBidi"/>
      <w:b/>
      <w:bCs/>
      <w:color w:val="2F5496" w:themeColor="accent1" w:themeShade="BF"/>
      <w:sz w:val="28"/>
      <w:szCs w:val="28"/>
    </w:rPr>
  </w:style>
  <w:style w:type="character" w:customStyle="1" w:styleId="Ttulo2Carter">
    <w:name w:val="Título 2 Caráter"/>
    <w:basedOn w:val="Tipodeletrapredefinidodopargrafo"/>
    <w:link w:val="Ttulo2"/>
    <w:uiPriority w:val="9"/>
    <w:rsid w:val="00A84847"/>
    <w:rPr>
      <w:rFonts w:asciiTheme="majorHAnsi" w:eastAsiaTheme="majorEastAsia" w:hAnsiTheme="majorHAnsi" w:cstheme="majorBidi"/>
      <w:b/>
      <w:bCs/>
      <w:color w:val="4472C4" w:themeColor="accent1"/>
      <w:sz w:val="26"/>
      <w:szCs w:val="26"/>
    </w:rPr>
  </w:style>
  <w:style w:type="paragraph" w:styleId="Bibliografia">
    <w:name w:val="Bibliography"/>
    <w:basedOn w:val="Normal"/>
    <w:next w:val="Normal"/>
    <w:uiPriority w:val="37"/>
    <w:unhideWhenUsed/>
    <w:rsid w:val="00A84847"/>
    <w:pPr>
      <w:spacing w:after="240" w:line="240" w:lineRule="auto"/>
    </w:pPr>
  </w:style>
  <w:style w:type="paragraph" w:styleId="PargrafodaLista">
    <w:name w:val="List Paragraph"/>
    <w:basedOn w:val="Normal"/>
    <w:uiPriority w:val="34"/>
    <w:qFormat/>
    <w:rsid w:val="00A84847"/>
    <w:pPr>
      <w:ind w:left="720"/>
      <w:contextualSpacing/>
    </w:pPr>
  </w:style>
  <w:style w:type="character" w:customStyle="1" w:styleId="normaltextrun">
    <w:name w:val="normaltextrun"/>
    <w:basedOn w:val="Tipodeletrapredefinidodopargrafo"/>
    <w:rsid w:val="00A84847"/>
  </w:style>
  <w:style w:type="character" w:customStyle="1" w:styleId="eop">
    <w:name w:val="eop"/>
    <w:basedOn w:val="Tipodeletrapredefinidodopargrafo"/>
    <w:rsid w:val="00A84847"/>
  </w:style>
  <w:style w:type="table" w:styleId="TabelaSimples5">
    <w:name w:val="Plain Table 5"/>
    <w:basedOn w:val="Tabelanormal"/>
    <w:uiPriority w:val="45"/>
    <w:rsid w:val="00A84847"/>
    <w:pPr>
      <w:spacing w:after="0" w:line="240" w:lineRule="auto"/>
    </w:pPr>
    <w:rPr>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abealho">
    <w:name w:val="header"/>
    <w:basedOn w:val="Normal"/>
    <w:link w:val="CabealhoCarter"/>
    <w:uiPriority w:val="99"/>
    <w:unhideWhenUsed/>
    <w:rsid w:val="002812CF"/>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2812CF"/>
  </w:style>
  <w:style w:type="paragraph" w:styleId="Rodap">
    <w:name w:val="footer"/>
    <w:basedOn w:val="Normal"/>
    <w:link w:val="RodapCarter"/>
    <w:uiPriority w:val="99"/>
    <w:unhideWhenUsed/>
    <w:rsid w:val="002812CF"/>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2812CF"/>
  </w:style>
  <w:style w:type="paragraph" w:styleId="NormalWeb">
    <w:name w:val="Normal (Web)"/>
    <w:basedOn w:val="Normal"/>
    <w:uiPriority w:val="99"/>
    <w:unhideWhenUsed/>
    <w:rsid w:val="002812C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Refdecomentrio">
    <w:name w:val="annotation reference"/>
    <w:basedOn w:val="Tipodeletrapredefinidodopargrafo"/>
    <w:uiPriority w:val="99"/>
    <w:semiHidden/>
    <w:unhideWhenUsed/>
    <w:rsid w:val="002812CF"/>
    <w:rPr>
      <w:sz w:val="16"/>
      <w:szCs w:val="16"/>
    </w:rPr>
  </w:style>
  <w:style w:type="paragraph" w:styleId="Textodecomentrio">
    <w:name w:val="annotation text"/>
    <w:basedOn w:val="Normal"/>
    <w:link w:val="TextodecomentrioCarter"/>
    <w:uiPriority w:val="99"/>
    <w:semiHidden/>
    <w:unhideWhenUsed/>
    <w:rsid w:val="002812CF"/>
    <w:pPr>
      <w:spacing w:line="240" w:lineRule="auto"/>
    </w:pPr>
    <w:rPr>
      <w:sz w:val="20"/>
      <w:szCs w:val="20"/>
    </w:rPr>
  </w:style>
  <w:style w:type="character" w:customStyle="1" w:styleId="TextodecomentrioCarter">
    <w:name w:val="Texto de comentário Caráter"/>
    <w:basedOn w:val="Tipodeletrapredefinidodopargrafo"/>
    <w:link w:val="Textodecomentrio"/>
    <w:uiPriority w:val="99"/>
    <w:semiHidden/>
    <w:rsid w:val="002812CF"/>
    <w:rPr>
      <w:sz w:val="20"/>
      <w:szCs w:val="20"/>
    </w:rPr>
  </w:style>
  <w:style w:type="paragraph" w:styleId="Assuntodecomentrio">
    <w:name w:val="annotation subject"/>
    <w:basedOn w:val="Textodecomentrio"/>
    <w:next w:val="Textodecomentrio"/>
    <w:link w:val="AssuntodecomentrioCarter"/>
    <w:uiPriority w:val="99"/>
    <w:semiHidden/>
    <w:unhideWhenUsed/>
    <w:rsid w:val="002812CF"/>
    <w:rPr>
      <w:b/>
      <w:bCs/>
    </w:rPr>
  </w:style>
  <w:style w:type="character" w:customStyle="1" w:styleId="AssuntodecomentrioCarter">
    <w:name w:val="Assunto de comentário Caráter"/>
    <w:basedOn w:val="TextodecomentrioCarter"/>
    <w:link w:val="Assuntodecomentrio"/>
    <w:uiPriority w:val="99"/>
    <w:semiHidden/>
    <w:rsid w:val="002812CF"/>
    <w:rPr>
      <w:b/>
      <w:bCs/>
      <w:sz w:val="20"/>
      <w:szCs w:val="20"/>
    </w:rPr>
  </w:style>
  <w:style w:type="character" w:styleId="Nmerodelinha">
    <w:name w:val="line number"/>
    <w:basedOn w:val="Tipodeletrapredefinidodopargrafo"/>
    <w:uiPriority w:val="99"/>
    <w:semiHidden/>
    <w:unhideWhenUsed/>
    <w:rsid w:val="005428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953880">
      <w:bodyDiv w:val="1"/>
      <w:marLeft w:val="0"/>
      <w:marRight w:val="0"/>
      <w:marTop w:val="0"/>
      <w:marBottom w:val="0"/>
      <w:divBdr>
        <w:top w:val="none" w:sz="0" w:space="0" w:color="auto"/>
        <w:left w:val="none" w:sz="0" w:space="0" w:color="auto"/>
        <w:bottom w:val="none" w:sz="0" w:space="0" w:color="auto"/>
        <w:right w:val="none" w:sz="0" w:space="0" w:color="auto"/>
      </w:divBdr>
    </w:div>
    <w:div w:id="176425455">
      <w:bodyDiv w:val="1"/>
      <w:marLeft w:val="0"/>
      <w:marRight w:val="0"/>
      <w:marTop w:val="0"/>
      <w:marBottom w:val="0"/>
      <w:divBdr>
        <w:top w:val="none" w:sz="0" w:space="0" w:color="auto"/>
        <w:left w:val="none" w:sz="0" w:space="0" w:color="auto"/>
        <w:bottom w:val="none" w:sz="0" w:space="0" w:color="auto"/>
        <w:right w:val="none" w:sz="0" w:space="0" w:color="auto"/>
      </w:divBdr>
    </w:div>
    <w:div w:id="413403998">
      <w:bodyDiv w:val="1"/>
      <w:marLeft w:val="0"/>
      <w:marRight w:val="0"/>
      <w:marTop w:val="0"/>
      <w:marBottom w:val="0"/>
      <w:divBdr>
        <w:top w:val="none" w:sz="0" w:space="0" w:color="auto"/>
        <w:left w:val="none" w:sz="0" w:space="0" w:color="auto"/>
        <w:bottom w:val="none" w:sz="0" w:space="0" w:color="auto"/>
        <w:right w:val="none" w:sz="0" w:space="0" w:color="auto"/>
      </w:divBdr>
    </w:div>
    <w:div w:id="524289546">
      <w:bodyDiv w:val="1"/>
      <w:marLeft w:val="0"/>
      <w:marRight w:val="0"/>
      <w:marTop w:val="0"/>
      <w:marBottom w:val="0"/>
      <w:divBdr>
        <w:top w:val="none" w:sz="0" w:space="0" w:color="auto"/>
        <w:left w:val="none" w:sz="0" w:space="0" w:color="auto"/>
        <w:bottom w:val="none" w:sz="0" w:space="0" w:color="auto"/>
        <w:right w:val="none" w:sz="0" w:space="0" w:color="auto"/>
      </w:divBdr>
    </w:div>
    <w:div w:id="885024791">
      <w:bodyDiv w:val="1"/>
      <w:marLeft w:val="0"/>
      <w:marRight w:val="0"/>
      <w:marTop w:val="0"/>
      <w:marBottom w:val="0"/>
      <w:divBdr>
        <w:top w:val="none" w:sz="0" w:space="0" w:color="auto"/>
        <w:left w:val="none" w:sz="0" w:space="0" w:color="auto"/>
        <w:bottom w:val="none" w:sz="0" w:space="0" w:color="auto"/>
        <w:right w:val="none" w:sz="0" w:space="0" w:color="auto"/>
      </w:divBdr>
    </w:div>
    <w:div w:id="984434130">
      <w:bodyDiv w:val="1"/>
      <w:marLeft w:val="0"/>
      <w:marRight w:val="0"/>
      <w:marTop w:val="0"/>
      <w:marBottom w:val="0"/>
      <w:divBdr>
        <w:top w:val="none" w:sz="0" w:space="0" w:color="auto"/>
        <w:left w:val="none" w:sz="0" w:space="0" w:color="auto"/>
        <w:bottom w:val="none" w:sz="0" w:space="0" w:color="auto"/>
        <w:right w:val="none" w:sz="0" w:space="0" w:color="auto"/>
      </w:divBdr>
    </w:div>
    <w:div w:id="1308123900">
      <w:bodyDiv w:val="1"/>
      <w:marLeft w:val="0"/>
      <w:marRight w:val="0"/>
      <w:marTop w:val="0"/>
      <w:marBottom w:val="0"/>
      <w:divBdr>
        <w:top w:val="none" w:sz="0" w:space="0" w:color="auto"/>
        <w:left w:val="none" w:sz="0" w:space="0" w:color="auto"/>
        <w:bottom w:val="none" w:sz="0" w:space="0" w:color="auto"/>
        <w:right w:val="none" w:sz="0" w:space="0" w:color="auto"/>
      </w:divBdr>
    </w:div>
    <w:div w:id="1347707466">
      <w:bodyDiv w:val="1"/>
      <w:marLeft w:val="0"/>
      <w:marRight w:val="0"/>
      <w:marTop w:val="0"/>
      <w:marBottom w:val="0"/>
      <w:divBdr>
        <w:top w:val="none" w:sz="0" w:space="0" w:color="auto"/>
        <w:left w:val="none" w:sz="0" w:space="0" w:color="auto"/>
        <w:bottom w:val="none" w:sz="0" w:space="0" w:color="auto"/>
        <w:right w:val="none" w:sz="0" w:space="0" w:color="auto"/>
      </w:divBdr>
    </w:div>
    <w:div w:id="1409378017">
      <w:bodyDiv w:val="1"/>
      <w:marLeft w:val="0"/>
      <w:marRight w:val="0"/>
      <w:marTop w:val="0"/>
      <w:marBottom w:val="0"/>
      <w:divBdr>
        <w:top w:val="none" w:sz="0" w:space="0" w:color="auto"/>
        <w:left w:val="none" w:sz="0" w:space="0" w:color="auto"/>
        <w:bottom w:val="none" w:sz="0" w:space="0" w:color="auto"/>
        <w:right w:val="none" w:sz="0" w:space="0" w:color="auto"/>
      </w:divBdr>
    </w:div>
    <w:div w:id="1562862769">
      <w:bodyDiv w:val="1"/>
      <w:marLeft w:val="0"/>
      <w:marRight w:val="0"/>
      <w:marTop w:val="0"/>
      <w:marBottom w:val="0"/>
      <w:divBdr>
        <w:top w:val="none" w:sz="0" w:space="0" w:color="auto"/>
        <w:left w:val="none" w:sz="0" w:space="0" w:color="auto"/>
        <w:bottom w:val="none" w:sz="0" w:space="0" w:color="auto"/>
        <w:right w:val="none" w:sz="0" w:space="0" w:color="auto"/>
      </w:divBdr>
    </w:div>
    <w:div w:id="1610357339">
      <w:bodyDiv w:val="1"/>
      <w:marLeft w:val="0"/>
      <w:marRight w:val="0"/>
      <w:marTop w:val="0"/>
      <w:marBottom w:val="0"/>
      <w:divBdr>
        <w:top w:val="none" w:sz="0" w:space="0" w:color="auto"/>
        <w:left w:val="none" w:sz="0" w:space="0" w:color="auto"/>
        <w:bottom w:val="none" w:sz="0" w:space="0" w:color="auto"/>
        <w:right w:val="none" w:sz="0" w:space="0" w:color="auto"/>
      </w:divBdr>
    </w:div>
    <w:div w:id="1891644933">
      <w:bodyDiv w:val="1"/>
      <w:marLeft w:val="0"/>
      <w:marRight w:val="0"/>
      <w:marTop w:val="0"/>
      <w:marBottom w:val="0"/>
      <w:divBdr>
        <w:top w:val="none" w:sz="0" w:space="0" w:color="auto"/>
        <w:left w:val="none" w:sz="0" w:space="0" w:color="auto"/>
        <w:bottom w:val="none" w:sz="0" w:space="0" w:color="auto"/>
        <w:right w:val="none" w:sz="0" w:space="0" w:color="auto"/>
      </w:divBdr>
    </w:div>
    <w:div w:id="210476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704753-1DF4-4DC5-B753-8DFA20BAF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371</TotalTime>
  <Pages>10</Pages>
  <Words>7538</Words>
  <Characters>42968</Characters>
  <Application>Microsoft Office Word</Application>
  <DocSecurity>0</DocSecurity>
  <Lines>358</Lines>
  <Paragraphs>100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Dias</dc:creator>
  <cp:keywords/>
  <dc:description/>
  <cp:lastModifiedBy>Sara Dias</cp:lastModifiedBy>
  <cp:revision>41</cp:revision>
  <dcterms:created xsi:type="dcterms:W3CDTF">2021-05-25T10:37:00Z</dcterms:created>
  <dcterms:modified xsi:type="dcterms:W3CDTF">2021-09-25T08:45:00Z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id="siZC9DBZ"/&gt;&lt;style id="http://www.zotero.org/styles/respiratory-research" hasBibliography="1" bibliographyStyleHasBeenSet="1"/&gt;&lt;prefs&gt;&lt;pref name="fieldType" value="Field"/&gt;&lt;/prefs&gt;&lt;/data&gt;</vt:lpwstr>
  </property>
</Properties>
</file>