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E6414D" w14:textId="77777777" w:rsidR="006725BF" w:rsidRPr="00175C83" w:rsidRDefault="006725BF" w:rsidP="006725BF">
      <w:pPr>
        <w:pStyle w:val="Heading1"/>
        <w:ind w:left="284" w:hanging="284"/>
        <w:rPr>
          <w:sz w:val="24"/>
          <w:szCs w:val="24"/>
        </w:rPr>
      </w:pPr>
      <w:r w:rsidRPr="00175C83">
        <w:rPr>
          <w:sz w:val="24"/>
          <w:szCs w:val="24"/>
        </w:rPr>
        <w:t>Appendix A: Analysis of lake surface brightness</w:t>
      </w:r>
    </w:p>
    <w:p w14:paraId="6D63CE3C" w14:textId="77777777" w:rsidR="006725BF" w:rsidRDefault="006725BF" w:rsidP="006725BF">
      <w:pPr>
        <w:ind w:firstLineChars="100" w:firstLine="200"/>
        <w:rPr>
          <w:rFonts w:ascii="Times New Roman" w:hAnsi="Times New Roman" w:cs="Times New Roman"/>
          <w:sz w:val="20"/>
          <w:szCs w:val="20"/>
        </w:rPr>
      </w:pPr>
      <w:r w:rsidRPr="000A0AFC">
        <w:rPr>
          <w:rFonts w:ascii="Times New Roman" w:hAnsi="Times New Roman" w:cs="Times New Roman"/>
          <w:sz w:val="20"/>
          <w:szCs w:val="20"/>
        </w:rPr>
        <w:t xml:space="preserve">Aerial images captured repeatedly from nearly the same location above the southern part of the </w:t>
      </w:r>
      <w:proofErr w:type="spellStart"/>
      <w:r w:rsidRPr="000A0AFC">
        <w:rPr>
          <w:rFonts w:ascii="Times New Roman" w:hAnsi="Times New Roman" w:cs="Times New Roman"/>
          <w:sz w:val="20"/>
          <w:szCs w:val="20"/>
        </w:rPr>
        <w:t>Yugama</w:t>
      </w:r>
      <w:proofErr w:type="spellEnd"/>
      <w:r w:rsidRPr="000A0AFC">
        <w:rPr>
          <w:rFonts w:ascii="Times New Roman" w:hAnsi="Times New Roman" w:cs="Times New Roman"/>
          <w:sz w:val="20"/>
          <w:szCs w:val="20"/>
        </w:rPr>
        <w:t xml:space="preserve"> crater lake (around waypoint 9 in Fig. 1c) were analyzed using the open-source image processing software package ImageJ/Fiji (National Institutes of Health, USA) following the procedure described below. First, the images (Fig. 3a) were separated into red, green, and blue channels (Fig. 3b). </w:t>
      </w:r>
      <w:r>
        <w:rPr>
          <w:rFonts w:ascii="Times New Roman" w:hAnsi="Times New Roman" w:cs="Times New Roman" w:hint="eastAsia"/>
          <w:sz w:val="20"/>
          <w:szCs w:val="20"/>
        </w:rPr>
        <w:t>T</w:t>
      </w:r>
      <w:r w:rsidRPr="0077299E">
        <w:rPr>
          <w:rFonts w:ascii="Times New Roman" w:hAnsi="Times New Roman" w:cs="Times New Roman"/>
          <w:sz w:val="20"/>
          <w:szCs w:val="20"/>
        </w:rPr>
        <w:t xml:space="preserve">he contrast and brightness of the lake surface </w:t>
      </w:r>
      <w:r w:rsidRPr="00CC4940">
        <w:rPr>
          <w:rFonts w:ascii="Times New Roman" w:hAnsi="Times New Roman" w:cs="Times New Roman"/>
          <w:sz w:val="20"/>
          <w:szCs w:val="20"/>
        </w:rPr>
        <w:t>in the green channel</w:t>
      </w:r>
      <w:r w:rsidRPr="0077299E">
        <w:rPr>
          <w:rFonts w:ascii="Times New Roman" w:hAnsi="Times New Roman" w:cs="Times New Roman"/>
          <w:sz w:val="20"/>
          <w:szCs w:val="20"/>
        </w:rPr>
        <w:t xml:space="preserve"> were then automatically adjusted using the default Auto function in ImageJ/Fiji, solely for visualization purposes to enhance discoloration</w:t>
      </w:r>
      <w:r w:rsidRPr="000A0AFC">
        <w:rPr>
          <w:rFonts w:ascii="Times New Roman" w:hAnsi="Times New Roman" w:cs="Times New Roman"/>
          <w:sz w:val="20"/>
          <w:szCs w:val="20"/>
        </w:rPr>
        <w:t xml:space="preserve"> (Fig. 3</w:t>
      </w:r>
      <w:r>
        <w:rPr>
          <w:rFonts w:ascii="Times New Roman" w:hAnsi="Times New Roman" w:cs="Times New Roman" w:hint="eastAsia"/>
          <w:sz w:val="20"/>
          <w:szCs w:val="20"/>
        </w:rPr>
        <w:t>c</w:t>
      </w:r>
      <w:r w:rsidRPr="000A0AFC">
        <w:rPr>
          <w:rFonts w:ascii="Times New Roman" w:hAnsi="Times New Roman" w:cs="Times New Roman"/>
          <w:sz w:val="20"/>
          <w:szCs w:val="20"/>
        </w:rPr>
        <w:t>)</w:t>
      </w:r>
      <w:r w:rsidRPr="0077299E">
        <w:rPr>
          <w:rFonts w:ascii="Times New Roman" w:hAnsi="Times New Roman" w:cs="Times New Roman"/>
          <w:sz w:val="20"/>
          <w:szCs w:val="20"/>
        </w:rPr>
        <w:t>.</w:t>
      </w:r>
      <w:r w:rsidRPr="00CF0A83">
        <w:rPr>
          <w:rFonts w:ascii="Times New Roman" w:hAnsi="Times New Roman" w:cs="Times New Roman"/>
          <w:sz w:val="20"/>
          <w:szCs w:val="20"/>
        </w:rPr>
        <w:t xml:space="preserve"> </w:t>
      </w:r>
      <w:r w:rsidRPr="00CC4940">
        <w:rPr>
          <w:rFonts w:ascii="Times New Roman" w:hAnsi="Times New Roman" w:cs="Times New Roman"/>
          <w:sz w:val="20"/>
          <w:szCs w:val="20"/>
        </w:rPr>
        <w:t>Discolored areas in the green channel were identified by first defining regions of interest (ROIs) using the wand tool in ImageJ/Fiji (8-connected pixel connectivity; fixed tolerance of 20 in 8-bit intensity units), followed by application of Otsu’s method (Otsu 1979; Xiang 2022) to these regions (Fig. 3d).</w:t>
      </w:r>
    </w:p>
    <w:p w14:paraId="28EBB488" w14:textId="77777777" w:rsidR="006725BF" w:rsidRPr="000A0AFC" w:rsidRDefault="006725BF" w:rsidP="006725BF">
      <w:pPr>
        <w:ind w:firstLineChars="100" w:firstLine="200"/>
        <w:rPr>
          <w:rFonts w:ascii="Times New Roman" w:hAnsi="Times New Roman" w:cs="Times New Roman"/>
          <w:sz w:val="20"/>
          <w:szCs w:val="20"/>
        </w:rPr>
      </w:pPr>
      <w:r w:rsidRPr="000A0AFC">
        <w:rPr>
          <w:rFonts w:ascii="Times New Roman" w:hAnsi="Times New Roman" w:cs="Times New Roman"/>
          <w:sz w:val="20"/>
          <w:szCs w:val="20"/>
        </w:rPr>
        <w:t>Subsequently, the contours of the discolored areas were projected onto the DSM generated from the flight on 8 November 2026, and their horizontal areas were calculated. Drone position, gimbal attitude, focal length, field of view, and image size, as recorded in the image metadata, were used for these calculations. Temporal variations in lake water level are minor; previous records indicate that it varies by &lt;0.5 m throughout the winter (Terada and Kuwahara, 2025). The aerial imagery confirmed that the water level did not change substantially from September 2025 to March 2026.</w:t>
      </w:r>
    </w:p>
    <w:p w14:paraId="75798C10" w14:textId="77777777" w:rsidR="006725BF" w:rsidRPr="000A0AFC" w:rsidRDefault="006725BF" w:rsidP="006725BF">
      <w:pPr>
        <w:ind w:firstLineChars="100" w:firstLine="200"/>
        <w:rPr>
          <w:rFonts w:ascii="Times New Roman" w:hAnsi="Times New Roman" w:cs="Times New Roman"/>
          <w:sz w:val="20"/>
          <w:szCs w:val="20"/>
        </w:rPr>
      </w:pPr>
      <w:r w:rsidRPr="0077299E">
        <w:rPr>
          <w:rFonts w:ascii="Times New Roman" w:hAnsi="Times New Roman" w:cs="Times New Roman"/>
          <w:sz w:val="20"/>
          <w:szCs w:val="20"/>
        </w:rPr>
        <w:t>Brightness was calculated from the original red, green, and blue channels without any contrast or brightness adjustments.</w:t>
      </w:r>
      <w:r>
        <w:rPr>
          <w:rFonts w:ascii="Times New Roman" w:hAnsi="Times New Roman" w:cs="Times New Roman" w:hint="eastAsia"/>
          <w:sz w:val="20"/>
          <w:szCs w:val="20"/>
        </w:rPr>
        <w:t xml:space="preserve"> </w:t>
      </w:r>
      <w:r w:rsidRPr="000A0AFC">
        <w:rPr>
          <w:rFonts w:ascii="Times New Roman" w:hAnsi="Times New Roman" w:cs="Times New Roman"/>
          <w:sz w:val="20"/>
          <w:szCs w:val="20"/>
        </w:rPr>
        <w:t xml:space="preserve">The brightness </w:t>
      </w:r>
      <m:oMath>
        <m:r>
          <w:rPr>
            <w:rFonts w:ascii="Cambria Math" w:hAnsi="Cambria Math" w:cs="Times New Roman"/>
            <w:sz w:val="20"/>
            <w:szCs w:val="20"/>
          </w:rPr>
          <m:t>L</m:t>
        </m:r>
      </m:oMath>
      <w:r w:rsidRPr="000A0AFC">
        <w:rPr>
          <w:rFonts w:ascii="Times New Roman" w:hAnsi="Times New Roman" w:cs="Times New Roman"/>
          <w:sz w:val="20"/>
          <w:szCs w:val="20"/>
        </w:rPr>
        <w:t xml:space="preserve"> was calculated as follows:</w:t>
      </w:r>
    </w:p>
    <w:p w14:paraId="52FF26AA" w14:textId="77777777" w:rsidR="006725BF" w:rsidRPr="000A0AFC" w:rsidRDefault="006725BF" w:rsidP="006725BF">
      <w:pPr>
        <w:ind w:firstLineChars="100" w:firstLine="200"/>
        <w:rPr>
          <w:rFonts w:ascii="Times New Roman" w:hAnsi="Times New Roman" w:cs="Times New Roman"/>
          <w:sz w:val="20"/>
          <w:szCs w:val="20"/>
        </w:rPr>
      </w:pPr>
    </w:p>
    <w:p w14:paraId="217B347B" w14:textId="77777777" w:rsidR="006725BF" w:rsidRPr="000A0AFC" w:rsidRDefault="006725BF" w:rsidP="006725BF">
      <w:pPr>
        <w:tabs>
          <w:tab w:val="left" w:pos="9356"/>
        </w:tabs>
        <w:ind w:firstLineChars="100" w:firstLine="200"/>
        <w:rPr>
          <w:rFonts w:ascii="Times New Roman" w:hAnsi="Times New Roman" w:cs="Times New Roman"/>
          <w:sz w:val="20"/>
          <w:szCs w:val="20"/>
        </w:rPr>
      </w:pPr>
      <m:oMath>
        <m:r>
          <w:rPr>
            <w:rFonts w:ascii="Cambria Math" w:hAnsi="Cambria Math" w:cs="Times New Roman"/>
            <w:sz w:val="20"/>
            <w:szCs w:val="20"/>
          </w:rPr>
          <m:t>L=0.299R+0.587G+0.114B</m:t>
        </m:r>
      </m:oMath>
      <w:r w:rsidRPr="000A0AFC">
        <w:rPr>
          <w:rFonts w:ascii="Times New Roman" w:hAnsi="Times New Roman" w:cs="Times New Roman"/>
          <w:sz w:val="20"/>
          <w:szCs w:val="20"/>
        </w:rPr>
        <w:tab/>
        <w:t>(1)</w:t>
      </w:r>
    </w:p>
    <w:p w14:paraId="0E991BAB" w14:textId="77777777" w:rsidR="006725BF" w:rsidRPr="000A0AFC" w:rsidRDefault="006725BF" w:rsidP="006725BF">
      <w:pPr>
        <w:rPr>
          <w:rFonts w:ascii="Times New Roman" w:hAnsi="Times New Roman" w:cs="Times New Roman"/>
          <w:sz w:val="20"/>
          <w:szCs w:val="20"/>
        </w:rPr>
      </w:pPr>
    </w:p>
    <w:p w14:paraId="22C71F74" w14:textId="77777777" w:rsidR="006725BF" w:rsidRPr="000A0AFC" w:rsidRDefault="006725BF" w:rsidP="006725BF">
      <w:pPr>
        <w:rPr>
          <w:rFonts w:ascii="Times New Roman" w:hAnsi="Times New Roman" w:cs="Times New Roman"/>
          <w:sz w:val="20"/>
          <w:szCs w:val="20"/>
        </w:rPr>
      </w:pPr>
      <w:r w:rsidRPr="000A0AFC">
        <w:rPr>
          <w:rFonts w:ascii="Times New Roman" w:hAnsi="Times New Roman" w:cs="Times New Roman"/>
          <w:sz w:val="20"/>
          <w:szCs w:val="20"/>
        </w:rPr>
        <w:t xml:space="preserve">where </w:t>
      </w:r>
      <m:oMath>
        <m:r>
          <w:rPr>
            <w:rFonts w:ascii="Cambria Math" w:hAnsi="Cambria Math" w:cs="Times New Roman"/>
            <w:sz w:val="20"/>
            <w:szCs w:val="20"/>
          </w:rPr>
          <m:t>R</m:t>
        </m:r>
      </m:oMath>
      <w:r w:rsidRPr="000A0AFC">
        <w:rPr>
          <w:rFonts w:ascii="Times New Roman" w:hAnsi="Times New Roman" w:cs="Times New Roman"/>
          <w:sz w:val="20"/>
          <w:szCs w:val="20"/>
        </w:rPr>
        <w:t xml:space="preserve">, </w:t>
      </w:r>
      <m:oMath>
        <m:r>
          <w:rPr>
            <w:rFonts w:ascii="Cambria Math" w:hAnsi="Cambria Math" w:cs="Times New Roman"/>
            <w:sz w:val="20"/>
            <w:szCs w:val="20"/>
          </w:rPr>
          <m:t>G</m:t>
        </m:r>
      </m:oMath>
      <w:r w:rsidRPr="000A0AFC">
        <w:rPr>
          <w:rFonts w:ascii="Times New Roman" w:hAnsi="Times New Roman" w:cs="Times New Roman"/>
          <w:sz w:val="20"/>
          <w:szCs w:val="20"/>
        </w:rPr>
        <w:t xml:space="preserve">, and </w:t>
      </w:r>
      <m:oMath>
        <m:r>
          <w:rPr>
            <w:rFonts w:ascii="Cambria Math" w:hAnsi="Cambria Math" w:cs="Times New Roman"/>
            <w:sz w:val="20"/>
            <w:szCs w:val="20"/>
          </w:rPr>
          <m:t>B</m:t>
        </m:r>
      </m:oMath>
      <w:r w:rsidRPr="000A0AFC">
        <w:rPr>
          <w:rFonts w:ascii="Times New Roman" w:hAnsi="Times New Roman" w:cs="Times New Roman"/>
          <w:sz w:val="20"/>
          <w:szCs w:val="20"/>
        </w:rPr>
        <w:t xml:space="preserve"> are the mean red, green, and blue intensities of the area of interest, respectively.</w:t>
      </w:r>
    </w:p>
    <w:p w14:paraId="4C0E5EAF" w14:textId="77777777" w:rsidR="006725BF" w:rsidRDefault="006725BF" w:rsidP="006725BF">
      <w:pPr>
        <w:ind w:firstLineChars="100" w:firstLine="200"/>
        <w:rPr>
          <w:rFonts w:ascii="Times New Roman" w:hAnsi="Times New Roman" w:cs="Times New Roman"/>
          <w:sz w:val="20"/>
          <w:szCs w:val="20"/>
        </w:rPr>
      </w:pPr>
      <w:r>
        <w:rPr>
          <w:rFonts w:ascii="Times New Roman" w:hAnsi="Times New Roman" w:cs="Times New Roman" w:hint="eastAsia"/>
          <w:sz w:val="20"/>
          <w:szCs w:val="20"/>
        </w:rPr>
        <w:t>The</w:t>
      </w:r>
      <w:r w:rsidRPr="000A0AFC">
        <w:rPr>
          <w:rFonts w:ascii="Times New Roman" w:hAnsi="Times New Roman" w:cs="Times New Roman"/>
          <w:sz w:val="20"/>
          <w:szCs w:val="20"/>
        </w:rPr>
        <w:t xml:space="preserve"> brightness of the lake surface depends on camera parameters, including the white balance. Table 2 and Fig. 5a provide the camera parameters and the changes in brightness of the discolored and non-discolored areas. The brightness of both the discolored and non-discolored areas decreased slightly over time. </w:t>
      </w:r>
    </w:p>
    <w:p w14:paraId="5E534C98" w14:textId="77777777" w:rsidR="006725BF" w:rsidRDefault="006725BF" w:rsidP="006725BF">
      <w:pPr>
        <w:ind w:firstLineChars="100" w:firstLine="200"/>
        <w:rPr>
          <w:rFonts w:ascii="Times New Roman" w:hAnsi="Times New Roman" w:cs="Times New Roman"/>
          <w:sz w:val="20"/>
          <w:szCs w:val="20"/>
        </w:rPr>
      </w:pPr>
      <w:r w:rsidRPr="000A0AFC">
        <w:rPr>
          <w:rFonts w:ascii="Times New Roman" w:hAnsi="Times New Roman" w:cs="Times New Roman"/>
          <w:sz w:val="20"/>
          <w:szCs w:val="20"/>
        </w:rPr>
        <w:t>Because illumination conditions varied between images and the white balance was adjusted automatically (Table 2), these effects were evaluated by calculating the brightness ratio of the non-discolored to discolored areas (Fig. 4a), as well as the red-to-green and blue-to-green intensity ratios of the discolored area (Fig. 5b).</w:t>
      </w:r>
      <w:r>
        <w:rPr>
          <w:rFonts w:ascii="Times New Roman" w:hAnsi="Times New Roman" w:cs="Times New Roman" w:hint="eastAsia"/>
          <w:sz w:val="20"/>
          <w:szCs w:val="20"/>
        </w:rPr>
        <w:t xml:space="preserve"> </w:t>
      </w:r>
      <w:r w:rsidRPr="000A0AFC">
        <w:rPr>
          <w:rFonts w:ascii="Times New Roman" w:hAnsi="Times New Roman" w:cs="Times New Roman"/>
          <w:sz w:val="20"/>
          <w:szCs w:val="20"/>
        </w:rPr>
        <w:t>The brightness ratio, as well as the red-to-green and blue-to-green intensity ratios, fluctuated over time but did not exhibit a clear trend (Figs. 4a and 5b), suggesting that the gradual decreases in brightness observed in both the discolored and non-discolored areas (Fig. 5a) may not reflect real changes but could instead reflect variations in illumination and imaging conditions.</w:t>
      </w:r>
    </w:p>
    <w:p w14:paraId="3CAE4813" w14:textId="77777777" w:rsidR="006725BF" w:rsidRDefault="006725BF" w:rsidP="006725BF">
      <w:pPr>
        <w:rPr>
          <w:rFonts w:ascii="Times New Roman" w:hAnsi="Times New Roman" w:cs="Times New Roman"/>
          <w:sz w:val="20"/>
          <w:szCs w:val="20"/>
        </w:rPr>
      </w:pPr>
    </w:p>
    <w:p w14:paraId="050FC71D" w14:textId="5DD9ACE2" w:rsidR="006725BF" w:rsidRDefault="006725BF" w:rsidP="006725BF">
      <w:pPr>
        <w:jc w:val="center"/>
        <w:rPr>
          <w:rFonts w:ascii="Times New Roman" w:hAnsi="Times New Roman" w:cs="Times New Roman"/>
          <w:sz w:val="20"/>
          <w:szCs w:val="20"/>
        </w:rPr>
      </w:pPr>
    </w:p>
    <w:sectPr w:rsidR="006725B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25BF"/>
    <w:rsid w:val="00066677"/>
    <w:rsid w:val="003A4E89"/>
    <w:rsid w:val="00556784"/>
    <w:rsid w:val="006725BF"/>
    <w:rsid w:val="00822913"/>
    <w:rsid w:val="008B07A6"/>
    <w:rsid w:val="00987B63"/>
    <w:rsid w:val="00AF30F2"/>
    <w:rsid w:val="00D31E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9A1B8A"/>
  <w15:chartTrackingRefBased/>
  <w15:docId w15:val="{486D47B2-16A3-433D-89A3-B1FA70E370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25BF"/>
    <w:pPr>
      <w:widowControl w:val="0"/>
      <w:spacing w:after="0" w:line="240" w:lineRule="auto"/>
      <w:jc w:val="both"/>
    </w:pPr>
    <w:rPr>
      <w:rFonts w:eastAsiaTheme="minorEastAsia"/>
      <w:sz w:val="21"/>
      <w:szCs w:val="22"/>
      <w:lang w:eastAsia="ja-JP"/>
      <w14:ligatures w14:val="none"/>
    </w:rPr>
  </w:style>
  <w:style w:type="paragraph" w:styleId="Heading1">
    <w:name w:val="heading 1"/>
    <w:basedOn w:val="Normal"/>
    <w:next w:val="Normal"/>
    <w:link w:val="Heading1Char"/>
    <w:uiPriority w:val="9"/>
    <w:qFormat/>
    <w:rsid w:val="006725B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725B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725B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725B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725B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725B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725B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725B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725B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25B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725B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725B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725B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725B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725B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725B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725B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725BF"/>
    <w:rPr>
      <w:rFonts w:eastAsiaTheme="majorEastAsia" w:cstheme="majorBidi"/>
      <w:color w:val="272727" w:themeColor="text1" w:themeTint="D8"/>
    </w:rPr>
  </w:style>
  <w:style w:type="paragraph" w:styleId="Title">
    <w:name w:val="Title"/>
    <w:basedOn w:val="Normal"/>
    <w:next w:val="Normal"/>
    <w:link w:val="TitleChar"/>
    <w:uiPriority w:val="10"/>
    <w:qFormat/>
    <w:rsid w:val="006725B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725B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725B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725B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725BF"/>
    <w:pPr>
      <w:spacing w:before="160"/>
      <w:jc w:val="center"/>
    </w:pPr>
    <w:rPr>
      <w:i/>
      <w:iCs/>
      <w:color w:val="404040" w:themeColor="text1" w:themeTint="BF"/>
    </w:rPr>
  </w:style>
  <w:style w:type="character" w:customStyle="1" w:styleId="QuoteChar">
    <w:name w:val="Quote Char"/>
    <w:basedOn w:val="DefaultParagraphFont"/>
    <w:link w:val="Quote"/>
    <w:uiPriority w:val="29"/>
    <w:rsid w:val="006725BF"/>
    <w:rPr>
      <w:i/>
      <w:iCs/>
      <w:color w:val="404040" w:themeColor="text1" w:themeTint="BF"/>
    </w:rPr>
  </w:style>
  <w:style w:type="paragraph" w:styleId="ListParagraph">
    <w:name w:val="List Paragraph"/>
    <w:basedOn w:val="Normal"/>
    <w:uiPriority w:val="34"/>
    <w:qFormat/>
    <w:rsid w:val="006725BF"/>
    <w:pPr>
      <w:ind w:left="720"/>
      <w:contextualSpacing/>
    </w:pPr>
  </w:style>
  <w:style w:type="character" w:styleId="IntenseEmphasis">
    <w:name w:val="Intense Emphasis"/>
    <w:basedOn w:val="DefaultParagraphFont"/>
    <w:uiPriority w:val="21"/>
    <w:qFormat/>
    <w:rsid w:val="006725BF"/>
    <w:rPr>
      <w:i/>
      <w:iCs/>
      <w:color w:val="0F4761" w:themeColor="accent1" w:themeShade="BF"/>
    </w:rPr>
  </w:style>
  <w:style w:type="paragraph" w:styleId="IntenseQuote">
    <w:name w:val="Intense Quote"/>
    <w:basedOn w:val="Normal"/>
    <w:next w:val="Normal"/>
    <w:link w:val="IntenseQuoteChar"/>
    <w:uiPriority w:val="30"/>
    <w:qFormat/>
    <w:rsid w:val="006725B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725BF"/>
    <w:rPr>
      <w:i/>
      <w:iCs/>
      <w:color w:val="0F4761" w:themeColor="accent1" w:themeShade="BF"/>
    </w:rPr>
  </w:style>
  <w:style w:type="character" w:styleId="IntenseReference">
    <w:name w:val="Intense Reference"/>
    <w:basedOn w:val="DefaultParagraphFont"/>
    <w:uiPriority w:val="32"/>
    <w:qFormat/>
    <w:rsid w:val="006725BF"/>
    <w:rPr>
      <w:b/>
      <w:bCs/>
      <w:smallCaps/>
      <w:color w:val="0F4761" w:themeColor="accent1" w:themeShade="BF"/>
      <w:spacing w:val="5"/>
    </w:rPr>
  </w:style>
  <w:style w:type="table" w:styleId="TableGrid">
    <w:name w:val="Table Grid"/>
    <w:basedOn w:val="TableNormal"/>
    <w:uiPriority w:val="39"/>
    <w:rsid w:val="006725BF"/>
    <w:pPr>
      <w:spacing w:after="0" w:line="240" w:lineRule="auto"/>
    </w:pPr>
    <w:rPr>
      <w:rFonts w:eastAsiaTheme="minorEastAsia"/>
      <w:sz w:val="21"/>
      <w:szCs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431</Words>
  <Characters>2457</Characters>
  <Application>Microsoft Office Word</Application>
  <DocSecurity>0</DocSecurity>
  <Lines>20</Lines>
  <Paragraphs>5</Paragraphs>
  <ScaleCrop>false</ScaleCrop>
  <Company/>
  <LinksUpToDate>false</LinksUpToDate>
  <CharactersWithSpaces>2883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Sachin Maharnur</dc:creator>
  <cp:keywords/>
  <dc:description/>
  <cp:lastModifiedBy>Sachin Maharnur</cp:lastModifiedBy>
  <cp:revision>2</cp:revision>
  <dcterms:created xsi:type="dcterms:W3CDTF">2026-06-18T11:14:00Z</dcterms:created>
  <dcterms:modified xsi:type="dcterms:W3CDTF">2026-06-18T11:51:00Z</dcterms:modified>
</cp:coreProperties>
</file>