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BMC1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Supplementary Appendix</w:t>
      </w:r>
    </w:p>
    <w:p>
      <w:pPr>
        <w:pStyle w:val="BodyDouble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For: Standardizing public annual quality reports to benchmark health vocational education: a retrospective comparative study of two colleges in Jiangsu, China</w:t>
      </w:r>
    </w:p>
    <w:p>
      <w:pPr>
        <w:pStyle w:val="HeadingBMC2"/>
      </w:pPr>
      <w:r>
        <w:rPr>
          <w:rFonts w:ascii="Times New Roman" w:hAnsi="Times New Roman" w:eastAsia="Times New Roman"/>
          <w:b w:val="0"/>
          <w:i w:val="0"/>
          <w:sz w:val="24"/>
        </w:rPr>
        <w:t>Supplementary Table S1. Historical summary for Jiangsu College of Nursing, 2015–2025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20"/>
              </w:rPr>
              <w:t>Indicator year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Source report year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Initial employment (%)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Year-end employment (%)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Monthly income (CNY)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Graduate-degree teachers (%)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Senior-title teachers (%)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Books per student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Equipment value per student (CNY)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2015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2017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93.40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2954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51.49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29.21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140.00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16991.42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2016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2017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93.90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3143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53.88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29.68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123.56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16844.16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2017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2018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99.22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3290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63.03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25.21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96.35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14203.15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2018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2019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95.10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3805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69.72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25.10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73.07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11723.81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2019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2021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86.17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95.94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3420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78.72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26.41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57.39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11920.00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2020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2021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53.40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3560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66.37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26.55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12451.00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2021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2022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85.42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4100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78.43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27.70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57.39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11161.00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2022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2024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95.63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84.94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25.85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60.02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10841.27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2023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2025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93.75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4900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75.46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27.22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60.27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10839.33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2024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2025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92.14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4910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86.01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32.15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62.44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12976.95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2025</w:t>
            </w:r>
          </w:p>
        </w:tc>
        <w:tc>
          <w:tcPr>
            <w:tcW w:type="dxa" w:w="129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2025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90.45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93.86</w:t>
            </w:r>
          </w:p>
        </w:tc>
        <w:tc>
          <w:tcPr>
            <w:tcW w:type="dxa" w:w="158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88.05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40.84</w:t>
            </w:r>
          </w:p>
        </w:tc>
        <w:tc>
          <w:tcPr>
            <w:tcW w:type="dxa" w:w="1440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103.95</w:t>
            </w:r>
          </w:p>
        </w:tc>
        <w:tc>
          <w:tcPr>
            <w:tcW w:type="dxa" w:w="1728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13958.05</w:t>
            </w:r>
          </w:p>
        </w:tc>
      </w:tr>
    </w:tbl>
    <w:p>
      <w:pPr>
        <w:pStyle w:val="HeadingBMC2"/>
      </w:pPr>
      <w:r>
        <w:rPr>
          <w:rFonts w:ascii="Times New Roman" w:hAnsi="Times New Roman" w:eastAsia="Times New Roman"/>
          <w:b w:val="0"/>
          <w:i w:val="0"/>
          <w:sz w:val="24"/>
        </w:rPr>
        <w:t>Supplementary Table S2. Source discrepancies and analytical choices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b/>
                <w:sz w:val="20"/>
              </w:rPr>
              <w:t>Indicator / year</w:t>
            </w:r>
          </w:p>
        </w:tc>
        <w:tc>
          <w:tcPr>
            <w:tcW w:type="dxa" w:w="345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Value(s) reported</w:t>
            </w:r>
          </w:p>
        </w:tc>
        <w:tc>
          <w:tcPr>
            <w:tcW w:type="dxa" w:w="201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Analytical choice</w:t>
            </w:r>
          </w:p>
        </w:tc>
        <w:tc>
          <w:tcPr>
            <w:tcW w:type="dxa" w:w="302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Reason</w:t>
            </w:r>
          </w:p>
        </w:tc>
        <w:tc>
          <w:tcPr>
            <w:tcW w:type="dxa" w:w="259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Effect on conclusions</w:t>
            </w:r>
          </w:p>
        </w:tc>
      </w:tr>
      <w:tr>
        <w:tc>
          <w:tcPr>
            <w:tcW w:type="dxa" w:w="187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JCN graduates, 2023</w:t>
            </w:r>
          </w:p>
        </w:tc>
        <w:tc>
          <w:tcPr>
            <w:tcW w:type="dxa" w:w="345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3145 in JCN 2024 talent card; 3154 in JCN 2025 retrospective table</w:t>
            </w:r>
          </w:p>
        </w:tc>
        <w:tc>
          <w:tcPr>
            <w:tcW w:type="dxa" w:w="201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3154</w:t>
            </w:r>
          </w:p>
        </w:tc>
        <w:tc>
          <w:tcPr>
            <w:tcW w:type="dxa" w:w="302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Later three-year retrospective table aligned with surrounding years.</w:t>
            </w:r>
          </w:p>
        </w:tc>
        <w:tc>
          <w:tcPr>
            <w:tcW w:type="dxa" w:w="259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No substantive change.</w:t>
            </w:r>
          </w:p>
        </w:tc>
      </w:tr>
      <w:tr>
        <w:tc>
          <w:tcPr>
            <w:tcW w:type="dxa" w:w="187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JCN outcomes, 2024</w:t>
            </w:r>
          </w:p>
        </w:tc>
        <w:tc>
          <w:tcPr>
            <w:tcW w:type="dxa" w:w="345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Body text: graduates 2850; year-end employment 94.14%; contract employment 69.16%; progression 11.44%. Later table: graduates 2951; year-end employment 92.14%; contract employment 64.89%; progression 11.39%.</w:t>
            </w:r>
          </w:p>
        </w:tc>
        <w:tc>
          <w:tcPr>
            <w:tcW w:type="dxa" w:w="201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Later retrospective table</w:t>
            </w:r>
          </w:p>
        </w:tc>
        <w:tc>
          <w:tcPr>
            <w:tcW w:type="dxa" w:w="302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Internally consistent three-year summary used for the main panel; alternative values retained in supplement.</w:t>
            </w:r>
          </w:p>
        </w:tc>
        <w:tc>
          <w:tcPr>
            <w:tcW w:type="dxa" w:w="259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Cross-school direction unchanged.</w:t>
            </w:r>
          </w:p>
        </w:tc>
      </w:tr>
      <w:tr>
        <w:tc>
          <w:tcPr>
            <w:tcW w:type="dxa" w:w="187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JCN enrollment, 2021 historical appendix</w:t>
            </w:r>
          </w:p>
        </w:tc>
        <w:tc>
          <w:tcPr>
            <w:tcW w:type="dxa" w:w="345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Narrative: 2991/2918/2832. Detailed table: 3099/3026/2901.</w:t>
            </w:r>
          </w:p>
        </w:tc>
        <w:tc>
          <w:tcPr>
            <w:tcW w:type="dxa" w:w="201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Detailed table</w:t>
            </w:r>
          </w:p>
        </w:tc>
        <w:tc>
          <w:tcPr>
            <w:tcW w:type="dxa" w:w="302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More auditable row-wise source.</w:t>
            </w:r>
          </w:p>
        </w:tc>
        <w:tc>
          <w:tcPr>
            <w:tcW w:type="dxa" w:w="259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Historical context only.</w:t>
            </w:r>
          </w:p>
        </w:tc>
      </w:tr>
      <w:tr>
        <w:tc>
          <w:tcPr>
            <w:tcW w:type="dxa" w:w="187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SVHC intake wording, 2025</w:t>
            </w:r>
          </w:p>
        </w:tc>
        <w:tc>
          <w:tcPr>
            <w:tcW w:type="dxa" w:w="345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3577 newly admitted/recorded entrants, 3509 reporters, 98.10% reporting rate; no separate planned-intake value visible.</w:t>
            </w:r>
          </w:p>
        </w:tc>
        <w:tc>
          <w:tcPr>
            <w:tcW w:type="dxa" w:w="2016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planned value left missing; admitted=3577</w:t>
            </w:r>
          </w:p>
        </w:tc>
        <w:tc>
          <w:tcPr>
            <w:tcW w:type="dxa" w:w="3024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Avoided inferring a planned value from an ambiguous scan.</w:t>
            </w:r>
          </w:p>
        </w:tc>
        <w:tc>
          <w:tcPr>
            <w:tcW w:type="dxa" w:w="2592"/>
            <w:vAlign w:val="center"/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line="276" w:lineRule="auto" w:after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No change in reporting-rate comparison.</w:t>
            </w:r>
          </w:p>
        </w:tc>
      </w:tr>
    </w:tbl>
    <w:p>
      <w:pPr>
        <w:pStyle w:val="HeadingBMC2"/>
      </w:pPr>
      <w:r>
        <w:rPr>
          <w:rFonts w:ascii="Times New Roman" w:hAnsi="Times New Roman" w:eastAsia="Times New Roman"/>
          <w:b w:val="0"/>
          <w:i w:val="0"/>
          <w:sz w:val="24"/>
        </w:rPr>
        <w:t>Supplementary Figure S1. Historical trends at Jiangsu College of Nursing.</w:t>
      </w:r>
    </w:p>
    <w:p>
      <w:r>
        <w:drawing>
          <wp:inline xmlns:a="http://schemas.openxmlformats.org/drawingml/2006/main" xmlns:pic="http://schemas.openxmlformats.org/drawingml/2006/picture">
            <wp:extent cx="5943600" cy="41439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3_JCN_Historical_Trend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39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BodyDouble"/>
      </w:pPr>
      <w:r>
        <w:rPr>
          <w:rFonts w:ascii="Times New Roman" w:hAnsi="Times New Roman" w:eastAsia="Times New Roman"/>
          <w:b w:val="0"/>
          <w:i w:val="0"/>
          <w:sz w:val="24"/>
        </w:rPr>
        <w:t>Legend: The supplementary figure displays graduate monthly income, teachers with graduate degrees, teachers with senior titles, and teaching/research equipment value per student across the extractable Jiangsu historical series. Missing points reflect unavailable or non-extractable values in the underlying reports.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680" w:footer="680" w:gutter="0"/>
      <w:cols w:space="720"/>
      <w:docGrid w:linePitch="360"/>
      <w:lnNumType w:countBy="1" w:restart="newPag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Double">
    <w:name w:val="Body Double"/>
    <w:pPr>
      <w:spacing w:line="480" w:lineRule="auto" w:after="0" w:before="0"/>
    </w:pPr>
    <w:rPr>
      <w:rFonts w:ascii="Times New Roman" w:hAnsi="Times New Roman" w:eastAsia="Times New Roman"/>
      <w:sz w:val="24"/>
    </w:rPr>
  </w:style>
  <w:style w:type="paragraph" w:customStyle="1" w:styleId="HeadingBMC1">
    <w:name w:val="Heading BMC 1"/>
    <w:basedOn w:val="Heading1"/>
    <w:pPr>
      <w:spacing w:line="480" w:lineRule="auto" w:before="120" w:after="0"/>
    </w:pPr>
    <w:rPr>
      <w:rFonts w:ascii="Times New Roman" w:hAnsi="Times New Roman" w:eastAsia="Times New Roman"/>
      <w:b/>
      <w:sz w:val="24"/>
    </w:rPr>
  </w:style>
  <w:style w:type="paragraph" w:customStyle="1" w:styleId="HeadingBMC2">
    <w:name w:val="Heading BMC 2"/>
    <w:basedOn w:val="Heading2"/>
    <w:pPr>
      <w:spacing w:line="480" w:lineRule="auto" w:before="120" w:after="0"/>
    </w:pPr>
    <w:rPr>
      <w:rFonts w:ascii="Times New Roman" w:hAnsi="Times New Roman" w:eastAsia="Times New Roman"/>
      <w:b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