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0951D" w14:textId="77777777" w:rsidR="00A56C3C" w:rsidRPr="00BC5D47" w:rsidRDefault="00A56C3C" w:rsidP="00BC5D47">
      <w:pPr>
        <w:pStyle w:val="OPTTitle"/>
        <w:spacing w:after="0" w:line="360" w:lineRule="auto"/>
        <w:rPr>
          <w:rFonts w:cs="Times New Roman"/>
          <w:color w:val="000000" w:themeColor="text1"/>
          <w:sz w:val="24"/>
          <w:szCs w:val="24"/>
        </w:rPr>
      </w:pPr>
      <w:r w:rsidRPr="00BC5D47">
        <w:rPr>
          <w:rFonts w:cs="Times New Roman"/>
          <w:color w:val="000000" w:themeColor="text1"/>
          <w:sz w:val="24"/>
          <w:szCs w:val="24"/>
        </w:rPr>
        <w:t>Optional supplementary tables and notes for resubmission</w:t>
      </w:r>
    </w:p>
    <w:p w14:paraId="18856CC7" w14:textId="77777777" w:rsidR="00A56C3C" w:rsidRPr="00BC5D47" w:rsidRDefault="00A56C3C" w:rsidP="00BC5D47">
      <w:pPr>
        <w:pStyle w:val="OPTBody"/>
        <w:spacing w:after="0" w:line="360" w:lineRule="auto"/>
        <w:rPr>
          <w:rFonts w:cs="Times New Roman"/>
          <w:color w:val="000000" w:themeColor="text1"/>
          <w:sz w:val="24"/>
          <w:szCs w:val="24"/>
        </w:rPr>
      </w:pPr>
      <w:r w:rsidRPr="00BC5D47">
        <w:rPr>
          <w:rFonts w:cs="Times New Roman"/>
          <w:color w:val="000000" w:themeColor="text1"/>
          <w:sz w:val="24"/>
          <w:szCs w:val="24"/>
        </w:rPr>
        <w:t>This appendix is prepared as an optional upload for use only if the editor or reviewers request additional supporting detail beyond the main manuscript and the PRISMA/search files.</w:t>
      </w:r>
    </w:p>
    <w:p w14:paraId="51AACFB4" w14:textId="77777777" w:rsidR="00A56C3C" w:rsidRPr="00BC5D47" w:rsidRDefault="00A56C3C" w:rsidP="00BC5D47">
      <w:pPr>
        <w:pStyle w:val="OPTHead"/>
        <w:spacing w:before="0" w:after="0" w:line="360" w:lineRule="auto"/>
        <w:rPr>
          <w:rFonts w:cs="Times New Roman"/>
          <w:color w:val="000000" w:themeColor="text1"/>
          <w:sz w:val="24"/>
          <w:szCs w:val="24"/>
        </w:rPr>
      </w:pPr>
      <w:r w:rsidRPr="00BC5D47">
        <w:rPr>
          <w:rFonts w:cs="Times New Roman"/>
          <w:color w:val="000000" w:themeColor="text1"/>
          <w:sz w:val="24"/>
          <w:szCs w:val="24"/>
        </w:rPr>
        <w:t>Supplementary Table S1. Study-level extraction notes and analytic decisions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592"/>
        <w:gridCol w:w="2592"/>
        <w:gridCol w:w="1728"/>
        <w:gridCol w:w="2592"/>
      </w:tblGrid>
      <w:tr w:rsidR="00BC5D47" w:rsidRPr="00BC5D47" w14:paraId="775CA136" w14:textId="77777777" w:rsidTr="00BC5D47">
        <w:trPr>
          <w:jc w:val="center"/>
        </w:trPr>
        <w:tc>
          <w:tcPr>
            <w:tcW w:w="1872" w:type="dxa"/>
            <w:shd w:val="clear" w:color="auto" w:fill="auto"/>
            <w:tcMar>
              <w:top w:w="80" w:type="dxa"/>
              <w:left w:w="90" w:type="dxa"/>
              <w:bottom w:w="80" w:type="dxa"/>
              <w:right w:w="90" w:type="dxa"/>
            </w:tcMar>
          </w:tcPr>
          <w:p w14:paraId="20EF1C30"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Study</w:t>
            </w:r>
          </w:p>
        </w:tc>
        <w:tc>
          <w:tcPr>
            <w:tcW w:w="2592" w:type="dxa"/>
            <w:shd w:val="clear" w:color="auto" w:fill="auto"/>
            <w:tcMar>
              <w:top w:w="80" w:type="dxa"/>
              <w:left w:w="90" w:type="dxa"/>
              <w:bottom w:w="80" w:type="dxa"/>
              <w:right w:w="90" w:type="dxa"/>
            </w:tcMar>
          </w:tcPr>
          <w:p w14:paraId="10191137"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Issue identified</w:t>
            </w:r>
          </w:p>
        </w:tc>
        <w:tc>
          <w:tcPr>
            <w:tcW w:w="2592" w:type="dxa"/>
            <w:shd w:val="clear" w:color="auto" w:fill="auto"/>
            <w:tcMar>
              <w:top w:w="80" w:type="dxa"/>
              <w:left w:w="90" w:type="dxa"/>
              <w:bottom w:w="80" w:type="dxa"/>
              <w:right w:w="90" w:type="dxa"/>
            </w:tcMar>
          </w:tcPr>
          <w:p w14:paraId="2CB6322A"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Decision used in review</w:t>
            </w:r>
          </w:p>
        </w:tc>
        <w:tc>
          <w:tcPr>
            <w:tcW w:w="1728" w:type="dxa"/>
            <w:shd w:val="clear" w:color="auto" w:fill="auto"/>
            <w:tcMar>
              <w:top w:w="80" w:type="dxa"/>
              <w:left w:w="90" w:type="dxa"/>
              <w:bottom w:w="80" w:type="dxa"/>
              <w:right w:w="90" w:type="dxa"/>
            </w:tcMar>
          </w:tcPr>
          <w:p w14:paraId="64AF3E29"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Location applied</w:t>
            </w:r>
          </w:p>
        </w:tc>
        <w:tc>
          <w:tcPr>
            <w:tcW w:w="2592" w:type="dxa"/>
            <w:shd w:val="clear" w:color="auto" w:fill="auto"/>
            <w:tcMar>
              <w:top w:w="80" w:type="dxa"/>
              <w:left w:w="90" w:type="dxa"/>
              <w:bottom w:w="80" w:type="dxa"/>
              <w:right w:w="90" w:type="dxa"/>
            </w:tcMar>
          </w:tcPr>
          <w:p w14:paraId="31F0A0FC"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Rationale</w:t>
            </w:r>
          </w:p>
        </w:tc>
      </w:tr>
      <w:tr w:rsidR="00BC5D47" w:rsidRPr="00BC5D47" w14:paraId="3CF86B93" w14:textId="77777777" w:rsidTr="00BC5D47">
        <w:trPr>
          <w:jc w:val="center"/>
        </w:trPr>
        <w:tc>
          <w:tcPr>
            <w:tcW w:w="1872" w:type="dxa"/>
            <w:shd w:val="clear" w:color="auto" w:fill="auto"/>
            <w:tcMar>
              <w:top w:w="80" w:type="dxa"/>
              <w:left w:w="90" w:type="dxa"/>
              <w:bottom w:w="80" w:type="dxa"/>
              <w:right w:w="90" w:type="dxa"/>
            </w:tcMar>
          </w:tcPr>
          <w:p w14:paraId="37A18144"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Friendship Hospital study (2024)</w:t>
            </w:r>
          </w:p>
        </w:tc>
        <w:tc>
          <w:tcPr>
            <w:tcW w:w="2592" w:type="dxa"/>
            <w:shd w:val="clear" w:color="auto" w:fill="auto"/>
            <w:tcMar>
              <w:top w:w="80" w:type="dxa"/>
              <w:left w:w="90" w:type="dxa"/>
              <w:bottom w:w="80" w:type="dxa"/>
              <w:right w:w="90" w:type="dxa"/>
            </w:tcMar>
          </w:tcPr>
          <w:p w14:paraId="49E8CFDD"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Hospital outpatient convenience sample</w:t>
            </w:r>
          </w:p>
        </w:tc>
        <w:tc>
          <w:tcPr>
            <w:tcW w:w="2592" w:type="dxa"/>
            <w:shd w:val="clear" w:color="auto" w:fill="auto"/>
            <w:tcMar>
              <w:top w:w="80" w:type="dxa"/>
              <w:left w:w="90" w:type="dxa"/>
              <w:bottom w:w="80" w:type="dxa"/>
              <w:right w:w="90" w:type="dxa"/>
            </w:tcMar>
          </w:tcPr>
          <w:p w14:paraId="037B3A0A"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Retained in the main synthesis</w:t>
            </w:r>
          </w:p>
        </w:tc>
        <w:tc>
          <w:tcPr>
            <w:tcW w:w="1728" w:type="dxa"/>
            <w:shd w:val="clear" w:color="auto" w:fill="auto"/>
            <w:tcMar>
              <w:top w:w="80" w:type="dxa"/>
              <w:left w:w="90" w:type="dxa"/>
              <w:bottom w:w="80" w:type="dxa"/>
              <w:right w:w="90" w:type="dxa"/>
            </w:tcMar>
          </w:tcPr>
          <w:p w14:paraId="296E4290"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color w:val="000000" w:themeColor="text1"/>
                <w:sz w:val="24"/>
                <w:szCs w:val="24"/>
              </w:rPr>
              <w:t>Main manuscript Table 1 and Figure 2</w:t>
            </w:r>
          </w:p>
        </w:tc>
        <w:tc>
          <w:tcPr>
            <w:tcW w:w="2592" w:type="dxa"/>
            <w:shd w:val="clear" w:color="auto" w:fill="auto"/>
            <w:tcMar>
              <w:top w:w="80" w:type="dxa"/>
              <w:left w:w="90" w:type="dxa"/>
              <w:bottom w:w="80" w:type="dxa"/>
              <w:right w:w="90" w:type="dxa"/>
            </w:tcMar>
          </w:tcPr>
          <w:p w14:paraId="05FC593F"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Directly relevant elderly-specific study with extractable prevalence data.</w:t>
            </w:r>
          </w:p>
        </w:tc>
      </w:tr>
      <w:tr w:rsidR="00BC5D47" w:rsidRPr="00BC5D47" w14:paraId="351955E9" w14:textId="77777777" w:rsidTr="00BC5D47">
        <w:trPr>
          <w:jc w:val="center"/>
        </w:trPr>
        <w:tc>
          <w:tcPr>
            <w:tcW w:w="1872" w:type="dxa"/>
            <w:shd w:val="clear" w:color="auto" w:fill="auto"/>
            <w:tcMar>
              <w:top w:w="80" w:type="dxa"/>
              <w:left w:w="90" w:type="dxa"/>
              <w:bottom w:w="80" w:type="dxa"/>
              <w:right w:w="90" w:type="dxa"/>
            </w:tcMar>
          </w:tcPr>
          <w:p w14:paraId="2143CE41"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Quang Binh study (2025)</w:t>
            </w:r>
          </w:p>
        </w:tc>
        <w:tc>
          <w:tcPr>
            <w:tcW w:w="2592" w:type="dxa"/>
            <w:shd w:val="clear" w:color="auto" w:fill="auto"/>
            <w:tcMar>
              <w:top w:w="80" w:type="dxa"/>
              <w:left w:w="90" w:type="dxa"/>
              <w:bottom w:w="80" w:type="dxa"/>
              <w:right w:w="90" w:type="dxa"/>
            </w:tcMar>
          </w:tcPr>
          <w:p w14:paraId="414C6403"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Abstract prevalence (48.5%) differed from full-text results table</w:t>
            </w:r>
          </w:p>
        </w:tc>
        <w:tc>
          <w:tcPr>
            <w:tcW w:w="2592" w:type="dxa"/>
            <w:shd w:val="clear" w:color="auto" w:fill="auto"/>
            <w:tcMar>
              <w:top w:w="80" w:type="dxa"/>
              <w:left w:w="90" w:type="dxa"/>
              <w:bottom w:w="80" w:type="dxa"/>
              <w:right w:w="90" w:type="dxa"/>
            </w:tcMar>
          </w:tcPr>
          <w:p w14:paraId="2AA59D1C"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Used exact numerator/denominator from the full text: 293/640 (45.8%)</w:t>
            </w:r>
          </w:p>
        </w:tc>
        <w:tc>
          <w:tcPr>
            <w:tcW w:w="1728" w:type="dxa"/>
            <w:shd w:val="clear" w:color="auto" w:fill="auto"/>
            <w:tcMar>
              <w:top w:w="80" w:type="dxa"/>
              <w:left w:w="90" w:type="dxa"/>
              <w:bottom w:w="80" w:type="dxa"/>
              <w:right w:w="90" w:type="dxa"/>
            </w:tcMar>
          </w:tcPr>
          <w:p w14:paraId="2E8902BB"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color w:val="000000" w:themeColor="text1"/>
                <w:sz w:val="24"/>
                <w:szCs w:val="24"/>
              </w:rPr>
              <w:t>Methods 2.5; Results 3.2; Table 3 note</w:t>
            </w:r>
          </w:p>
        </w:tc>
        <w:tc>
          <w:tcPr>
            <w:tcW w:w="2592" w:type="dxa"/>
            <w:shd w:val="clear" w:color="auto" w:fill="auto"/>
            <w:tcMar>
              <w:top w:w="80" w:type="dxa"/>
              <w:left w:w="90" w:type="dxa"/>
              <w:bottom w:w="80" w:type="dxa"/>
              <w:right w:w="90" w:type="dxa"/>
            </w:tcMar>
          </w:tcPr>
          <w:p w14:paraId="593A8551"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The full-text numerator/denominator was considered more reliable for quantitative pooling.</w:t>
            </w:r>
          </w:p>
        </w:tc>
      </w:tr>
      <w:tr w:rsidR="00BC5D47" w:rsidRPr="00BC5D47" w14:paraId="4E7B7CA4" w14:textId="77777777" w:rsidTr="00BC5D47">
        <w:trPr>
          <w:jc w:val="center"/>
        </w:trPr>
        <w:tc>
          <w:tcPr>
            <w:tcW w:w="1872" w:type="dxa"/>
            <w:shd w:val="clear" w:color="auto" w:fill="auto"/>
            <w:tcMar>
              <w:top w:w="80" w:type="dxa"/>
              <w:left w:w="90" w:type="dxa"/>
              <w:bottom w:w="80" w:type="dxa"/>
              <w:right w:w="90" w:type="dxa"/>
            </w:tcMar>
          </w:tcPr>
          <w:p w14:paraId="28018B2F"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Thai Binh grey literature manuscript (2026)</w:t>
            </w:r>
          </w:p>
        </w:tc>
        <w:tc>
          <w:tcPr>
            <w:tcW w:w="2592" w:type="dxa"/>
            <w:shd w:val="clear" w:color="auto" w:fill="auto"/>
            <w:tcMar>
              <w:top w:w="80" w:type="dxa"/>
              <w:left w:w="90" w:type="dxa"/>
              <w:bottom w:w="80" w:type="dxa"/>
              <w:right w:w="90" w:type="dxa"/>
            </w:tcMar>
          </w:tcPr>
          <w:p w14:paraId="5E45651C"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Reported both harmonised and IDF definitions</w:t>
            </w:r>
          </w:p>
        </w:tc>
        <w:tc>
          <w:tcPr>
            <w:tcW w:w="2592" w:type="dxa"/>
            <w:shd w:val="clear" w:color="auto" w:fill="auto"/>
            <w:tcMar>
              <w:top w:w="80" w:type="dxa"/>
              <w:left w:w="90" w:type="dxa"/>
              <w:bottom w:w="80" w:type="dxa"/>
              <w:right w:w="90" w:type="dxa"/>
            </w:tcMar>
          </w:tcPr>
          <w:p w14:paraId="2744D79D"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Used harmonised estimate in the primary one-estimate-per-study model; retained IDF estimate only for criterion-specific synthesis</w:t>
            </w:r>
          </w:p>
        </w:tc>
        <w:tc>
          <w:tcPr>
            <w:tcW w:w="1728" w:type="dxa"/>
            <w:shd w:val="clear" w:color="auto" w:fill="auto"/>
            <w:tcMar>
              <w:top w:w="80" w:type="dxa"/>
              <w:left w:w="90" w:type="dxa"/>
              <w:bottom w:w="80" w:type="dxa"/>
              <w:right w:w="90" w:type="dxa"/>
            </w:tcMar>
          </w:tcPr>
          <w:p w14:paraId="17105FDB"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color w:val="000000" w:themeColor="text1"/>
                <w:sz w:val="24"/>
                <w:szCs w:val="24"/>
              </w:rPr>
              <w:t>Methods 2.8; Results 3.5</w:t>
            </w:r>
          </w:p>
        </w:tc>
        <w:tc>
          <w:tcPr>
            <w:tcW w:w="2592" w:type="dxa"/>
            <w:shd w:val="clear" w:color="auto" w:fill="auto"/>
            <w:tcMar>
              <w:top w:w="80" w:type="dxa"/>
              <w:left w:w="90" w:type="dxa"/>
              <w:bottom w:w="80" w:type="dxa"/>
              <w:right w:w="90" w:type="dxa"/>
            </w:tcMar>
          </w:tcPr>
          <w:p w14:paraId="6A3A026A"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This avoided double-counting while preserving the only elderly-specific IDF estimate.</w:t>
            </w:r>
          </w:p>
        </w:tc>
      </w:tr>
    </w:tbl>
    <w:p w14:paraId="72697B23" w14:textId="1926A41F" w:rsidR="00A56C3C" w:rsidRPr="00BC5D47" w:rsidRDefault="00BC5D47" w:rsidP="00BC5D47">
      <w:pPr>
        <w:pStyle w:val="OPTNote"/>
        <w:spacing w:after="0" w:line="360" w:lineRule="auto"/>
        <w:rPr>
          <w:rFonts w:cs="Times New Roman"/>
          <w:color w:val="000000" w:themeColor="text1"/>
          <w:sz w:val="24"/>
          <w:szCs w:val="24"/>
        </w:rPr>
      </w:pPr>
      <w:r>
        <w:rPr>
          <w:rFonts w:cs="Times New Roman"/>
          <w:color w:val="000000" w:themeColor="text1"/>
          <w:sz w:val="24"/>
          <w:szCs w:val="24"/>
        </w:rPr>
        <w:t xml:space="preserve"> </w:t>
      </w:r>
    </w:p>
    <w:p w14:paraId="53A5EC91" w14:textId="77777777" w:rsidR="00A56C3C" w:rsidRPr="00BC5D47" w:rsidRDefault="00A56C3C" w:rsidP="00BC5D47">
      <w:pPr>
        <w:spacing w:after="0" w:line="360" w:lineRule="auto"/>
        <w:rPr>
          <w:rFonts w:cs="Times New Roman"/>
          <w:color w:val="000000" w:themeColor="text1"/>
          <w:sz w:val="24"/>
          <w:szCs w:val="24"/>
        </w:rPr>
        <w:sectPr w:rsidR="00A56C3C" w:rsidRPr="00BC5D47" w:rsidSect="00BC5D47">
          <w:pgSz w:w="11906" w:h="16838" w:code="9"/>
          <w:pgMar w:top="1134" w:right="1134" w:bottom="1134" w:left="1134" w:header="720" w:footer="720" w:gutter="0"/>
          <w:cols w:space="720"/>
          <w:docGrid w:linePitch="360"/>
        </w:sectPr>
      </w:pPr>
    </w:p>
    <w:p w14:paraId="1F716473" w14:textId="77777777" w:rsidR="00A56C3C" w:rsidRPr="00BC5D47" w:rsidRDefault="00A56C3C" w:rsidP="00BC5D47">
      <w:pPr>
        <w:pStyle w:val="OPTHead"/>
        <w:spacing w:before="0" w:after="0" w:line="360" w:lineRule="auto"/>
        <w:rPr>
          <w:rFonts w:cs="Times New Roman"/>
          <w:color w:val="000000" w:themeColor="text1"/>
          <w:sz w:val="24"/>
          <w:szCs w:val="24"/>
        </w:rPr>
      </w:pPr>
      <w:r w:rsidRPr="00BC5D47">
        <w:rPr>
          <w:rFonts w:cs="Times New Roman"/>
          <w:color w:val="000000" w:themeColor="text1"/>
          <w:sz w:val="24"/>
          <w:szCs w:val="24"/>
        </w:rPr>
        <w:lastRenderedPageBreak/>
        <w:t>Supplementary Table S2. Expanded risk-of-bias judgments with domain-level rationale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168"/>
        <w:gridCol w:w="3168"/>
        <w:gridCol w:w="2304"/>
        <w:gridCol w:w="2016"/>
        <w:gridCol w:w="2880"/>
      </w:tblGrid>
      <w:tr w:rsidR="00BC5D47" w:rsidRPr="00BC5D47" w14:paraId="38A77B8B" w14:textId="77777777" w:rsidTr="009E3B98">
        <w:trPr>
          <w:jc w:val="center"/>
        </w:trPr>
        <w:tc>
          <w:tcPr>
            <w:tcW w:w="2160" w:type="dxa"/>
            <w:shd w:val="clear" w:color="auto" w:fill="auto"/>
            <w:tcMar>
              <w:top w:w="80" w:type="dxa"/>
              <w:left w:w="90" w:type="dxa"/>
              <w:bottom w:w="80" w:type="dxa"/>
              <w:right w:w="90" w:type="dxa"/>
            </w:tcMar>
          </w:tcPr>
          <w:p w14:paraId="5C274739"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Study</w:t>
            </w:r>
          </w:p>
        </w:tc>
        <w:tc>
          <w:tcPr>
            <w:tcW w:w="3168" w:type="dxa"/>
            <w:shd w:val="clear" w:color="auto" w:fill="auto"/>
            <w:tcMar>
              <w:top w:w="80" w:type="dxa"/>
              <w:left w:w="90" w:type="dxa"/>
              <w:bottom w:w="80" w:type="dxa"/>
              <w:right w:w="90" w:type="dxa"/>
            </w:tcMar>
          </w:tcPr>
          <w:p w14:paraId="69E43F6E" w14:textId="3E371F13"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Sampling /representativeness</w:t>
            </w:r>
          </w:p>
        </w:tc>
        <w:tc>
          <w:tcPr>
            <w:tcW w:w="3168" w:type="dxa"/>
            <w:shd w:val="clear" w:color="auto" w:fill="auto"/>
            <w:tcMar>
              <w:top w:w="80" w:type="dxa"/>
              <w:left w:w="90" w:type="dxa"/>
              <w:bottom w:w="80" w:type="dxa"/>
              <w:right w:w="90" w:type="dxa"/>
            </w:tcMar>
          </w:tcPr>
          <w:p w14:paraId="7462441C"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Definition and measurement</w:t>
            </w:r>
          </w:p>
        </w:tc>
        <w:tc>
          <w:tcPr>
            <w:tcW w:w="2304" w:type="dxa"/>
            <w:shd w:val="clear" w:color="auto" w:fill="auto"/>
            <w:tcMar>
              <w:top w:w="80" w:type="dxa"/>
              <w:left w:w="90" w:type="dxa"/>
              <w:bottom w:w="80" w:type="dxa"/>
              <w:right w:w="90" w:type="dxa"/>
            </w:tcMar>
          </w:tcPr>
          <w:p w14:paraId="78DBEE9D"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Analysis</w:t>
            </w:r>
          </w:p>
        </w:tc>
        <w:tc>
          <w:tcPr>
            <w:tcW w:w="2016" w:type="dxa"/>
            <w:shd w:val="clear" w:color="auto" w:fill="auto"/>
            <w:tcMar>
              <w:top w:w="80" w:type="dxa"/>
              <w:left w:w="90" w:type="dxa"/>
              <w:bottom w:w="80" w:type="dxa"/>
              <w:right w:w="90" w:type="dxa"/>
            </w:tcMar>
          </w:tcPr>
          <w:p w14:paraId="067B2B41" w14:textId="77777777" w:rsidR="009E3B98" w:rsidRDefault="00A56C3C" w:rsidP="00BC5D47">
            <w:pPr>
              <w:spacing w:after="0" w:line="360" w:lineRule="auto"/>
              <w:jc w:val="center"/>
              <w:rPr>
                <w:rFonts w:cs="Times New Roman"/>
                <w:b/>
                <w:color w:val="000000" w:themeColor="text1"/>
                <w:sz w:val="24"/>
                <w:szCs w:val="24"/>
              </w:rPr>
            </w:pPr>
            <w:r w:rsidRPr="00BC5D47">
              <w:rPr>
                <w:rFonts w:cs="Times New Roman"/>
                <w:b/>
                <w:color w:val="000000" w:themeColor="text1"/>
                <w:sz w:val="24"/>
                <w:szCs w:val="24"/>
              </w:rPr>
              <w:t>Coverage</w:t>
            </w:r>
          </w:p>
          <w:p w14:paraId="285DF466" w14:textId="739A6E02"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/response</w:t>
            </w:r>
          </w:p>
        </w:tc>
        <w:tc>
          <w:tcPr>
            <w:tcW w:w="2880" w:type="dxa"/>
            <w:shd w:val="clear" w:color="auto" w:fill="auto"/>
            <w:tcMar>
              <w:top w:w="80" w:type="dxa"/>
              <w:left w:w="90" w:type="dxa"/>
              <w:bottom w:w="80" w:type="dxa"/>
              <w:right w:w="90" w:type="dxa"/>
            </w:tcMar>
          </w:tcPr>
          <w:p w14:paraId="3775AE2B" w14:textId="77777777" w:rsidR="00A56C3C" w:rsidRPr="00BC5D47" w:rsidRDefault="00A56C3C" w:rsidP="00BC5D47">
            <w:pPr>
              <w:spacing w:after="0" w:line="360" w:lineRule="auto"/>
              <w:jc w:val="center"/>
              <w:rPr>
                <w:rFonts w:cs="Times New Roman"/>
                <w:color w:val="000000" w:themeColor="text1"/>
                <w:sz w:val="24"/>
                <w:szCs w:val="24"/>
              </w:rPr>
            </w:pPr>
            <w:r w:rsidRPr="00BC5D47">
              <w:rPr>
                <w:rFonts w:cs="Times New Roman"/>
                <w:b/>
                <w:color w:val="000000" w:themeColor="text1"/>
                <w:sz w:val="24"/>
                <w:szCs w:val="24"/>
              </w:rPr>
              <w:t>Overall note</w:t>
            </w:r>
          </w:p>
        </w:tc>
      </w:tr>
      <w:tr w:rsidR="00BC5D47" w:rsidRPr="00BC5D47" w14:paraId="27CAD950" w14:textId="77777777" w:rsidTr="009E3B98">
        <w:trPr>
          <w:jc w:val="center"/>
        </w:trPr>
        <w:tc>
          <w:tcPr>
            <w:tcW w:w="2160" w:type="dxa"/>
            <w:shd w:val="clear" w:color="auto" w:fill="auto"/>
            <w:tcMar>
              <w:top w:w="80" w:type="dxa"/>
              <w:left w:w="90" w:type="dxa"/>
              <w:bottom w:w="80" w:type="dxa"/>
              <w:right w:w="90" w:type="dxa"/>
            </w:tcMar>
          </w:tcPr>
          <w:p w14:paraId="0C3B47C2" w14:textId="371B7C9C"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Nguy</w:t>
            </w:r>
            <w:r w:rsidR="00C93CAC">
              <w:rPr>
                <w:rFonts w:cs="Times New Roman"/>
                <w:color w:val="000000" w:themeColor="text1"/>
                <w:sz w:val="24"/>
                <w:szCs w:val="24"/>
              </w:rPr>
              <w:t>e</w:t>
            </w:r>
            <w:r w:rsidRPr="00BC5D47">
              <w:rPr>
                <w:rFonts w:cs="Times New Roman"/>
                <w:color w:val="000000" w:themeColor="text1"/>
                <w:sz w:val="24"/>
                <w:szCs w:val="24"/>
              </w:rPr>
              <w:t>n Th</w:t>
            </w:r>
            <w:r w:rsidR="00C93CAC">
              <w:rPr>
                <w:rFonts w:cs="Times New Roman"/>
                <w:color w:val="000000" w:themeColor="text1"/>
                <w:sz w:val="24"/>
                <w:szCs w:val="24"/>
              </w:rPr>
              <w:t xml:space="preserve">i </w:t>
            </w:r>
            <w:r w:rsidRPr="00BC5D47">
              <w:rPr>
                <w:rFonts w:cs="Times New Roman"/>
                <w:color w:val="000000" w:themeColor="text1"/>
                <w:sz w:val="24"/>
                <w:szCs w:val="24"/>
              </w:rPr>
              <w:t>V</w:t>
            </w:r>
            <w:r w:rsidR="00C93CAC">
              <w:rPr>
                <w:rFonts w:cs="Times New Roman"/>
                <w:color w:val="000000" w:themeColor="text1"/>
                <w:sz w:val="24"/>
                <w:szCs w:val="24"/>
              </w:rPr>
              <w:t>a</w:t>
            </w:r>
            <w:r w:rsidRPr="00BC5D47">
              <w:rPr>
                <w:rFonts w:cs="Times New Roman"/>
                <w:color w:val="000000" w:themeColor="text1"/>
                <w:sz w:val="24"/>
                <w:szCs w:val="24"/>
              </w:rPr>
              <w:t>n Anh et al. (2024)</w:t>
            </w:r>
          </w:p>
        </w:tc>
        <w:tc>
          <w:tcPr>
            <w:tcW w:w="3168" w:type="dxa"/>
            <w:shd w:val="clear" w:color="auto" w:fill="auto"/>
            <w:tcMar>
              <w:top w:w="80" w:type="dxa"/>
              <w:left w:w="90" w:type="dxa"/>
              <w:bottom w:w="80" w:type="dxa"/>
              <w:right w:w="90" w:type="dxa"/>
            </w:tcMar>
          </w:tcPr>
          <w:p w14:paraId="593CA329"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Single-centre outpatient convenience sample; limited external representativeness.</w:t>
            </w:r>
          </w:p>
        </w:tc>
        <w:tc>
          <w:tcPr>
            <w:tcW w:w="3168" w:type="dxa"/>
            <w:shd w:val="clear" w:color="auto" w:fill="auto"/>
            <w:tcMar>
              <w:top w:w="80" w:type="dxa"/>
              <w:left w:w="90" w:type="dxa"/>
              <w:bottom w:w="80" w:type="dxa"/>
              <w:right w:w="90" w:type="dxa"/>
            </w:tcMar>
          </w:tcPr>
          <w:p w14:paraId="064C32E4"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Recognisable NCEP/ATP III-based definition with modified waist thresholds; outcome measurement described adequately.</w:t>
            </w:r>
          </w:p>
        </w:tc>
        <w:tc>
          <w:tcPr>
            <w:tcW w:w="2304" w:type="dxa"/>
            <w:shd w:val="clear" w:color="auto" w:fill="auto"/>
            <w:tcMar>
              <w:top w:w="80" w:type="dxa"/>
              <w:left w:w="90" w:type="dxa"/>
              <w:bottom w:w="80" w:type="dxa"/>
              <w:right w:w="90" w:type="dxa"/>
            </w:tcMar>
          </w:tcPr>
          <w:p w14:paraId="344903E2" w14:textId="531ED9E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 xml:space="preserve">Descriptive prevalence analysis </w:t>
            </w:r>
            <w:r w:rsidR="00C93CAC">
              <w:rPr>
                <w:rFonts w:cs="Times New Roman"/>
                <w:color w:val="000000" w:themeColor="text1"/>
                <w:sz w:val="24"/>
                <w:szCs w:val="24"/>
              </w:rPr>
              <w:t xml:space="preserve">is </w:t>
            </w:r>
            <w:r w:rsidRPr="00BC5D47">
              <w:rPr>
                <w:rFonts w:cs="Times New Roman"/>
                <w:color w:val="000000" w:themeColor="text1"/>
                <w:sz w:val="24"/>
                <w:szCs w:val="24"/>
              </w:rPr>
              <w:t>reported clearly.</w:t>
            </w:r>
          </w:p>
        </w:tc>
        <w:tc>
          <w:tcPr>
            <w:tcW w:w="2016" w:type="dxa"/>
            <w:shd w:val="clear" w:color="auto" w:fill="auto"/>
            <w:tcMar>
              <w:top w:w="80" w:type="dxa"/>
              <w:left w:w="90" w:type="dxa"/>
              <w:bottom w:w="80" w:type="dxa"/>
              <w:right w:w="90" w:type="dxa"/>
            </w:tcMar>
          </w:tcPr>
          <w:p w14:paraId="7026D1A3"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Response rate not reported.</w:t>
            </w:r>
          </w:p>
        </w:tc>
        <w:tc>
          <w:tcPr>
            <w:tcW w:w="2880" w:type="dxa"/>
            <w:shd w:val="clear" w:color="auto" w:fill="auto"/>
            <w:tcMar>
              <w:top w:w="80" w:type="dxa"/>
              <w:left w:w="90" w:type="dxa"/>
              <w:bottom w:w="80" w:type="dxa"/>
              <w:right w:w="90" w:type="dxa"/>
            </w:tcMar>
          </w:tcPr>
          <w:p w14:paraId="1C454092" w14:textId="1EDF5133"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 xml:space="preserve">Moderate risk because </w:t>
            </w:r>
            <w:r w:rsidR="00C93CAC">
              <w:rPr>
                <w:rFonts w:cs="Times New Roman"/>
                <w:color w:val="000000" w:themeColor="text1"/>
                <w:sz w:val="24"/>
                <w:szCs w:val="24"/>
              </w:rPr>
              <w:t xml:space="preserve">the measurement was acceptable, but the </w:t>
            </w:r>
            <w:r w:rsidRPr="00BC5D47">
              <w:rPr>
                <w:rFonts w:cs="Times New Roman"/>
                <w:color w:val="000000" w:themeColor="text1"/>
                <w:sz w:val="24"/>
                <w:szCs w:val="24"/>
              </w:rPr>
              <w:t>sampling was not population-based.</w:t>
            </w:r>
          </w:p>
        </w:tc>
      </w:tr>
      <w:tr w:rsidR="00BC5D47" w:rsidRPr="00BC5D47" w14:paraId="5F139350" w14:textId="77777777" w:rsidTr="009E3B98">
        <w:trPr>
          <w:jc w:val="center"/>
        </w:trPr>
        <w:tc>
          <w:tcPr>
            <w:tcW w:w="2160" w:type="dxa"/>
            <w:shd w:val="clear" w:color="auto" w:fill="auto"/>
            <w:tcMar>
              <w:top w:w="80" w:type="dxa"/>
              <w:left w:w="90" w:type="dxa"/>
              <w:bottom w:w="80" w:type="dxa"/>
              <w:right w:w="90" w:type="dxa"/>
            </w:tcMar>
          </w:tcPr>
          <w:p w14:paraId="2BFF955A" w14:textId="23D6A808"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Nguy</w:t>
            </w:r>
            <w:r w:rsidR="00C93CAC">
              <w:rPr>
                <w:rFonts w:cs="Times New Roman"/>
                <w:color w:val="000000" w:themeColor="text1"/>
                <w:sz w:val="24"/>
                <w:szCs w:val="24"/>
              </w:rPr>
              <w:t>e</w:t>
            </w:r>
            <w:r w:rsidRPr="00BC5D47">
              <w:rPr>
                <w:rFonts w:cs="Times New Roman"/>
                <w:color w:val="000000" w:themeColor="text1"/>
                <w:sz w:val="24"/>
                <w:szCs w:val="24"/>
              </w:rPr>
              <w:t>n Th</w:t>
            </w:r>
            <w:r w:rsidR="00C93CAC">
              <w:rPr>
                <w:rFonts w:cs="Times New Roman"/>
                <w:color w:val="000000" w:themeColor="text1"/>
                <w:sz w:val="24"/>
                <w:szCs w:val="24"/>
              </w:rPr>
              <w:t>i</w:t>
            </w:r>
            <w:r w:rsidRPr="00BC5D47">
              <w:rPr>
                <w:rFonts w:cs="Times New Roman"/>
                <w:color w:val="000000" w:themeColor="text1"/>
                <w:sz w:val="24"/>
                <w:szCs w:val="24"/>
              </w:rPr>
              <w:t xml:space="preserve"> S</w:t>
            </w:r>
            <w:r w:rsidR="00C93CAC">
              <w:rPr>
                <w:rFonts w:cs="Times New Roman"/>
                <w:color w:val="000000" w:themeColor="text1"/>
                <w:sz w:val="24"/>
                <w:szCs w:val="24"/>
              </w:rPr>
              <w:t>a</w:t>
            </w:r>
            <w:r w:rsidRPr="00BC5D47">
              <w:rPr>
                <w:rFonts w:cs="Times New Roman"/>
                <w:color w:val="000000" w:themeColor="text1"/>
                <w:sz w:val="24"/>
                <w:szCs w:val="24"/>
              </w:rPr>
              <w:t>u et al. (2025)</w:t>
            </w:r>
          </w:p>
        </w:tc>
        <w:tc>
          <w:tcPr>
            <w:tcW w:w="3168" w:type="dxa"/>
            <w:shd w:val="clear" w:color="auto" w:fill="auto"/>
            <w:tcMar>
              <w:top w:w="80" w:type="dxa"/>
              <w:left w:w="90" w:type="dxa"/>
              <w:bottom w:w="80" w:type="dxa"/>
              <w:right w:w="90" w:type="dxa"/>
            </w:tcMar>
          </w:tcPr>
          <w:p w14:paraId="07115585" w14:textId="04BA1EC7" w:rsidR="00A56C3C" w:rsidRPr="00BC5D47" w:rsidRDefault="00C93CAC" w:rsidP="00BC5D47">
            <w:pPr>
              <w:spacing w:after="0" w:line="360" w:lineRule="auto"/>
              <w:rPr>
                <w:rFonts w:cs="Times New Roman"/>
                <w:color w:val="000000" w:themeColor="text1"/>
                <w:sz w:val="24"/>
                <w:szCs w:val="24"/>
              </w:rPr>
            </w:pPr>
            <w:r>
              <w:rPr>
                <w:rFonts w:cs="Times New Roman"/>
                <w:color w:val="000000" w:themeColor="text1"/>
                <w:sz w:val="24"/>
                <w:szCs w:val="24"/>
              </w:rPr>
              <w:t>The community-based framework strengthened representativeness compared with hospital-based</w:t>
            </w:r>
            <w:r w:rsidR="00A56C3C" w:rsidRPr="00BC5D47">
              <w:rPr>
                <w:rFonts w:cs="Times New Roman"/>
                <w:color w:val="000000" w:themeColor="text1"/>
                <w:sz w:val="24"/>
                <w:szCs w:val="24"/>
              </w:rPr>
              <w:t xml:space="preserve"> studies.</w:t>
            </w:r>
          </w:p>
        </w:tc>
        <w:tc>
          <w:tcPr>
            <w:tcW w:w="3168" w:type="dxa"/>
            <w:shd w:val="clear" w:color="auto" w:fill="auto"/>
            <w:tcMar>
              <w:top w:w="80" w:type="dxa"/>
              <w:left w:w="90" w:type="dxa"/>
              <w:bottom w:w="80" w:type="dxa"/>
              <w:right w:w="90" w:type="dxa"/>
            </w:tcMar>
          </w:tcPr>
          <w:p w14:paraId="3F0A8F28"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MetS operationalisation used available substitutions for some markers, which reduced direct comparability.</w:t>
            </w:r>
          </w:p>
        </w:tc>
        <w:tc>
          <w:tcPr>
            <w:tcW w:w="2304" w:type="dxa"/>
            <w:shd w:val="clear" w:color="auto" w:fill="auto"/>
            <w:tcMar>
              <w:top w:w="80" w:type="dxa"/>
              <w:left w:w="90" w:type="dxa"/>
              <w:bottom w:w="80" w:type="dxa"/>
              <w:right w:w="90" w:type="dxa"/>
            </w:tcMar>
          </w:tcPr>
          <w:p w14:paraId="1322C215" w14:textId="1DA08E73" w:rsidR="00A56C3C" w:rsidRPr="00BC5D47" w:rsidRDefault="00C93CAC" w:rsidP="00BC5D47">
            <w:pPr>
              <w:spacing w:after="0" w:line="360" w:lineRule="auto"/>
              <w:rPr>
                <w:rFonts w:cs="Times New Roman"/>
                <w:color w:val="000000" w:themeColor="text1"/>
                <w:sz w:val="24"/>
                <w:szCs w:val="24"/>
              </w:rPr>
            </w:pPr>
            <w:r>
              <w:rPr>
                <w:rFonts w:cs="Times New Roman"/>
                <w:color w:val="000000" w:themeColor="text1"/>
                <w:sz w:val="24"/>
                <w:szCs w:val="24"/>
              </w:rPr>
              <w:t>The analytic</w:t>
            </w:r>
            <w:r w:rsidR="00A56C3C" w:rsidRPr="00BC5D47">
              <w:rPr>
                <w:rFonts w:cs="Times New Roman"/>
                <w:color w:val="000000" w:themeColor="text1"/>
                <w:sz w:val="24"/>
                <w:szCs w:val="24"/>
              </w:rPr>
              <w:t xml:space="preserve"> approach was appropriate for </w:t>
            </w:r>
            <w:r>
              <w:rPr>
                <w:rFonts w:cs="Times New Roman"/>
                <w:color w:val="000000" w:themeColor="text1"/>
                <w:sz w:val="24"/>
                <w:szCs w:val="24"/>
              </w:rPr>
              <w:t>reporting prevalence and associated factors</w:t>
            </w:r>
            <w:r w:rsidR="00A56C3C" w:rsidRPr="00BC5D47">
              <w:rPr>
                <w:rFonts w:cs="Times New Roman"/>
                <w:color w:val="000000" w:themeColor="text1"/>
                <w:sz w:val="24"/>
                <w:szCs w:val="24"/>
              </w:rPr>
              <w:t>.</w:t>
            </w:r>
          </w:p>
        </w:tc>
        <w:tc>
          <w:tcPr>
            <w:tcW w:w="2016" w:type="dxa"/>
            <w:shd w:val="clear" w:color="auto" w:fill="auto"/>
            <w:tcMar>
              <w:top w:w="80" w:type="dxa"/>
              <w:left w:w="90" w:type="dxa"/>
              <w:bottom w:w="80" w:type="dxa"/>
              <w:right w:w="90" w:type="dxa"/>
            </w:tcMar>
          </w:tcPr>
          <w:p w14:paraId="377C5D39" w14:textId="47A6039C"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 xml:space="preserve">Coverage affected by attrition from the original source cohort; response details </w:t>
            </w:r>
            <w:r w:rsidR="00C93CAC">
              <w:rPr>
                <w:rFonts w:cs="Times New Roman"/>
                <w:color w:val="000000" w:themeColor="text1"/>
                <w:sz w:val="24"/>
                <w:szCs w:val="24"/>
              </w:rPr>
              <w:t xml:space="preserve">are </w:t>
            </w:r>
            <w:r w:rsidRPr="00BC5D47">
              <w:rPr>
                <w:rFonts w:cs="Times New Roman"/>
                <w:color w:val="000000" w:themeColor="text1"/>
                <w:sz w:val="24"/>
                <w:szCs w:val="24"/>
              </w:rPr>
              <w:t>incomplete in accessible text.</w:t>
            </w:r>
          </w:p>
        </w:tc>
        <w:tc>
          <w:tcPr>
            <w:tcW w:w="2880" w:type="dxa"/>
            <w:shd w:val="clear" w:color="auto" w:fill="auto"/>
            <w:tcMar>
              <w:top w:w="80" w:type="dxa"/>
              <w:left w:w="90" w:type="dxa"/>
              <w:bottom w:w="80" w:type="dxa"/>
              <w:right w:w="90" w:type="dxa"/>
            </w:tcMar>
          </w:tcPr>
          <w:p w14:paraId="39111306"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Moderate risk because representativeness was stronger, but definition comparability and coverage were imperfect.</w:t>
            </w:r>
          </w:p>
        </w:tc>
      </w:tr>
      <w:tr w:rsidR="00BC5D47" w:rsidRPr="00BC5D47" w14:paraId="697CC50A" w14:textId="77777777" w:rsidTr="009E3B98">
        <w:trPr>
          <w:jc w:val="center"/>
        </w:trPr>
        <w:tc>
          <w:tcPr>
            <w:tcW w:w="2160" w:type="dxa"/>
            <w:shd w:val="clear" w:color="auto" w:fill="auto"/>
            <w:tcMar>
              <w:top w:w="80" w:type="dxa"/>
              <w:left w:w="90" w:type="dxa"/>
              <w:bottom w:w="80" w:type="dxa"/>
              <w:right w:w="90" w:type="dxa"/>
            </w:tcMar>
          </w:tcPr>
          <w:p w14:paraId="0D073E81"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Nguyen Van Tien et al. manuscript (2026)</w:t>
            </w:r>
          </w:p>
        </w:tc>
        <w:tc>
          <w:tcPr>
            <w:tcW w:w="3168" w:type="dxa"/>
            <w:shd w:val="clear" w:color="auto" w:fill="auto"/>
            <w:tcMar>
              <w:top w:w="80" w:type="dxa"/>
              <w:left w:w="90" w:type="dxa"/>
              <w:bottom w:w="80" w:type="dxa"/>
              <w:right w:w="90" w:type="dxa"/>
            </w:tcMar>
          </w:tcPr>
          <w:p w14:paraId="69F5978E" w14:textId="376E8440"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 xml:space="preserve">Single-centre outpatient convenience sample and </w:t>
            </w:r>
            <w:r w:rsidR="00C93CAC">
              <w:rPr>
                <w:rFonts w:cs="Times New Roman"/>
                <w:color w:val="000000" w:themeColor="text1"/>
                <w:sz w:val="24"/>
                <w:szCs w:val="24"/>
              </w:rPr>
              <w:t>grey literature</w:t>
            </w:r>
            <w:r w:rsidRPr="00BC5D47">
              <w:rPr>
                <w:rFonts w:cs="Times New Roman"/>
                <w:color w:val="000000" w:themeColor="text1"/>
                <w:sz w:val="24"/>
                <w:szCs w:val="24"/>
              </w:rPr>
              <w:t xml:space="preserve"> status.</w:t>
            </w:r>
          </w:p>
        </w:tc>
        <w:tc>
          <w:tcPr>
            <w:tcW w:w="3168" w:type="dxa"/>
            <w:shd w:val="clear" w:color="auto" w:fill="auto"/>
            <w:tcMar>
              <w:top w:w="80" w:type="dxa"/>
              <w:left w:w="90" w:type="dxa"/>
              <w:bottom w:w="80" w:type="dxa"/>
              <w:right w:w="90" w:type="dxa"/>
            </w:tcMar>
          </w:tcPr>
          <w:p w14:paraId="0DC40160" w14:textId="3082BBEC"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Recognisable</w:t>
            </w:r>
            <w:r w:rsidR="00C93CAC">
              <w:rPr>
                <w:rFonts w:cs="Times New Roman"/>
                <w:color w:val="000000" w:themeColor="text1"/>
                <w:sz w:val="24"/>
                <w:szCs w:val="24"/>
              </w:rPr>
              <w:t>, harmonised,</w:t>
            </w:r>
            <w:r w:rsidRPr="00BC5D47">
              <w:rPr>
                <w:rFonts w:cs="Times New Roman"/>
                <w:color w:val="000000" w:themeColor="text1"/>
                <w:sz w:val="24"/>
                <w:szCs w:val="24"/>
              </w:rPr>
              <w:t xml:space="preserve"> and IDF definitions were reported clearly.</w:t>
            </w:r>
          </w:p>
        </w:tc>
        <w:tc>
          <w:tcPr>
            <w:tcW w:w="2304" w:type="dxa"/>
            <w:shd w:val="clear" w:color="auto" w:fill="auto"/>
            <w:tcMar>
              <w:top w:w="80" w:type="dxa"/>
              <w:left w:w="90" w:type="dxa"/>
              <w:bottom w:w="80" w:type="dxa"/>
              <w:right w:w="90" w:type="dxa"/>
            </w:tcMar>
          </w:tcPr>
          <w:p w14:paraId="33756ABC"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Multivariable analysis was reported adequately for the study objectives.</w:t>
            </w:r>
          </w:p>
        </w:tc>
        <w:tc>
          <w:tcPr>
            <w:tcW w:w="2016" w:type="dxa"/>
            <w:shd w:val="clear" w:color="auto" w:fill="auto"/>
            <w:tcMar>
              <w:top w:w="80" w:type="dxa"/>
              <w:left w:w="90" w:type="dxa"/>
              <w:bottom w:w="80" w:type="dxa"/>
              <w:right w:w="90" w:type="dxa"/>
            </w:tcMar>
          </w:tcPr>
          <w:p w14:paraId="3A8C843E" w14:textId="77777777"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Response rate not reported.</w:t>
            </w:r>
          </w:p>
        </w:tc>
        <w:tc>
          <w:tcPr>
            <w:tcW w:w="2880" w:type="dxa"/>
            <w:shd w:val="clear" w:color="auto" w:fill="auto"/>
            <w:tcMar>
              <w:top w:w="80" w:type="dxa"/>
              <w:left w:w="90" w:type="dxa"/>
              <w:bottom w:w="80" w:type="dxa"/>
              <w:right w:w="90" w:type="dxa"/>
            </w:tcMar>
          </w:tcPr>
          <w:p w14:paraId="3BB9FF1D" w14:textId="15A40D28" w:rsidR="00A56C3C" w:rsidRPr="00BC5D47" w:rsidRDefault="00A56C3C" w:rsidP="00BC5D47">
            <w:pPr>
              <w:spacing w:after="0" w:line="360" w:lineRule="auto"/>
              <w:rPr>
                <w:rFonts w:cs="Times New Roman"/>
                <w:color w:val="000000" w:themeColor="text1"/>
                <w:sz w:val="24"/>
                <w:szCs w:val="24"/>
              </w:rPr>
            </w:pPr>
            <w:r w:rsidRPr="00BC5D47">
              <w:rPr>
                <w:rFonts w:cs="Times New Roman"/>
                <w:color w:val="000000" w:themeColor="text1"/>
                <w:sz w:val="24"/>
                <w:szCs w:val="24"/>
              </w:rPr>
              <w:t>Moderate risk because the study was directly relevant and extractable</w:t>
            </w:r>
            <w:r w:rsidR="00C93CAC">
              <w:rPr>
                <w:rFonts w:cs="Times New Roman"/>
                <w:color w:val="000000" w:themeColor="text1"/>
                <w:sz w:val="24"/>
                <w:szCs w:val="24"/>
              </w:rPr>
              <w:t>,</w:t>
            </w:r>
            <w:r w:rsidRPr="00BC5D47">
              <w:rPr>
                <w:rFonts w:cs="Times New Roman"/>
                <w:color w:val="000000" w:themeColor="text1"/>
                <w:sz w:val="24"/>
                <w:szCs w:val="24"/>
              </w:rPr>
              <w:t xml:space="preserve"> but remained a convenience outpatient sample.</w:t>
            </w:r>
          </w:p>
        </w:tc>
      </w:tr>
    </w:tbl>
    <w:p w14:paraId="729FF1BD" w14:textId="77777777" w:rsidR="00A56C3C" w:rsidRPr="009D7A37" w:rsidRDefault="00A56C3C" w:rsidP="00BC5D47">
      <w:pPr>
        <w:pStyle w:val="OPTNote"/>
        <w:spacing w:after="0" w:line="360" w:lineRule="auto"/>
        <w:rPr>
          <w:rFonts w:cs="Times New Roman"/>
          <w:color w:val="000000" w:themeColor="text1"/>
          <w:sz w:val="20"/>
          <w:szCs w:val="20"/>
        </w:rPr>
      </w:pPr>
      <w:r w:rsidRPr="009D7A37">
        <w:rPr>
          <w:rFonts w:cs="Times New Roman"/>
          <w:color w:val="000000" w:themeColor="text1"/>
          <w:sz w:val="20"/>
          <w:szCs w:val="20"/>
        </w:rPr>
        <w:t>Optional note on additional exploratory outputs: Because the primary synthesis included only three studies, leave-one-out diagnostics, funnel plots, and asymmetry tests were not emphasised in the revision. These outputs can be generated and supplied later if specifically requested, but they are unlikely to be informative at the current study count.</w:t>
      </w:r>
    </w:p>
    <w:sectPr w:rsidR="00A56C3C" w:rsidRPr="009D7A37" w:rsidSect="00034616">
      <w:footerReference w:type="default" r:id="rId6"/>
      <w:pgSz w:w="16838" w:h="11906" w:orient="landscape"/>
      <w:pgMar w:top="737" w:right="567" w:bottom="680"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E6A09" w14:textId="77777777" w:rsidR="00DF5D0E" w:rsidRDefault="00DF5D0E" w:rsidP="00C93CAC">
      <w:pPr>
        <w:spacing w:after="0" w:line="240" w:lineRule="auto"/>
      </w:pPr>
      <w:r>
        <w:separator/>
      </w:r>
    </w:p>
  </w:endnote>
  <w:endnote w:type="continuationSeparator" w:id="0">
    <w:p w14:paraId="3CDEC4D8" w14:textId="77777777" w:rsidR="00DF5D0E" w:rsidRDefault="00DF5D0E" w:rsidP="00C93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9B94" w14:textId="7ABD8186" w:rsidR="00355BDD" w:rsidRDefault="009D7A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5244C" w14:textId="77777777" w:rsidR="00DF5D0E" w:rsidRDefault="00DF5D0E" w:rsidP="00C93CAC">
      <w:pPr>
        <w:spacing w:after="0" w:line="240" w:lineRule="auto"/>
      </w:pPr>
      <w:r>
        <w:separator/>
      </w:r>
    </w:p>
  </w:footnote>
  <w:footnote w:type="continuationSeparator" w:id="0">
    <w:p w14:paraId="2B2BFAF8" w14:textId="77777777" w:rsidR="00DF5D0E" w:rsidRDefault="00DF5D0E" w:rsidP="00C93C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3C"/>
    <w:rsid w:val="006D1114"/>
    <w:rsid w:val="009D7A37"/>
    <w:rsid w:val="009E3B98"/>
    <w:rsid w:val="00A56C3C"/>
    <w:rsid w:val="00BC5D47"/>
    <w:rsid w:val="00C93CAC"/>
    <w:rsid w:val="00DF5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CFF6E"/>
  <w15:chartTrackingRefBased/>
  <w15:docId w15:val="{85777E33-B1AA-4D2F-BA85-B00650E7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3C"/>
    <w:pPr>
      <w:spacing w:after="120" w:line="276" w:lineRule="auto"/>
    </w:pPr>
    <w:rPr>
      <w:rFonts w:ascii="Times New Roman" w:eastAsiaTheme="minorEastAsia"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TTitle">
    <w:name w:val="OPT Title"/>
    <w:rsid w:val="00A56C3C"/>
    <w:pPr>
      <w:spacing w:line="276" w:lineRule="auto"/>
      <w:jc w:val="center"/>
    </w:pPr>
    <w:rPr>
      <w:rFonts w:ascii="Times New Roman" w:eastAsiaTheme="minorEastAsia" w:hAnsi="Times New Roman"/>
      <w:b/>
      <w:color w:val="000000"/>
      <w:sz w:val="30"/>
    </w:rPr>
  </w:style>
  <w:style w:type="paragraph" w:customStyle="1" w:styleId="OPTHead">
    <w:name w:val="OPT Head"/>
    <w:rsid w:val="00A56C3C"/>
    <w:pPr>
      <w:spacing w:before="160" w:after="80" w:line="276" w:lineRule="auto"/>
    </w:pPr>
    <w:rPr>
      <w:rFonts w:ascii="Times New Roman" w:eastAsiaTheme="minorEastAsia" w:hAnsi="Times New Roman"/>
      <w:b/>
      <w:color w:val="000000"/>
      <w:sz w:val="25"/>
    </w:rPr>
  </w:style>
  <w:style w:type="paragraph" w:customStyle="1" w:styleId="OPTBody">
    <w:name w:val="OPT Body"/>
    <w:rsid w:val="00A56C3C"/>
    <w:pPr>
      <w:spacing w:after="100" w:line="276" w:lineRule="auto"/>
    </w:pPr>
    <w:rPr>
      <w:rFonts w:ascii="Times New Roman" w:eastAsiaTheme="minorEastAsia" w:hAnsi="Times New Roman"/>
      <w:color w:val="000000"/>
    </w:rPr>
  </w:style>
  <w:style w:type="paragraph" w:customStyle="1" w:styleId="OPTNote">
    <w:name w:val="OPT Note"/>
    <w:rsid w:val="00A56C3C"/>
    <w:pPr>
      <w:spacing w:after="80" w:line="276" w:lineRule="auto"/>
    </w:pPr>
    <w:rPr>
      <w:rFonts w:ascii="Times New Roman" w:eastAsiaTheme="minorEastAsia" w:hAnsi="Times New Roman"/>
      <w:i/>
      <w:color w:val="555555"/>
      <w:sz w:val="19"/>
    </w:rPr>
  </w:style>
  <w:style w:type="paragraph" w:styleId="Header">
    <w:name w:val="header"/>
    <w:basedOn w:val="Normal"/>
    <w:link w:val="HeaderChar"/>
    <w:uiPriority w:val="99"/>
    <w:unhideWhenUsed/>
    <w:rsid w:val="00C93C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CAC"/>
    <w:rPr>
      <w:rFonts w:ascii="Times New Roman" w:eastAsiaTheme="minorEastAsia" w:hAnsi="Times New Roman"/>
    </w:rPr>
  </w:style>
  <w:style w:type="paragraph" w:styleId="Footer">
    <w:name w:val="footer"/>
    <w:basedOn w:val="Normal"/>
    <w:link w:val="FooterChar"/>
    <w:uiPriority w:val="99"/>
    <w:unhideWhenUsed/>
    <w:rsid w:val="00C93C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CAC"/>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dc:creator>
  <cp:keywords/>
  <dc:description/>
  <cp:lastModifiedBy>Nguyen Van Tien</cp:lastModifiedBy>
  <cp:revision>5</cp:revision>
  <dcterms:created xsi:type="dcterms:W3CDTF">2026-04-18T02:38:00Z</dcterms:created>
  <dcterms:modified xsi:type="dcterms:W3CDTF">2026-04-18T04:26:00Z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a482fdba-0fb6-42f8-86b6-f0d7f292adc4</vt:lpwstr>
  </property>
</Properties>
</file>