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B1AD" w14:textId="77777777" w:rsidR="00603C91" w:rsidRPr="006702E2" w:rsidRDefault="00603C91" w:rsidP="00603C91">
      <w:pPr>
        <w:pStyle w:val="NormalWeb"/>
        <w:rPr>
          <w:b/>
          <w:bCs/>
          <w:sz w:val="32"/>
          <w:szCs w:val="32"/>
          <w:lang w:val="en-US"/>
        </w:rPr>
      </w:pPr>
      <w:r w:rsidRPr="006702E2">
        <w:rPr>
          <w:b/>
          <w:bCs/>
          <w:sz w:val="32"/>
          <w:szCs w:val="32"/>
          <w:lang w:val="en-US"/>
        </w:rPr>
        <w:t>Supplementary Data</w:t>
      </w:r>
    </w:p>
    <w:p w14:paraId="4D11B1AE" w14:textId="77777777" w:rsidR="00603C91" w:rsidRDefault="00603C91" w:rsidP="00603C91">
      <w:pPr>
        <w:pStyle w:val="NormalWeb"/>
        <w:rPr>
          <w:b/>
          <w:bCs/>
          <w:sz w:val="26"/>
          <w:szCs w:val="26"/>
          <w:lang w:val="en-US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4D11B1B6" wp14:editId="4D11B1B7">
            <wp:extent cx="6591300" cy="61493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861" cy="617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B1B0" w14:textId="174B0AD4" w:rsidR="00603C91" w:rsidRPr="008C7823" w:rsidRDefault="00603C91" w:rsidP="008C7823">
      <w:pPr>
        <w:tabs>
          <w:tab w:val="left" w:pos="4008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310A5B">
        <w:rPr>
          <w:rFonts w:asciiTheme="majorBidi" w:hAnsiTheme="majorBidi" w:cstheme="majorBidi"/>
          <w:lang w:eastAsia="fr-FR"/>
        </w:rPr>
        <w:t xml:space="preserve">Figure S1.  </w:t>
      </w:r>
      <w:r w:rsidRPr="00310A5B">
        <w:rPr>
          <w:rFonts w:asciiTheme="majorBidi" w:hAnsiTheme="majorBidi" w:cstheme="majorBidi"/>
        </w:rPr>
        <w:t xml:space="preserve">Measured parameters in </w:t>
      </w:r>
      <w:r w:rsidRPr="00310A5B">
        <w:rPr>
          <w:rStyle w:val="Accentuation"/>
          <w:rFonts w:asciiTheme="majorBidi" w:hAnsiTheme="majorBidi" w:cstheme="majorBidi"/>
        </w:rPr>
        <w:t xml:space="preserve">Medicago </w:t>
      </w:r>
      <w:proofErr w:type="spellStart"/>
      <w:r w:rsidRPr="00310A5B">
        <w:rPr>
          <w:rStyle w:val="Accentuation"/>
          <w:rFonts w:asciiTheme="majorBidi" w:hAnsiTheme="majorBidi" w:cstheme="majorBidi"/>
        </w:rPr>
        <w:t>truncatula</w:t>
      </w:r>
      <w:proofErr w:type="spellEnd"/>
      <w:r w:rsidRPr="00310A5B">
        <w:rPr>
          <w:rFonts w:asciiTheme="majorBidi" w:hAnsiTheme="majorBidi" w:cstheme="majorBidi"/>
        </w:rPr>
        <w:t xml:space="preserve"> colonized by </w:t>
      </w:r>
      <w:proofErr w:type="spellStart"/>
      <w:r w:rsidRPr="00310A5B">
        <w:rPr>
          <w:rStyle w:val="Accentuation"/>
          <w:rFonts w:asciiTheme="majorBidi" w:hAnsiTheme="majorBidi" w:cstheme="majorBidi"/>
        </w:rPr>
        <w:t>Rhizophagus</w:t>
      </w:r>
      <w:proofErr w:type="spellEnd"/>
      <w:r w:rsidRPr="00310A5B">
        <w:rPr>
          <w:rStyle w:val="Accentuation"/>
          <w:rFonts w:asciiTheme="majorBidi" w:hAnsiTheme="majorBidi" w:cstheme="majorBidi"/>
        </w:rPr>
        <w:t xml:space="preserve"> </w:t>
      </w:r>
      <w:proofErr w:type="spellStart"/>
      <w:r w:rsidRPr="00310A5B">
        <w:rPr>
          <w:rStyle w:val="Accentuation"/>
          <w:rFonts w:asciiTheme="majorBidi" w:hAnsiTheme="majorBidi" w:cstheme="majorBidi"/>
        </w:rPr>
        <w:t>intraradices</w:t>
      </w:r>
      <w:proofErr w:type="spellEnd"/>
      <w:r w:rsidRPr="00310A5B">
        <w:rPr>
          <w:rFonts w:asciiTheme="majorBidi" w:hAnsiTheme="majorBidi" w:cstheme="majorBidi"/>
        </w:rPr>
        <w:t xml:space="preserve"> MUCL 49410 comparing the H₂O control and acetone (AC) control treatments. Parameters include root dry weight (RDW) and shoot dry weight (SDW) of plants grown in pots; mycelium fresh weight (MFW) produced within the in-growth tubes; INT/ALP-stained spore ratio reflecting spore metabolic activity; percentage of extraradical hyphae exhibiting alkaline phosphatase (ALP) activity indicating hyphal metabolic activity; and inorganic phosphorus (Pi) concentration remaining in the in-growth tubes</w:t>
      </w:r>
      <w:r>
        <w:rPr>
          <w:rFonts w:asciiTheme="majorBidi" w:hAnsiTheme="majorBidi" w:cstheme="majorBidi"/>
        </w:rPr>
        <w:t xml:space="preserve">; </w:t>
      </w:r>
      <w:r w:rsidRPr="00310A5B">
        <w:rPr>
          <w:rFonts w:asciiTheme="majorBidi" w:hAnsiTheme="majorBidi" w:cstheme="majorBidi"/>
        </w:rPr>
        <w:t xml:space="preserve">root colonization frequency (F%), colonization intensity (M%), </w:t>
      </w:r>
      <w:proofErr w:type="spellStart"/>
      <w:r w:rsidRPr="00310A5B">
        <w:rPr>
          <w:rFonts w:asciiTheme="majorBidi" w:hAnsiTheme="majorBidi" w:cstheme="majorBidi"/>
        </w:rPr>
        <w:t>arbuscule</w:t>
      </w:r>
      <w:proofErr w:type="spellEnd"/>
      <w:r w:rsidRPr="00310A5B">
        <w:rPr>
          <w:rFonts w:asciiTheme="majorBidi" w:hAnsiTheme="majorBidi" w:cstheme="majorBidi"/>
        </w:rPr>
        <w:t xml:space="preserve"> abundance (A%), and vesicl</w:t>
      </w:r>
      <w:r>
        <w:rPr>
          <w:rFonts w:asciiTheme="majorBidi" w:hAnsiTheme="majorBidi" w:cstheme="majorBidi"/>
        </w:rPr>
        <w:t xml:space="preserve">e/spore abundance (V%) in </w:t>
      </w:r>
      <w:proofErr w:type="spellStart"/>
      <w:r>
        <w:rPr>
          <w:rFonts w:asciiTheme="majorBidi" w:hAnsiTheme="majorBidi" w:cstheme="majorBidi"/>
        </w:rPr>
        <w:t>roots</w:t>
      </w:r>
      <w:r w:rsidRPr="00310A5B">
        <w:rPr>
          <w:rFonts w:asciiTheme="majorBidi" w:hAnsiTheme="majorBidi" w:cstheme="majorBidi"/>
        </w:rPr>
        <w:t>.</w:t>
      </w:r>
      <w:r w:rsidRPr="00BE6E73">
        <w:rPr>
          <w:rFonts w:asciiTheme="majorBidi" w:hAnsiTheme="majorBidi" w:cstheme="majorBidi"/>
        </w:rPr>
        <w:t>Data</w:t>
      </w:r>
      <w:proofErr w:type="spellEnd"/>
      <w:r w:rsidRPr="00BE6E73">
        <w:rPr>
          <w:rFonts w:asciiTheme="majorBidi" w:hAnsiTheme="majorBidi" w:cstheme="majorBidi"/>
        </w:rPr>
        <w:t xml:space="preserve"> are expressed as means ± standard errors (n = 12). </w:t>
      </w:r>
      <w:r w:rsidRPr="00310A5B">
        <w:rPr>
          <w:rFonts w:asciiTheme="majorBidi" w:hAnsiTheme="majorBidi" w:cstheme="majorBidi"/>
        </w:rPr>
        <w:t>No significant differences were observed between the two control treatments.</w:t>
      </w:r>
      <w:r w:rsidRPr="00BE6E73">
        <w:rPr>
          <w:rFonts w:asciiTheme="majorBidi" w:hAnsiTheme="majorBidi" w:cstheme="majorBidi"/>
        </w:rPr>
        <w:t xml:space="preserve"> (one-way ANOVA, P ≤ 0.05). </w:t>
      </w:r>
    </w:p>
    <w:p w14:paraId="4D11B1B1" w14:textId="77777777" w:rsidR="00603C91" w:rsidRDefault="00603C91" w:rsidP="00603C91">
      <w:pPr>
        <w:tabs>
          <w:tab w:val="left" w:pos="5364"/>
        </w:tabs>
        <w:jc w:val="both"/>
        <w:rPr>
          <w:lang w:eastAsia="fr-FR"/>
        </w:rPr>
      </w:pPr>
      <w:r>
        <w:rPr>
          <w:lang w:eastAsia="fr-FR"/>
        </w:rPr>
        <w:lastRenderedPageBreak/>
        <w:tab/>
      </w:r>
      <w:r>
        <w:rPr>
          <w:noProof/>
          <w:lang w:val="fr-FR" w:eastAsia="fr-FR"/>
        </w:rPr>
        <w:drawing>
          <wp:inline distT="0" distB="0" distL="0" distR="0" wp14:anchorId="4D11B1B8" wp14:editId="4D11B1B9">
            <wp:extent cx="6804660" cy="379226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380" cy="379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B1B2" w14:textId="77777777" w:rsidR="00603C91" w:rsidRDefault="00603C91" w:rsidP="00603C91">
      <w:pPr>
        <w:tabs>
          <w:tab w:val="left" w:pos="5364"/>
        </w:tabs>
        <w:jc w:val="center"/>
        <w:rPr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4D11B1BA" wp14:editId="4D11B1BB">
            <wp:extent cx="6804660" cy="360416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690" cy="361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B1B3" w14:textId="77777777" w:rsidR="00603C91" w:rsidRDefault="00603C91" w:rsidP="00603C91">
      <w:pPr>
        <w:tabs>
          <w:tab w:val="left" w:pos="5364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/>
        </w:rPr>
        <w:drawing>
          <wp:inline distT="0" distB="0" distL="0" distR="0" wp14:anchorId="4D11B1BC" wp14:editId="4D11B1BD">
            <wp:extent cx="4154998" cy="35356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192" cy="353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0B9">
        <w:rPr>
          <w:rFonts w:asciiTheme="majorBidi" w:hAnsiTheme="majorBidi" w:cstheme="majorBidi"/>
        </w:rPr>
        <w:t xml:space="preserve"> </w:t>
      </w:r>
    </w:p>
    <w:p w14:paraId="4D11B1B4" w14:textId="614F5D26" w:rsidR="00603C91" w:rsidRDefault="00603C91" w:rsidP="00603C91">
      <w:pPr>
        <w:tabs>
          <w:tab w:val="left" w:pos="5364"/>
        </w:tabs>
        <w:jc w:val="both"/>
        <w:rPr>
          <w:rFonts w:asciiTheme="majorBidi" w:hAnsiTheme="majorBidi" w:cstheme="majorBidi"/>
        </w:rPr>
      </w:pPr>
      <w:r w:rsidRPr="007410B9">
        <w:rPr>
          <w:rFonts w:asciiTheme="majorBidi" w:hAnsiTheme="majorBidi" w:cstheme="majorBidi"/>
        </w:rPr>
        <w:t xml:space="preserve">Figure S2. Root colonization parameters, measured at T1 and T2 in the roots of </w:t>
      </w:r>
      <w:r w:rsidRPr="007410B9">
        <w:rPr>
          <w:rStyle w:val="Accentuation"/>
          <w:rFonts w:asciiTheme="majorBidi" w:hAnsiTheme="majorBidi" w:cstheme="majorBidi"/>
        </w:rPr>
        <w:t xml:space="preserve">Medicago </w:t>
      </w:r>
      <w:proofErr w:type="spellStart"/>
      <w:r w:rsidRPr="007410B9">
        <w:rPr>
          <w:rStyle w:val="Accentuation"/>
          <w:rFonts w:asciiTheme="majorBidi" w:hAnsiTheme="majorBidi" w:cstheme="majorBidi"/>
        </w:rPr>
        <w:t>truncatula</w:t>
      </w:r>
      <w:proofErr w:type="spellEnd"/>
      <w:r w:rsidRPr="007410B9">
        <w:rPr>
          <w:rFonts w:asciiTheme="majorBidi" w:hAnsiTheme="majorBidi" w:cstheme="majorBidi"/>
        </w:rPr>
        <w:t xml:space="preserve"> colonized by </w:t>
      </w:r>
      <w:proofErr w:type="spellStart"/>
      <w:r w:rsidRPr="007410B9">
        <w:rPr>
          <w:rStyle w:val="Accentuation"/>
          <w:rFonts w:asciiTheme="majorBidi" w:hAnsiTheme="majorBidi" w:cstheme="majorBidi"/>
        </w:rPr>
        <w:t>Rhizophagus</w:t>
      </w:r>
      <w:proofErr w:type="spellEnd"/>
      <w:r w:rsidRPr="007410B9">
        <w:rPr>
          <w:rStyle w:val="Accentuation"/>
          <w:rFonts w:asciiTheme="majorBidi" w:hAnsiTheme="majorBidi" w:cstheme="majorBidi"/>
        </w:rPr>
        <w:t xml:space="preserve"> </w:t>
      </w:r>
      <w:proofErr w:type="spellStart"/>
      <w:r w:rsidRPr="007410B9">
        <w:rPr>
          <w:rStyle w:val="Accentuation"/>
          <w:rFonts w:asciiTheme="majorBidi" w:hAnsiTheme="majorBidi" w:cstheme="majorBidi"/>
        </w:rPr>
        <w:t>intraradices</w:t>
      </w:r>
      <w:proofErr w:type="spellEnd"/>
      <w:r w:rsidRPr="007410B9">
        <w:rPr>
          <w:rFonts w:asciiTheme="majorBidi" w:hAnsiTheme="majorBidi" w:cstheme="majorBidi"/>
        </w:rPr>
        <w:t xml:space="preserve"> MUCL 49410, assessed according to the method of </w:t>
      </w:r>
      <w:proofErr w:type="spellStart"/>
      <w:r w:rsidRPr="007410B9">
        <w:rPr>
          <w:rFonts w:asciiTheme="majorBidi" w:hAnsiTheme="majorBidi" w:cstheme="majorBidi"/>
        </w:rPr>
        <w:t>Trouvelot</w:t>
      </w:r>
      <w:proofErr w:type="spellEnd"/>
      <w:r w:rsidRPr="007410B9">
        <w:rPr>
          <w:rFonts w:asciiTheme="majorBidi" w:hAnsiTheme="majorBidi" w:cstheme="majorBidi"/>
        </w:rPr>
        <w:t xml:space="preserve"> et al. (1986) using the </w:t>
      </w:r>
      <w:proofErr w:type="spellStart"/>
      <w:r w:rsidRPr="007410B9">
        <w:rPr>
          <w:rFonts w:asciiTheme="majorBidi" w:hAnsiTheme="majorBidi" w:cstheme="majorBidi"/>
        </w:rPr>
        <w:t>Mycocheck</w:t>
      </w:r>
      <w:proofErr w:type="spellEnd"/>
      <w:r w:rsidRPr="007410B9">
        <w:rPr>
          <w:rFonts w:asciiTheme="majorBidi" w:hAnsiTheme="majorBidi" w:cstheme="majorBidi"/>
        </w:rPr>
        <w:t xml:space="preserve"> Advanced Excel spreadsheet (</w:t>
      </w:r>
      <w:proofErr w:type="spellStart"/>
      <w:r w:rsidRPr="007410B9">
        <w:rPr>
          <w:rFonts w:asciiTheme="majorBidi" w:hAnsiTheme="majorBidi" w:cstheme="majorBidi"/>
        </w:rPr>
        <w:t>Lucic</w:t>
      </w:r>
      <w:proofErr w:type="spellEnd"/>
      <w:r w:rsidRPr="007410B9">
        <w:rPr>
          <w:rFonts w:asciiTheme="majorBidi" w:hAnsiTheme="majorBidi" w:cstheme="majorBidi"/>
        </w:rPr>
        <w:t xml:space="preserve">-Mercy et al., 2024). Parameters include mycorrhizal colonization intensity (m%),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abundance (a%), vesicle/spore abundance (v%) and intraradical hyphal abundance (h%) in colonized root fragments, intraradical hyphal abundance in the root system (H%), vesicle/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ratio (v%/a%),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abundance in the root system relative to </w:t>
      </w:r>
      <w:proofErr w:type="spellStart"/>
      <w:r w:rsidRPr="007410B9">
        <w:rPr>
          <w:rFonts w:asciiTheme="majorBidi" w:hAnsiTheme="majorBidi" w:cstheme="majorBidi"/>
        </w:rPr>
        <w:t>vesicules</w:t>
      </w:r>
      <w:proofErr w:type="spellEnd"/>
      <w:r w:rsidRPr="007410B9">
        <w:rPr>
          <w:rFonts w:asciiTheme="majorBidi" w:hAnsiTheme="majorBidi" w:cstheme="majorBidi"/>
        </w:rPr>
        <w:t xml:space="preserve"> and intraradical hyphal abundance (</w:t>
      </w:r>
      <w:proofErr w:type="spellStart"/>
      <w:r w:rsidRPr="007410B9">
        <w:rPr>
          <w:rFonts w:asciiTheme="majorBidi" w:hAnsiTheme="majorBidi" w:cstheme="majorBidi"/>
        </w:rPr>
        <w:t>A</w:t>
      </w:r>
      <w:r w:rsidRPr="007410B9">
        <w:rPr>
          <w:rFonts w:asciiTheme="majorBidi" w:hAnsiTheme="majorBidi" w:cstheme="majorBidi"/>
          <w:vertAlign w:val="superscript"/>
        </w:rPr>
        <w:t>r</w:t>
      </w:r>
      <w:proofErr w:type="spellEnd"/>
      <w:r w:rsidRPr="007410B9">
        <w:rPr>
          <w:rFonts w:asciiTheme="majorBidi" w:hAnsiTheme="majorBidi" w:cstheme="majorBidi"/>
        </w:rPr>
        <w:t xml:space="preserve">%), vesicle abundance in the root system relative to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and intraradical hyphal abundance (</w:t>
      </w:r>
      <w:proofErr w:type="spellStart"/>
      <w:r w:rsidRPr="007410B9">
        <w:rPr>
          <w:rFonts w:asciiTheme="majorBidi" w:hAnsiTheme="majorBidi" w:cstheme="majorBidi"/>
        </w:rPr>
        <w:t>V</w:t>
      </w:r>
      <w:r w:rsidRPr="007410B9">
        <w:rPr>
          <w:rFonts w:asciiTheme="majorBidi" w:hAnsiTheme="majorBidi" w:cstheme="majorBidi"/>
          <w:vertAlign w:val="superscript"/>
        </w:rPr>
        <w:t>r</w:t>
      </w:r>
      <w:proofErr w:type="spellEnd"/>
      <w:r w:rsidRPr="007410B9">
        <w:rPr>
          <w:rFonts w:asciiTheme="majorBidi" w:hAnsiTheme="majorBidi" w:cstheme="majorBidi"/>
        </w:rPr>
        <w:t xml:space="preserve">%), intraradical hyphal abundance in the root system relative to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and </w:t>
      </w:r>
      <w:proofErr w:type="spellStart"/>
      <w:r w:rsidRPr="007410B9">
        <w:rPr>
          <w:rFonts w:asciiTheme="majorBidi" w:hAnsiTheme="majorBidi" w:cstheme="majorBidi"/>
        </w:rPr>
        <w:t>vesicule</w:t>
      </w:r>
      <w:proofErr w:type="spellEnd"/>
      <w:r w:rsidRPr="007410B9">
        <w:rPr>
          <w:rFonts w:asciiTheme="majorBidi" w:hAnsiTheme="majorBidi" w:cstheme="majorBidi"/>
        </w:rPr>
        <w:t xml:space="preserve"> abundance (</w:t>
      </w:r>
      <w:proofErr w:type="spellStart"/>
      <w:r w:rsidRPr="007410B9">
        <w:rPr>
          <w:rFonts w:asciiTheme="majorBidi" w:hAnsiTheme="majorBidi" w:cstheme="majorBidi"/>
        </w:rPr>
        <w:t>H</w:t>
      </w:r>
      <w:r w:rsidRPr="007410B9">
        <w:rPr>
          <w:rFonts w:asciiTheme="majorBidi" w:hAnsiTheme="majorBidi" w:cstheme="majorBidi"/>
          <w:vertAlign w:val="superscript"/>
        </w:rPr>
        <w:t>r</w:t>
      </w:r>
      <w:proofErr w:type="spellEnd"/>
      <w:r w:rsidRPr="007410B9">
        <w:rPr>
          <w:rFonts w:asciiTheme="majorBidi" w:hAnsiTheme="majorBidi" w:cstheme="majorBidi"/>
        </w:rPr>
        <w:t xml:space="preserve">%),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abundance in the intraradical colonization (M%) relative to </w:t>
      </w:r>
      <w:proofErr w:type="spellStart"/>
      <w:r w:rsidRPr="007410B9">
        <w:rPr>
          <w:rFonts w:asciiTheme="majorBidi" w:hAnsiTheme="majorBidi" w:cstheme="majorBidi"/>
        </w:rPr>
        <w:t>vesicules</w:t>
      </w:r>
      <w:proofErr w:type="spellEnd"/>
      <w:r w:rsidRPr="007410B9">
        <w:rPr>
          <w:rFonts w:asciiTheme="majorBidi" w:hAnsiTheme="majorBidi" w:cstheme="majorBidi"/>
        </w:rPr>
        <w:t xml:space="preserve"> and intraradical hyphal abundance (</w:t>
      </w:r>
      <w:proofErr w:type="spellStart"/>
      <w:r w:rsidRPr="007410B9">
        <w:rPr>
          <w:rFonts w:asciiTheme="majorBidi" w:hAnsiTheme="majorBidi" w:cstheme="majorBidi"/>
        </w:rPr>
        <w:t>a</w:t>
      </w:r>
      <w:r w:rsidRPr="007410B9">
        <w:rPr>
          <w:rFonts w:asciiTheme="majorBidi" w:hAnsiTheme="majorBidi" w:cstheme="majorBidi"/>
          <w:vertAlign w:val="superscript"/>
        </w:rPr>
        <w:t>r</w:t>
      </w:r>
      <w:proofErr w:type="spellEnd"/>
      <w:r w:rsidRPr="007410B9">
        <w:rPr>
          <w:rFonts w:asciiTheme="majorBidi" w:hAnsiTheme="majorBidi" w:cstheme="majorBidi"/>
        </w:rPr>
        <w:t xml:space="preserve">%), vesicle abundance in the intraradical colonization (M%) relative to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and intraradical hyphal abundance (</w:t>
      </w:r>
      <w:proofErr w:type="spellStart"/>
      <w:r w:rsidRPr="007410B9">
        <w:rPr>
          <w:rFonts w:asciiTheme="majorBidi" w:hAnsiTheme="majorBidi" w:cstheme="majorBidi"/>
        </w:rPr>
        <w:t>v</w:t>
      </w:r>
      <w:r w:rsidRPr="007410B9">
        <w:rPr>
          <w:rFonts w:asciiTheme="majorBidi" w:hAnsiTheme="majorBidi" w:cstheme="majorBidi"/>
          <w:vertAlign w:val="superscript"/>
        </w:rPr>
        <w:t>r</w:t>
      </w:r>
      <w:proofErr w:type="spellEnd"/>
      <w:r w:rsidRPr="007410B9">
        <w:rPr>
          <w:rFonts w:asciiTheme="majorBidi" w:hAnsiTheme="majorBidi" w:cstheme="majorBidi"/>
        </w:rPr>
        <w:t xml:space="preserve">%), intraradical hyphal abundance in the intraradical colonization (M%) relative to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and </w:t>
      </w:r>
      <w:proofErr w:type="spellStart"/>
      <w:r w:rsidRPr="007410B9">
        <w:rPr>
          <w:rFonts w:asciiTheme="majorBidi" w:hAnsiTheme="majorBidi" w:cstheme="majorBidi"/>
        </w:rPr>
        <w:t>vesicule</w:t>
      </w:r>
      <w:proofErr w:type="spellEnd"/>
      <w:r w:rsidRPr="007410B9">
        <w:rPr>
          <w:rFonts w:asciiTheme="majorBidi" w:hAnsiTheme="majorBidi" w:cstheme="majorBidi"/>
        </w:rPr>
        <w:t xml:space="preserve"> abundance (</w:t>
      </w:r>
      <w:proofErr w:type="spellStart"/>
      <w:r w:rsidRPr="007410B9">
        <w:rPr>
          <w:rFonts w:asciiTheme="majorBidi" w:hAnsiTheme="majorBidi" w:cstheme="majorBidi"/>
        </w:rPr>
        <w:t>h</w:t>
      </w:r>
      <w:r w:rsidRPr="007410B9">
        <w:rPr>
          <w:rFonts w:asciiTheme="majorBidi" w:hAnsiTheme="majorBidi" w:cstheme="majorBidi"/>
          <w:vertAlign w:val="superscript"/>
        </w:rPr>
        <w:t>r</w:t>
      </w:r>
      <w:proofErr w:type="spellEnd"/>
      <w:r w:rsidRPr="007410B9">
        <w:rPr>
          <w:rFonts w:asciiTheme="majorBidi" w:hAnsiTheme="majorBidi" w:cstheme="majorBidi"/>
        </w:rPr>
        <w:t xml:space="preserve">%) and arum-type </w:t>
      </w:r>
      <w:proofErr w:type="spellStart"/>
      <w:r w:rsidRPr="007410B9">
        <w:rPr>
          <w:rFonts w:asciiTheme="majorBidi" w:hAnsiTheme="majorBidi" w:cstheme="majorBidi"/>
        </w:rPr>
        <w:t>arbuscule</w:t>
      </w:r>
      <w:proofErr w:type="spellEnd"/>
      <w:r w:rsidRPr="007410B9">
        <w:rPr>
          <w:rFonts w:asciiTheme="majorBidi" w:hAnsiTheme="majorBidi" w:cstheme="majorBidi"/>
        </w:rPr>
        <w:t xml:space="preserve"> occurrence (Arum/Paris occurrence, %). The extraradical mycelium in the in-growth tube developed either in the absence of pesticides (H₂O control) or in the presence of </w:t>
      </w:r>
      <w:proofErr w:type="spellStart"/>
      <w:r w:rsidRPr="007410B9">
        <w:rPr>
          <w:rFonts w:asciiTheme="majorBidi" w:hAnsiTheme="majorBidi" w:cstheme="majorBidi"/>
        </w:rPr>
        <w:t>pyraclostrobin</w:t>
      </w:r>
      <w:proofErr w:type="spellEnd"/>
      <w:r w:rsidRPr="007410B9">
        <w:rPr>
          <w:rFonts w:asciiTheme="majorBidi" w:hAnsiTheme="majorBidi" w:cstheme="majorBidi"/>
        </w:rPr>
        <w:t xml:space="preserve"> and iprodione applied at the recommended pesticide dose. Data are expressed as means ± standard errors (n = 12). Data were arcsine square-</w:t>
      </w:r>
      <w:proofErr w:type="spellStart"/>
      <w:r w:rsidRPr="007410B9">
        <w:rPr>
          <w:rFonts w:asciiTheme="majorBidi" w:hAnsiTheme="majorBidi" w:cstheme="majorBidi"/>
        </w:rPr>
        <w:t>root</w:t>
      </w:r>
      <w:proofErr w:type="spellEnd"/>
      <w:r w:rsidRPr="007410B9">
        <w:rPr>
          <w:rFonts w:asciiTheme="majorBidi" w:hAnsiTheme="majorBidi" w:cstheme="majorBidi"/>
        </w:rPr>
        <w:t xml:space="preserve"> transformed prior to statistical analysis. Different letters indicate significant differences between treatments at T1 and T2 (one-way ANO</w:t>
      </w:r>
      <w:bookmarkStart w:id="0" w:name="_GoBack"/>
      <w:bookmarkEnd w:id="0"/>
      <w:r w:rsidRPr="007410B9">
        <w:rPr>
          <w:rFonts w:asciiTheme="majorBidi" w:hAnsiTheme="majorBidi" w:cstheme="majorBidi"/>
        </w:rPr>
        <w:t xml:space="preserve">VA followed by a Tukey multiple comparison test, P ≤ 0.05). </w:t>
      </w:r>
    </w:p>
    <w:p w14:paraId="4D11B1B5" w14:textId="77777777" w:rsidR="00CD1F4A" w:rsidRDefault="008C7823"/>
    <w:sectPr w:rsidR="00CD1F4A" w:rsidSect="000C1A34">
      <w:pgSz w:w="12240" w:h="15840"/>
      <w:pgMar w:top="1417" w:right="1417" w:bottom="1417" w:left="1417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91"/>
    <w:rsid w:val="00603C91"/>
    <w:rsid w:val="008C2FD8"/>
    <w:rsid w:val="008C7823"/>
    <w:rsid w:val="00D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B1AD"/>
  <w15:chartTrackingRefBased/>
  <w15:docId w15:val="{6A37E279-05ED-46BD-AFCD-E905EDA1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C9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603C9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C91"/>
    <w:rPr>
      <w:rFonts w:ascii="Segoe UI" w:hAnsi="Segoe UI" w:cs="Segoe UI"/>
      <w:sz w:val="18"/>
      <w:szCs w:val="18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60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rad</dc:creator>
  <cp:keywords/>
  <dc:description/>
  <cp:lastModifiedBy>Stephan Declerck</cp:lastModifiedBy>
  <cp:revision>2</cp:revision>
  <dcterms:created xsi:type="dcterms:W3CDTF">2026-04-10T15:01:00Z</dcterms:created>
  <dcterms:modified xsi:type="dcterms:W3CDTF">2026-04-13T03:59:00Z</dcterms:modified>
</cp:coreProperties>
</file>