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2476" w14:textId="77777777" w:rsidR="00963915" w:rsidRPr="009931F3" w:rsidRDefault="00963915" w:rsidP="00963915">
      <w:pPr>
        <w:spacing w:before="240" w:after="144" w:line="240" w:lineRule="auto"/>
        <w:jc w:val="both"/>
        <w:rPr>
          <w:rFonts w:eastAsia="Times New Roman" w:cs="Times New Roman"/>
        </w:rPr>
      </w:pPr>
      <w:r w:rsidRPr="737D534C">
        <w:rPr>
          <w:rFonts w:eastAsia="Times New Roman" w:cs="Times New Roman"/>
          <w:b/>
          <w:bCs/>
        </w:rPr>
        <w:t>Additional Figure 1:</w:t>
      </w:r>
      <w:r w:rsidRPr="737D534C">
        <w:rPr>
          <w:rFonts w:eastAsia="Times New Roman" w:cs="Times New Roman"/>
        </w:rPr>
        <w:t xml:space="preserve"> </w:t>
      </w:r>
      <w:r>
        <w:t>Representative immunofluorescence images showing microglia phenotypes prominent at the lesion sites at 3, 7, 14, 21, and 28 days post-injury (dpi)</w:t>
      </w:r>
      <w:r w:rsidRPr="737D534C">
        <w:rPr>
          <w:rFonts w:eastAsia="Times New Roman" w:cs="Times New Roman"/>
        </w:rPr>
        <w:t xml:space="preserve">.  </w:t>
      </w:r>
      <w:r>
        <w:t>(A) Microglia were labeled with IBA1, and morphological phenotypes were classified and quantified within ipsilateral and contralateral fimbria at 3-28 dpi (</w:t>
      </w:r>
      <w:r w:rsidRPr="737D534C">
        <w:rPr>
          <w:b/>
          <w:bCs/>
        </w:rPr>
        <w:t>B</w:t>
      </w:r>
      <w:r>
        <w:t>) Images were pre-processed in ImageJ prior to analysis and identified as amoeboid, hypertrophied, rod-like and ramified. (</w:t>
      </w:r>
      <w:r w:rsidRPr="737D534C">
        <w:rPr>
          <w:b/>
          <w:bCs/>
        </w:rPr>
        <w:t>C–F</w:t>
      </w:r>
      <w:r>
        <w:t>) Quantification of distinct IBA1⁺ microglial morphologies in ipsilateral and contralateral fimbria across the post-injury time course (</w:t>
      </w:r>
      <w:r w:rsidRPr="737D534C">
        <w:rPr>
          <w:b/>
          <w:bCs/>
        </w:rPr>
        <w:t>G-J</w:t>
      </w:r>
      <w:r>
        <w:t xml:space="preserve">) Quantification of distinct IBA1⁺ microglial morphologies in ipsilateral and contralateral LOT across the post-injury time course. </w:t>
      </w:r>
      <w:r w:rsidRPr="737D534C">
        <w:rPr>
          <w:rFonts w:eastAsia="Times New Roman" w:cs="Times New Roman"/>
        </w:rPr>
        <w:t xml:space="preserve">Data is presented as </w:t>
      </w:r>
      <w:r w:rsidRPr="006B14C1">
        <w:rPr>
          <w:rFonts w:eastAsia="Times New Roman" w:cs="Times New Roman"/>
          <w:color w:val="FF0000"/>
        </w:rPr>
        <w:t>mean ± SD</w:t>
      </w:r>
      <w:r w:rsidRPr="737D534C">
        <w:rPr>
          <w:rFonts w:eastAsia="Times New Roman" w:cs="Times New Roman"/>
        </w:rPr>
        <w:t>. Statistical analysis was performed using two-way ANOVA followed by Tukey’s multiple comparisons test to assess differences across time points and within the lesion site</w:t>
      </w:r>
      <w:r>
        <w:rPr>
          <w:rFonts w:eastAsia="Times New Roman" w:cs="Times New Roman"/>
        </w:rPr>
        <w:t xml:space="preserve"> </w:t>
      </w:r>
      <w:r w:rsidRPr="00F83AD3">
        <w:rPr>
          <w:rFonts w:eastAsia="Times New Roman" w:cs="Times New Roman"/>
          <w:color w:val="FF0000"/>
        </w:rPr>
        <w:t xml:space="preserve">(n = 4). </w:t>
      </w:r>
      <w:r w:rsidRPr="737D534C">
        <w:rPr>
          <w:rFonts w:eastAsia="Times New Roman" w:cs="Times New Roman"/>
        </w:rPr>
        <w:t xml:space="preserve">Exact p values are indicated in the graphs. </w:t>
      </w:r>
    </w:p>
    <w:p w14:paraId="5D63822E" w14:textId="77777777" w:rsidR="00963915" w:rsidRPr="009931F3" w:rsidRDefault="00963915" w:rsidP="00963915">
      <w:pPr>
        <w:spacing w:before="240" w:after="144" w:line="240" w:lineRule="auto"/>
        <w:jc w:val="both"/>
      </w:pPr>
      <w:r w:rsidRPr="737D534C">
        <w:rPr>
          <w:rFonts w:eastAsia="Times New Roman" w:cs="Times New Roman"/>
          <w:b/>
          <w:bCs/>
        </w:rPr>
        <w:t xml:space="preserve">Additional Figure </w:t>
      </w:r>
      <w:r w:rsidRPr="737D534C">
        <w:rPr>
          <w:b/>
          <w:bCs/>
        </w:rPr>
        <w:t xml:space="preserve">2. </w:t>
      </w:r>
      <w:r>
        <w:t>Extracellular matrix visualization at the fimbrial lesion site.</w:t>
      </w:r>
      <w:r w:rsidRPr="737D534C">
        <w:rPr>
          <w:b/>
          <w:bCs/>
        </w:rPr>
        <w:t xml:space="preserve"> </w:t>
      </w:r>
      <w:r>
        <w:t>(</w:t>
      </w:r>
      <w:r w:rsidRPr="737D534C">
        <w:rPr>
          <w:b/>
          <w:bCs/>
        </w:rPr>
        <w:t>A</w:t>
      </w:r>
      <w:r>
        <w:t xml:space="preserve">) Representative immunofluorescence images showing double labeling for versican (green) and brevican (red) in the fimbria across the post-injury time course (3–28 dpi) following LPC or saline injection. </w:t>
      </w:r>
      <w:r w:rsidRPr="737D534C">
        <w:rPr>
          <w:rFonts w:eastAsia="Times New Roman" w:cs="Times New Roman"/>
        </w:rPr>
        <w:t>Scale bar: 50 μm. The white square inset images show a higher magnification of the region surrounding the injection sites. Scale bar: 20 µm.</w:t>
      </w:r>
      <w:r>
        <w:t xml:space="preserve"> </w:t>
      </w:r>
      <w:r w:rsidRPr="737D534C">
        <w:rPr>
          <w:rFonts w:eastAsia="Times New Roman" w:cs="Times New Roman"/>
        </w:rPr>
        <w:t>Quantification of (</w:t>
      </w:r>
      <w:r w:rsidRPr="737D534C">
        <w:rPr>
          <w:rFonts w:eastAsia="Times New Roman" w:cs="Times New Roman"/>
          <w:b/>
          <w:bCs/>
        </w:rPr>
        <w:t>B</w:t>
      </w:r>
      <w:r w:rsidRPr="737D534C">
        <w:rPr>
          <w:rFonts w:eastAsia="Times New Roman" w:cs="Times New Roman"/>
        </w:rPr>
        <w:t xml:space="preserve">) </w:t>
      </w:r>
      <w:r>
        <w:t>versican and (</w:t>
      </w:r>
      <w:r w:rsidRPr="737D534C">
        <w:rPr>
          <w:b/>
          <w:bCs/>
        </w:rPr>
        <w:t>C</w:t>
      </w:r>
      <w:r>
        <w:t xml:space="preserve">) brevican expression </w:t>
      </w:r>
      <w:r w:rsidRPr="737D534C">
        <w:rPr>
          <w:rFonts w:eastAsia="Times New Roman" w:cs="Times New Roman"/>
        </w:rPr>
        <w:t xml:space="preserve">within the lesion site in the fimbria across different time points (3-28 dpi). </w:t>
      </w:r>
      <w:r>
        <w:t xml:space="preserve"> </w:t>
      </w:r>
      <w:r w:rsidRPr="737D534C">
        <w:rPr>
          <w:rFonts w:eastAsia="Times New Roman" w:cs="Times New Roman"/>
        </w:rPr>
        <w:t xml:space="preserve">Data is presented as </w:t>
      </w:r>
      <w:r w:rsidRPr="00F83AD3">
        <w:rPr>
          <w:rFonts w:eastAsia="Times New Roman" w:cs="Times New Roman"/>
          <w:color w:val="FF0000"/>
        </w:rPr>
        <w:t xml:space="preserve">mean ± SD. </w:t>
      </w:r>
      <w:r w:rsidRPr="737D534C">
        <w:rPr>
          <w:rFonts w:eastAsia="Times New Roman" w:cs="Times New Roman"/>
        </w:rPr>
        <w:t>Statistical analysis was performed using two-way ANOVA followed by Tukey’s multiple comparisons test to assess differences across time points and within the lesion site</w:t>
      </w:r>
      <w:r>
        <w:rPr>
          <w:rFonts w:eastAsia="Times New Roman" w:cs="Times New Roman"/>
        </w:rPr>
        <w:t xml:space="preserve"> </w:t>
      </w:r>
      <w:r w:rsidRPr="00F83AD3">
        <w:rPr>
          <w:rFonts w:eastAsia="Times New Roman" w:cs="Times New Roman"/>
          <w:color w:val="FF0000"/>
        </w:rPr>
        <w:t xml:space="preserve">(n = 4). </w:t>
      </w:r>
      <w:r w:rsidRPr="737D534C">
        <w:rPr>
          <w:rFonts w:eastAsia="Times New Roman" w:cs="Times New Roman"/>
        </w:rPr>
        <w:t>Exact p values are indicated in the graphs.</w:t>
      </w:r>
    </w:p>
    <w:p w14:paraId="4D860B35" w14:textId="77777777" w:rsidR="00963915" w:rsidRPr="009931F3" w:rsidRDefault="00963915" w:rsidP="00963915">
      <w:pPr>
        <w:spacing w:before="240" w:after="144" w:line="240" w:lineRule="auto"/>
        <w:jc w:val="both"/>
      </w:pPr>
      <w:r w:rsidRPr="737D534C">
        <w:rPr>
          <w:rFonts w:eastAsia="Times New Roman" w:cs="Times New Roman"/>
          <w:b/>
          <w:bCs/>
        </w:rPr>
        <w:t xml:space="preserve">Additional Figure 3. </w:t>
      </w:r>
      <w:r>
        <w:t xml:space="preserve">Extracellular matrix visualization at the lateral olfactory tract (LOT) </w:t>
      </w:r>
      <w:r w:rsidRPr="737D534C">
        <w:rPr>
          <w:rFonts w:eastAsia="Times New Roman" w:cs="Times New Roman"/>
        </w:rPr>
        <w:t>lesion site</w:t>
      </w:r>
      <w:r>
        <w:t xml:space="preserve"> (</w:t>
      </w:r>
      <w:r w:rsidRPr="737D534C">
        <w:rPr>
          <w:b/>
          <w:bCs/>
        </w:rPr>
        <w:t>A</w:t>
      </w:r>
      <w:r>
        <w:t xml:space="preserve">) Representative immunofluorescence images showing double labeling for versican (green) and brevican (red) in the LOT across the post-injury time course (3–28 dpi) following LPC or saline injection. </w:t>
      </w:r>
      <w:r w:rsidRPr="737D534C">
        <w:rPr>
          <w:rFonts w:eastAsia="Times New Roman" w:cs="Times New Roman"/>
        </w:rPr>
        <w:t>Scale bar: 50 μm. The white square inset images show a higher magnification of the region surrounding the injection sites. Scale bar: 20 µm.</w:t>
      </w:r>
      <w:r>
        <w:t xml:space="preserve"> </w:t>
      </w:r>
      <w:r w:rsidRPr="737D534C">
        <w:rPr>
          <w:rFonts w:eastAsia="Times New Roman" w:cs="Times New Roman"/>
        </w:rPr>
        <w:t>Quantification of (</w:t>
      </w:r>
      <w:r w:rsidRPr="737D534C">
        <w:rPr>
          <w:rFonts w:eastAsia="Times New Roman" w:cs="Times New Roman"/>
          <w:b/>
          <w:bCs/>
        </w:rPr>
        <w:t>B</w:t>
      </w:r>
      <w:r w:rsidRPr="737D534C">
        <w:rPr>
          <w:rFonts w:eastAsia="Times New Roman" w:cs="Times New Roman"/>
        </w:rPr>
        <w:t xml:space="preserve">) </w:t>
      </w:r>
      <w:r>
        <w:t>versican and (</w:t>
      </w:r>
      <w:r w:rsidRPr="737D534C">
        <w:rPr>
          <w:b/>
          <w:bCs/>
        </w:rPr>
        <w:t>C</w:t>
      </w:r>
      <w:r>
        <w:t xml:space="preserve">) brevican expression </w:t>
      </w:r>
      <w:r w:rsidRPr="737D534C">
        <w:rPr>
          <w:rFonts w:eastAsia="Times New Roman" w:cs="Times New Roman"/>
        </w:rPr>
        <w:t xml:space="preserve">within the lesion site in the LOT across different time points (3-28 dpi). </w:t>
      </w:r>
      <w:r>
        <w:t xml:space="preserve"> </w:t>
      </w:r>
      <w:r w:rsidRPr="737D534C">
        <w:rPr>
          <w:rFonts w:eastAsia="Times New Roman" w:cs="Times New Roman"/>
        </w:rPr>
        <w:t xml:space="preserve">Data is presented as </w:t>
      </w:r>
      <w:r w:rsidRPr="00F83AD3">
        <w:rPr>
          <w:rFonts w:eastAsia="Times New Roman" w:cs="Times New Roman"/>
          <w:color w:val="FF0000"/>
        </w:rPr>
        <w:t xml:space="preserve">mean ± SD. </w:t>
      </w:r>
      <w:r w:rsidRPr="737D534C">
        <w:rPr>
          <w:rFonts w:eastAsia="Times New Roman" w:cs="Times New Roman"/>
        </w:rPr>
        <w:t>Statistical analysis was performed using two-way ANOVA followed by Tukey’s multiple comparisons test to assess differences across time points and within the lesion site</w:t>
      </w:r>
      <w:r>
        <w:rPr>
          <w:rFonts w:eastAsia="Times New Roman" w:cs="Times New Roman"/>
        </w:rPr>
        <w:t xml:space="preserve"> </w:t>
      </w:r>
      <w:r w:rsidRPr="00F83AD3">
        <w:rPr>
          <w:rFonts w:eastAsia="Times New Roman" w:cs="Times New Roman"/>
          <w:color w:val="FF0000"/>
        </w:rPr>
        <w:t xml:space="preserve">(n = 4). </w:t>
      </w:r>
      <w:r w:rsidRPr="737D534C">
        <w:rPr>
          <w:rFonts w:eastAsia="Times New Roman" w:cs="Times New Roman"/>
        </w:rPr>
        <w:t xml:space="preserve">Exact p values are indicated in the graphs. </w:t>
      </w:r>
    </w:p>
    <w:p w14:paraId="193FF67C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15"/>
    <w:rsid w:val="000B454C"/>
    <w:rsid w:val="000C4033"/>
    <w:rsid w:val="00173ED8"/>
    <w:rsid w:val="004B42CB"/>
    <w:rsid w:val="005F2B46"/>
    <w:rsid w:val="006E1731"/>
    <w:rsid w:val="00866D74"/>
    <w:rsid w:val="00882A73"/>
    <w:rsid w:val="0095305D"/>
    <w:rsid w:val="00963915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9A41B"/>
  <w15:chartTrackingRefBased/>
  <w15:docId w15:val="{C76BD8C7-A0CE-4B71-A651-BA52C28A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915"/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9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9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9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9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9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9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9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963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9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963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915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963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915"/>
    <w:pPr>
      <w:ind w:left="720"/>
      <w:contextualSpacing/>
    </w:pPr>
    <w:rPr>
      <w:rFonts w:asciiTheme="minorHAnsi" w:hAnsiTheme="minorHAnsi"/>
      <w:lang w:val="en-IN"/>
    </w:rPr>
  </w:style>
  <w:style w:type="character" w:styleId="IntenseEmphasis">
    <w:name w:val="Intense Emphasis"/>
    <w:basedOn w:val="DefaultParagraphFont"/>
    <w:uiPriority w:val="21"/>
    <w:qFormat/>
    <w:rsid w:val="00963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2026-05-13T08:05:00Z</dcterms:created>
  <dcterms:modified xsi:type="dcterms:W3CDTF">2026-05-13T08:05:00Z</dcterms:modified>
</cp:coreProperties>
</file>