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E5D354">
      <w:pPr>
        <w:spacing w:after="120"/>
        <w:jc w:val="center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eastAsia="Arial" w:cs="Times New Roman"/>
          <w:b/>
          <w:bCs/>
          <w:color w:val="auto"/>
          <w:sz w:val="32"/>
          <w:szCs w:val="32"/>
        </w:rPr>
        <w:t>Supplementary Information</w:t>
      </w:r>
    </w:p>
    <w:p w14:paraId="3E618A88">
      <w:pPr>
        <w:spacing w:after="60"/>
        <w:jc w:val="center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eastAsia="Arial" w:cs="Times New Roman"/>
          <w:i/>
          <w:iCs/>
          <w:color w:val="auto"/>
          <w:sz w:val="22"/>
          <w:szCs w:val="22"/>
        </w:rPr>
        <w:t>Bond Fracture Cascade Analysis of Defensive Networks in Elite Football:</w:t>
      </w:r>
    </w:p>
    <w:p w14:paraId="5646E203">
      <w:pPr>
        <w:spacing w:after="200"/>
        <w:jc w:val="center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eastAsia="Arial" w:cs="Times New Roman"/>
          <w:i/>
          <w:iCs/>
          <w:color w:val="auto"/>
          <w:sz w:val="22"/>
          <w:szCs w:val="22"/>
        </w:rPr>
        <w:t>A Statistical Mechanics Approach</w:t>
      </w:r>
    </w:p>
    <w:p w14:paraId="6E0C7B9B">
      <w:pPr>
        <w:pBdr>
          <w:bottom w:val="single" w:color="2E5FA3" w:sz="6" w:space="0"/>
        </w:pBdr>
        <w:spacing w:after="200"/>
        <w:rPr>
          <w:rFonts w:hint="default" w:ascii="Times New Roman" w:hAnsi="Times New Roman" w:cs="Times New Roman"/>
          <w:color w:val="auto"/>
        </w:rPr>
      </w:pPr>
    </w:p>
    <w:p w14:paraId="2CD246A5">
      <w:pPr>
        <w:spacing w:after="160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>This Supplementary Information contains five sections: parameter sensitivity analysis (S1), logistic regression convergence (S2), collinearity assessment (S3), per-competition hypothesis replication (S4), and software details (S5).</w:t>
      </w:r>
    </w:p>
    <w:p w14:paraId="2E5B312D">
      <w:pPr>
        <w:spacing w:before="360" w:after="160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Arial" w:cs="Times New Roman"/>
          <w:b/>
          <w:bCs/>
          <w:color w:val="auto"/>
          <w:sz w:val="24"/>
          <w:szCs w:val="24"/>
        </w:rPr>
        <w:t>S1.  Parameter Sensitivity Analysis</w:t>
      </w:r>
    </w:p>
    <w:p w14:paraId="50AC9640">
      <w:pPr>
        <w:spacing w:after="160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 xml:space="preserve">The bond-fracture framework depends on three principal parameters: the equilibrium bond length r₀, the Gaussian width parameter σ, and the </w:t>
      </w:r>
      <w:bookmarkStart w:id="0" w:name="_GoBack"/>
      <w:bookmarkEnd w:id="0"/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>maximum bonding distance DMAX. Table S1 reports first fracture strength group differences and Mann–Whitney p-values under systematic variation of each parameter, holding the others at their baseline values (r₀ = 10.0 m, σ = 3.25 m, DMAX = 15 m).</w:t>
      </w:r>
    </w:p>
    <w:tbl>
      <w:tblPr>
        <w:tblStyle w:val="11"/>
        <w:tblW w:w="902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2200"/>
        <w:gridCol w:w="1626"/>
        <w:gridCol w:w="1600"/>
        <w:gridCol w:w="1800"/>
        <w:gridCol w:w="1800"/>
      </w:tblGrid>
      <w:tr w14:paraId="26AB3A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blHeader/>
        </w:trPr>
        <w:tc>
          <w:tcPr>
            <w:tcW w:w="2200" w:type="dxa"/>
            <w:tcBorders>
              <w:top w:val="single" w:color="CCCCCC" w:sz="2" w:space="0"/>
              <w:left w:val="single" w:color="CCCCCC" w:sz="2" w:space="0"/>
              <w:bottom w:val="single" w:color="CCCCCC" w:sz="2" w:space="0"/>
              <w:right w:val="single" w:color="CCCCCC" w:sz="2" w:space="0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8F18803">
            <w:pPr>
              <w:spacing w:after="160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color w:val="auto"/>
                <w:sz w:val="21"/>
                <w:szCs w:val="21"/>
              </w:rPr>
              <w:t>Parameter</w:t>
            </w:r>
          </w:p>
        </w:tc>
        <w:tc>
          <w:tcPr>
            <w:tcW w:w="1626" w:type="dxa"/>
            <w:tcBorders>
              <w:top w:val="single" w:color="CCCCCC" w:sz="2" w:space="0"/>
              <w:left w:val="single" w:color="CCCCCC" w:sz="2" w:space="0"/>
              <w:bottom w:val="single" w:color="CCCCCC" w:sz="2" w:space="0"/>
              <w:right w:val="single" w:color="CCCCCC" w:sz="2" w:space="0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DD59BA">
            <w:pPr>
              <w:spacing w:after="160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color w:val="auto"/>
                <w:sz w:val="21"/>
                <w:szCs w:val="21"/>
              </w:rPr>
              <w:t>Value tested</w:t>
            </w:r>
          </w:p>
        </w:tc>
        <w:tc>
          <w:tcPr>
            <w:tcW w:w="1600" w:type="dxa"/>
            <w:tcBorders>
              <w:top w:val="single" w:color="CCCCCC" w:sz="2" w:space="0"/>
              <w:left w:val="single" w:color="CCCCCC" w:sz="2" w:space="0"/>
              <w:bottom w:val="single" w:color="CCCCCC" w:sz="2" w:space="0"/>
              <w:right w:val="single" w:color="CCCCCC" w:sz="2" w:space="0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CF9FB6D">
            <w:pPr>
              <w:spacing w:after="160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color w:val="auto"/>
                <w:sz w:val="21"/>
                <w:szCs w:val="21"/>
              </w:rPr>
              <w:t>Goal mean (a.u.)</w:t>
            </w:r>
          </w:p>
        </w:tc>
        <w:tc>
          <w:tcPr>
            <w:tcW w:w="1800" w:type="dxa"/>
            <w:tcBorders>
              <w:top w:val="single" w:color="CCCCCC" w:sz="2" w:space="0"/>
              <w:left w:val="single" w:color="CCCCCC" w:sz="2" w:space="0"/>
              <w:bottom w:val="single" w:color="CCCCCC" w:sz="2" w:space="0"/>
              <w:right w:val="single" w:color="CCCCCC" w:sz="2" w:space="0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75CAAA4">
            <w:pPr>
              <w:spacing w:after="160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color w:val="auto"/>
                <w:sz w:val="21"/>
                <w:szCs w:val="21"/>
              </w:rPr>
              <w:t>Non-goal mean</w:t>
            </w:r>
          </w:p>
        </w:tc>
        <w:tc>
          <w:tcPr>
            <w:tcW w:w="1800" w:type="dxa"/>
            <w:tcBorders>
              <w:top w:val="single" w:color="CCCCCC" w:sz="2" w:space="0"/>
              <w:left w:val="single" w:color="CCCCCC" w:sz="2" w:space="0"/>
              <w:bottom w:val="single" w:color="CCCCCC" w:sz="2" w:space="0"/>
              <w:right w:val="single" w:color="CCCCCC" w:sz="2" w:space="0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33278EE">
            <w:pPr>
              <w:spacing w:after="160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color w:val="auto"/>
                <w:sz w:val="21"/>
                <w:szCs w:val="21"/>
              </w:rPr>
              <w:t>p-value</w:t>
            </w:r>
          </w:p>
        </w:tc>
      </w:tr>
      <w:tr w14:paraId="703A18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200" w:type="dxa"/>
            <w:tcBorders>
              <w:top w:val="single" w:color="CCCCCC" w:sz="2" w:space="0"/>
              <w:left w:val="single" w:color="CCCCCC" w:sz="2" w:space="0"/>
              <w:bottom w:val="single" w:color="CCCCCC" w:sz="2" w:space="0"/>
              <w:right w:val="single" w:color="CCCCCC" w:sz="2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8344415">
            <w:pPr>
              <w:spacing w:after="160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Arial" w:cs="Times New Roman"/>
                <w:color w:val="auto"/>
                <w:sz w:val="21"/>
                <w:szCs w:val="21"/>
              </w:rPr>
              <w:t>r₀ (baseline 10.0 m)</w:t>
            </w:r>
          </w:p>
        </w:tc>
        <w:tc>
          <w:tcPr>
            <w:tcW w:w="1626" w:type="dxa"/>
            <w:tcBorders>
              <w:top w:val="single" w:color="CCCCCC" w:sz="2" w:space="0"/>
              <w:left w:val="single" w:color="CCCCCC" w:sz="2" w:space="0"/>
              <w:bottom w:val="single" w:color="CCCCCC" w:sz="2" w:space="0"/>
              <w:right w:val="single" w:color="CCCCCC" w:sz="2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3F5EBF3">
            <w:pPr>
              <w:spacing w:after="160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Arial" w:cs="Times New Roman"/>
                <w:color w:val="auto"/>
                <w:sz w:val="21"/>
                <w:szCs w:val="21"/>
              </w:rPr>
              <w:t>8.0 m</w:t>
            </w:r>
          </w:p>
        </w:tc>
        <w:tc>
          <w:tcPr>
            <w:tcW w:w="1600" w:type="dxa"/>
            <w:tcBorders>
              <w:top w:val="single" w:color="CCCCCC" w:sz="2" w:space="0"/>
              <w:left w:val="single" w:color="CCCCCC" w:sz="2" w:space="0"/>
              <w:bottom w:val="single" w:color="CCCCCC" w:sz="2" w:space="0"/>
              <w:right w:val="single" w:color="CCCCCC" w:sz="2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F5E7B75">
            <w:pPr>
              <w:spacing w:after="160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Arial" w:cs="Times New Roman"/>
                <w:color w:val="auto"/>
                <w:sz w:val="21"/>
                <w:szCs w:val="21"/>
              </w:rPr>
              <w:t>−5.63</w:t>
            </w:r>
          </w:p>
        </w:tc>
        <w:tc>
          <w:tcPr>
            <w:tcW w:w="1800" w:type="dxa"/>
            <w:tcBorders>
              <w:top w:val="single" w:color="CCCCCC" w:sz="2" w:space="0"/>
              <w:left w:val="single" w:color="CCCCCC" w:sz="2" w:space="0"/>
              <w:bottom w:val="single" w:color="CCCCCC" w:sz="2" w:space="0"/>
              <w:right w:val="single" w:color="CCCCCC" w:sz="2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8743BCF">
            <w:pPr>
              <w:spacing w:after="160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Arial" w:cs="Times New Roman"/>
                <w:color w:val="auto"/>
                <w:sz w:val="21"/>
                <w:szCs w:val="21"/>
              </w:rPr>
              <w:t>−2.59</w:t>
            </w:r>
          </w:p>
        </w:tc>
        <w:tc>
          <w:tcPr>
            <w:tcW w:w="1800" w:type="dxa"/>
            <w:tcBorders>
              <w:top w:val="single" w:color="CCCCCC" w:sz="2" w:space="0"/>
              <w:left w:val="single" w:color="CCCCCC" w:sz="2" w:space="0"/>
              <w:bottom w:val="single" w:color="CCCCCC" w:sz="2" w:space="0"/>
              <w:right w:val="single" w:color="CCCCCC" w:sz="2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160F17A">
            <w:pPr>
              <w:spacing w:after="160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Arial" w:cs="Times New Roman"/>
                <w:color w:val="auto"/>
                <w:sz w:val="21"/>
                <w:szCs w:val="21"/>
              </w:rPr>
              <w:t>&lt; 10</w:t>
            </w:r>
            <w:r>
              <w:rPr>
                <w:rFonts w:hint="default" w:ascii="Times New Roman" w:hAnsi="Times New Roman" w:eastAsia="Arial" w:cs="Times New Roman"/>
                <w:color w:val="auto"/>
                <w:sz w:val="21"/>
                <w:szCs w:val="21"/>
                <w:vertAlign w:val="superscript"/>
              </w:rPr>
              <w:t>−110</w:t>
            </w:r>
          </w:p>
        </w:tc>
      </w:tr>
      <w:tr w14:paraId="35D910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200" w:type="dxa"/>
            <w:tcBorders>
              <w:top w:val="single" w:color="CCCCCC" w:sz="2" w:space="0"/>
              <w:left w:val="single" w:color="CCCCCC" w:sz="2" w:space="0"/>
              <w:bottom w:val="single" w:color="CCCCCC" w:sz="2" w:space="0"/>
              <w:right w:val="single" w:color="CCCCCC" w:sz="2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E1D97E6">
            <w:pPr>
              <w:spacing w:after="160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626" w:type="dxa"/>
            <w:tcBorders>
              <w:top w:val="single" w:color="CCCCCC" w:sz="2" w:space="0"/>
              <w:left w:val="single" w:color="CCCCCC" w:sz="2" w:space="0"/>
              <w:bottom w:val="single" w:color="CCCCCC" w:sz="2" w:space="0"/>
              <w:right w:val="single" w:color="CCCCCC" w:sz="2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1BF5733">
            <w:pPr>
              <w:spacing w:after="160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Arial" w:cs="Times New Roman"/>
                <w:color w:val="auto"/>
                <w:sz w:val="21"/>
                <w:szCs w:val="21"/>
              </w:rPr>
              <w:t>10.0 m ✓</w:t>
            </w:r>
          </w:p>
        </w:tc>
        <w:tc>
          <w:tcPr>
            <w:tcW w:w="1600" w:type="dxa"/>
            <w:tcBorders>
              <w:top w:val="single" w:color="CCCCCC" w:sz="2" w:space="0"/>
              <w:left w:val="single" w:color="CCCCCC" w:sz="2" w:space="0"/>
              <w:bottom w:val="single" w:color="CCCCCC" w:sz="2" w:space="0"/>
              <w:right w:val="single" w:color="CCCCCC" w:sz="2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FEAE533">
            <w:pPr>
              <w:spacing w:after="160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Arial" w:cs="Times New Roman"/>
                <w:color w:val="auto"/>
                <w:sz w:val="21"/>
                <w:szCs w:val="21"/>
              </w:rPr>
              <w:t>−5.90</w:t>
            </w:r>
          </w:p>
        </w:tc>
        <w:tc>
          <w:tcPr>
            <w:tcW w:w="1800" w:type="dxa"/>
            <w:tcBorders>
              <w:top w:val="single" w:color="CCCCCC" w:sz="2" w:space="0"/>
              <w:left w:val="single" w:color="CCCCCC" w:sz="2" w:space="0"/>
              <w:bottom w:val="single" w:color="CCCCCC" w:sz="2" w:space="0"/>
              <w:right w:val="single" w:color="CCCCCC" w:sz="2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54C8583">
            <w:pPr>
              <w:spacing w:after="160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Arial" w:cs="Times New Roman"/>
                <w:color w:val="auto"/>
                <w:sz w:val="21"/>
                <w:szCs w:val="21"/>
              </w:rPr>
              <w:t>−2.73</w:t>
            </w:r>
          </w:p>
        </w:tc>
        <w:tc>
          <w:tcPr>
            <w:tcW w:w="1800" w:type="dxa"/>
            <w:tcBorders>
              <w:top w:val="single" w:color="CCCCCC" w:sz="2" w:space="0"/>
              <w:left w:val="single" w:color="CCCCCC" w:sz="2" w:space="0"/>
              <w:bottom w:val="single" w:color="CCCCCC" w:sz="2" w:space="0"/>
              <w:right w:val="single" w:color="CCCCCC" w:sz="2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9F09ED0">
            <w:pPr>
              <w:spacing w:after="160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Arial" w:cs="Times New Roman"/>
                <w:color w:val="auto"/>
                <w:sz w:val="21"/>
                <w:szCs w:val="21"/>
              </w:rPr>
              <w:t>1.24 × 10</w:t>
            </w:r>
            <w:r>
              <w:rPr>
                <w:rFonts w:hint="default" w:ascii="Times New Roman" w:hAnsi="Times New Roman" w:eastAsia="Arial" w:cs="Times New Roman"/>
                <w:color w:val="auto"/>
                <w:sz w:val="21"/>
                <w:szCs w:val="21"/>
                <w:vertAlign w:val="superscript"/>
              </w:rPr>
              <w:t>−125</w:t>
            </w:r>
          </w:p>
        </w:tc>
      </w:tr>
      <w:tr w14:paraId="3236CF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200" w:type="dxa"/>
            <w:tcBorders>
              <w:top w:val="single" w:color="CCCCCC" w:sz="2" w:space="0"/>
              <w:left w:val="single" w:color="CCCCCC" w:sz="2" w:space="0"/>
              <w:bottom w:val="single" w:color="CCCCCC" w:sz="2" w:space="0"/>
              <w:right w:val="single" w:color="CCCCCC" w:sz="2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5F2F385">
            <w:pPr>
              <w:spacing w:after="160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626" w:type="dxa"/>
            <w:tcBorders>
              <w:top w:val="single" w:color="CCCCCC" w:sz="2" w:space="0"/>
              <w:left w:val="single" w:color="CCCCCC" w:sz="2" w:space="0"/>
              <w:bottom w:val="single" w:color="CCCCCC" w:sz="2" w:space="0"/>
              <w:right w:val="single" w:color="CCCCCC" w:sz="2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793AA96">
            <w:pPr>
              <w:spacing w:after="160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Arial" w:cs="Times New Roman"/>
                <w:color w:val="auto"/>
                <w:sz w:val="21"/>
                <w:szCs w:val="21"/>
              </w:rPr>
              <w:t>12.0 m</w:t>
            </w:r>
          </w:p>
        </w:tc>
        <w:tc>
          <w:tcPr>
            <w:tcW w:w="1600" w:type="dxa"/>
            <w:tcBorders>
              <w:top w:val="single" w:color="CCCCCC" w:sz="2" w:space="0"/>
              <w:left w:val="single" w:color="CCCCCC" w:sz="2" w:space="0"/>
              <w:bottom w:val="single" w:color="CCCCCC" w:sz="2" w:space="0"/>
              <w:right w:val="single" w:color="CCCCCC" w:sz="2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99D543E">
            <w:pPr>
              <w:spacing w:after="160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Arial" w:cs="Times New Roman"/>
                <w:color w:val="auto"/>
                <w:sz w:val="21"/>
                <w:szCs w:val="21"/>
              </w:rPr>
              <w:t>−5.71</w:t>
            </w:r>
          </w:p>
        </w:tc>
        <w:tc>
          <w:tcPr>
            <w:tcW w:w="1800" w:type="dxa"/>
            <w:tcBorders>
              <w:top w:val="single" w:color="CCCCCC" w:sz="2" w:space="0"/>
              <w:left w:val="single" w:color="CCCCCC" w:sz="2" w:space="0"/>
              <w:bottom w:val="single" w:color="CCCCCC" w:sz="2" w:space="0"/>
              <w:right w:val="single" w:color="CCCCCC" w:sz="2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5250E7A">
            <w:pPr>
              <w:spacing w:after="160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Arial" w:cs="Times New Roman"/>
                <w:color w:val="auto"/>
                <w:sz w:val="21"/>
                <w:szCs w:val="21"/>
              </w:rPr>
              <w:t>−2.68</w:t>
            </w:r>
          </w:p>
        </w:tc>
        <w:tc>
          <w:tcPr>
            <w:tcW w:w="1800" w:type="dxa"/>
            <w:tcBorders>
              <w:top w:val="single" w:color="CCCCCC" w:sz="2" w:space="0"/>
              <w:left w:val="single" w:color="CCCCCC" w:sz="2" w:space="0"/>
              <w:bottom w:val="single" w:color="CCCCCC" w:sz="2" w:space="0"/>
              <w:right w:val="single" w:color="CCCCCC" w:sz="2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695EF79">
            <w:pPr>
              <w:spacing w:after="160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Arial" w:cs="Times New Roman"/>
                <w:color w:val="auto"/>
                <w:sz w:val="21"/>
                <w:szCs w:val="21"/>
              </w:rPr>
              <w:t>&lt; 10</w:t>
            </w:r>
            <w:r>
              <w:rPr>
                <w:rFonts w:hint="default" w:ascii="Times New Roman" w:hAnsi="Times New Roman" w:eastAsia="Arial" w:cs="Times New Roman"/>
                <w:color w:val="auto"/>
                <w:sz w:val="21"/>
                <w:szCs w:val="21"/>
                <w:vertAlign w:val="superscript"/>
              </w:rPr>
              <w:t>−118</w:t>
            </w:r>
          </w:p>
        </w:tc>
      </w:tr>
      <w:tr w14:paraId="5E7B25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200" w:type="dxa"/>
            <w:tcBorders>
              <w:top w:val="single" w:color="CCCCCC" w:sz="2" w:space="0"/>
              <w:left w:val="single" w:color="CCCCCC" w:sz="2" w:space="0"/>
              <w:bottom w:val="single" w:color="CCCCCC" w:sz="2" w:space="0"/>
              <w:right w:val="single" w:color="CCCCCC" w:sz="2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9AA82ED">
            <w:pPr>
              <w:spacing w:after="160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Arial" w:cs="Times New Roman"/>
                <w:color w:val="auto"/>
                <w:sz w:val="21"/>
                <w:szCs w:val="21"/>
              </w:rPr>
              <w:t>σ (baseline 3.25 m)</w:t>
            </w:r>
          </w:p>
        </w:tc>
        <w:tc>
          <w:tcPr>
            <w:tcW w:w="1626" w:type="dxa"/>
            <w:tcBorders>
              <w:top w:val="single" w:color="CCCCCC" w:sz="2" w:space="0"/>
              <w:left w:val="single" w:color="CCCCCC" w:sz="2" w:space="0"/>
              <w:bottom w:val="single" w:color="CCCCCC" w:sz="2" w:space="0"/>
              <w:right w:val="single" w:color="CCCCCC" w:sz="2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2B76B95">
            <w:pPr>
              <w:spacing w:after="160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Arial" w:cs="Times New Roman"/>
                <w:color w:val="auto"/>
                <w:sz w:val="21"/>
                <w:szCs w:val="21"/>
              </w:rPr>
              <w:t>2.50 m</w:t>
            </w:r>
          </w:p>
        </w:tc>
        <w:tc>
          <w:tcPr>
            <w:tcW w:w="1600" w:type="dxa"/>
            <w:tcBorders>
              <w:top w:val="single" w:color="CCCCCC" w:sz="2" w:space="0"/>
              <w:left w:val="single" w:color="CCCCCC" w:sz="2" w:space="0"/>
              <w:bottom w:val="single" w:color="CCCCCC" w:sz="2" w:space="0"/>
              <w:right w:val="single" w:color="CCCCCC" w:sz="2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9E9C258">
            <w:pPr>
              <w:spacing w:after="160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Arial" w:cs="Times New Roman"/>
                <w:color w:val="auto"/>
                <w:sz w:val="21"/>
                <w:szCs w:val="21"/>
              </w:rPr>
              <w:t>−4.88</w:t>
            </w:r>
          </w:p>
        </w:tc>
        <w:tc>
          <w:tcPr>
            <w:tcW w:w="1800" w:type="dxa"/>
            <w:tcBorders>
              <w:top w:val="single" w:color="CCCCCC" w:sz="2" w:space="0"/>
              <w:left w:val="single" w:color="CCCCCC" w:sz="2" w:space="0"/>
              <w:bottom w:val="single" w:color="CCCCCC" w:sz="2" w:space="0"/>
              <w:right w:val="single" w:color="CCCCCC" w:sz="2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9CA95FD">
            <w:pPr>
              <w:spacing w:after="160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Arial" w:cs="Times New Roman"/>
                <w:color w:val="auto"/>
                <w:sz w:val="21"/>
                <w:szCs w:val="21"/>
              </w:rPr>
              <w:t>−2.31</w:t>
            </w:r>
          </w:p>
        </w:tc>
        <w:tc>
          <w:tcPr>
            <w:tcW w:w="1800" w:type="dxa"/>
            <w:tcBorders>
              <w:top w:val="single" w:color="CCCCCC" w:sz="2" w:space="0"/>
              <w:left w:val="single" w:color="CCCCCC" w:sz="2" w:space="0"/>
              <w:bottom w:val="single" w:color="CCCCCC" w:sz="2" w:space="0"/>
              <w:right w:val="single" w:color="CCCCCC" w:sz="2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F5FD333">
            <w:pPr>
              <w:spacing w:after="160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Arial" w:cs="Times New Roman"/>
                <w:color w:val="auto"/>
                <w:sz w:val="21"/>
                <w:szCs w:val="21"/>
              </w:rPr>
              <w:t>&lt; 10</w:t>
            </w:r>
            <w:r>
              <w:rPr>
                <w:rFonts w:hint="default" w:ascii="Times New Roman" w:hAnsi="Times New Roman" w:eastAsia="Arial" w:cs="Times New Roman"/>
                <w:color w:val="auto"/>
                <w:sz w:val="21"/>
                <w:szCs w:val="21"/>
                <w:vertAlign w:val="superscript"/>
              </w:rPr>
              <w:t>−108</w:t>
            </w:r>
          </w:p>
        </w:tc>
      </w:tr>
      <w:tr w14:paraId="1D6D98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200" w:type="dxa"/>
            <w:tcBorders>
              <w:top w:val="single" w:color="CCCCCC" w:sz="2" w:space="0"/>
              <w:left w:val="single" w:color="CCCCCC" w:sz="2" w:space="0"/>
              <w:bottom w:val="single" w:color="CCCCCC" w:sz="2" w:space="0"/>
              <w:right w:val="single" w:color="CCCCCC" w:sz="2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8D052AC">
            <w:pPr>
              <w:spacing w:after="160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626" w:type="dxa"/>
            <w:tcBorders>
              <w:top w:val="single" w:color="CCCCCC" w:sz="2" w:space="0"/>
              <w:left w:val="single" w:color="CCCCCC" w:sz="2" w:space="0"/>
              <w:bottom w:val="single" w:color="CCCCCC" w:sz="2" w:space="0"/>
              <w:right w:val="single" w:color="CCCCCC" w:sz="2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ED9DFA0">
            <w:pPr>
              <w:spacing w:after="160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Arial" w:cs="Times New Roman"/>
                <w:color w:val="auto"/>
                <w:sz w:val="21"/>
                <w:szCs w:val="21"/>
              </w:rPr>
              <w:t>3.25 m ✓</w:t>
            </w:r>
          </w:p>
        </w:tc>
        <w:tc>
          <w:tcPr>
            <w:tcW w:w="1600" w:type="dxa"/>
            <w:tcBorders>
              <w:top w:val="single" w:color="CCCCCC" w:sz="2" w:space="0"/>
              <w:left w:val="single" w:color="CCCCCC" w:sz="2" w:space="0"/>
              <w:bottom w:val="single" w:color="CCCCCC" w:sz="2" w:space="0"/>
              <w:right w:val="single" w:color="CCCCCC" w:sz="2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3FBFBBB">
            <w:pPr>
              <w:spacing w:after="160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Arial" w:cs="Times New Roman"/>
                <w:color w:val="auto"/>
                <w:sz w:val="21"/>
                <w:szCs w:val="21"/>
              </w:rPr>
              <w:t>−5.90</w:t>
            </w:r>
          </w:p>
        </w:tc>
        <w:tc>
          <w:tcPr>
            <w:tcW w:w="1800" w:type="dxa"/>
            <w:tcBorders>
              <w:top w:val="single" w:color="CCCCCC" w:sz="2" w:space="0"/>
              <w:left w:val="single" w:color="CCCCCC" w:sz="2" w:space="0"/>
              <w:bottom w:val="single" w:color="CCCCCC" w:sz="2" w:space="0"/>
              <w:right w:val="single" w:color="CCCCCC" w:sz="2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09CAE92">
            <w:pPr>
              <w:spacing w:after="160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Arial" w:cs="Times New Roman"/>
                <w:color w:val="auto"/>
                <w:sz w:val="21"/>
                <w:szCs w:val="21"/>
              </w:rPr>
              <w:t>−2.73</w:t>
            </w:r>
          </w:p>
        </w:tc>
        <w:tc>
          <w:tcPr>
            <w:tcW w:w="1800" w:type="dxa"/>
            <w:tcBorders>
              <w:top w:val="single" w:color="CCCCCC" w:sz="2" w:space="0"/>
              <w:left w:val="single" w:color="CCCCCC" w:sz="2" w:space="0"/>
              <w:bottom w:val="single" w:color="CCCCCC" w:sz="2" w:space="0"/>
              <w:right w:val="single" w:color="CCCCCC" w:sz="2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A32546C">
            <w:pPr>
              <w:spacing w:after="160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Arial" w:cs="Times New Roman"/>
                <w:color w:val="auto"/>
                <w:sz w:val="21"/>
                <w:szCs w:val="21"/>
              </w:rPr>
              <w:t>1.24 × 10</w:t>
            </w:r>
            <w:r>
              <w:rPr>
                <w:rFonts w:hint="default" w:ascii="Times New Roman" w:hAnsi="Times New Roman" w:eastAsia="Arial" w:cs="Times New Roman"/>
                <w:color w:val="auto"/>
                <w:sz w:val="21"/>
                <w:szCs w:val="21"/>
                <w:vertAlign w:val="superscript"/>
              </w:rPr>
              <w:t>−125</w:t>
            </w:r>
          </w:p>
        </w:tc>
      </w:tr>
      <w:tr w14:paraId="6B2C37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200" w:type="dxa"/>
            <w:tcBorders>
              <w:top w:val="single" w:color="CCCCCC" w:sz="2" w:space="0"/>
              <w:left w:val="single" w:color="CCCCCC" w:sz="2" w:space="0"/>
              <w:bottom w:val="single" w:color="CCCCCC" w:sz="2" w:space="0"/>
              <w:right w:val="single" w:color="CCCCCC" w:sz="2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6A880DA">
            <w:pPr>
              <w:spacing w:after="160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626" w:type="dxa"/>
            <w:tcBorders>
              <w:top w:val="single" w:color="CCCCCC" w:sz="2" w:space="0"/>
              <w:left w:val="single" w:color="CCCCCC" w:sz="2" w:space="0"/>
              <w:bottom w:val="single" w:color="CCCCCC" w:sz="2" w:space="0"/>
              <w:right w:val="single" w:color="CCCCCC" w:sz="2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AA8827B">
            <w:pPr>
              <w:spacing w:after="160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Arial" w:cs="Times New Roman"/>
                <w:color w:val="auto"/>
                <w:sz w:val="21"/>
                <w:szCs w:val="21"/>
              </w:rPr>
              <w:t>4.00 m</w:t>
            </w:r>
          </w:p>
        </w:tc>
        <w:tc>
          <w:tcPr>
            <w:tcW w:w="1600" w:type="dxa"/>
            <w:tcBorders>
              <w:top w:val="single" w:color="CCCCCC" w:sz="2" w:space="0"/>
              <w:left w:val="single" w:color="CCCCCC" w:sz="2" w:space="0"/>
              <w:bottom w:val="single" w:color="CCCCCC" w:sz="2" w:space="0"/>
              <w:right w:val="single" w:color="CCCCCC" w:sz="2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F3D84BD">
            <w:pPr>
              <w:spacing w:after="160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Arial" w:cs="Times New Roman"/>
                <w:color w:val="auto"/>
                <w:sz w:val="21"/>
                <w:szCs w:val="21"/>
              </w:rPr>
              <w:t>−5.97</w:t>
            </w:r>
          </w:p>
        </w:tc>
        <w:tc>
          <w:tcPr>
            <w:tcW w:w="1800" w:type="dxa"/>
            <w:tcBorders>
              <w:top w:val="single" w:color="CCCCCC" w:sz="2" w:space="0"/>
              <w:left w:val="single" w:color="CCCCCC" w:sz="2" w:space="0"/>
              <w:bottom w:val="single" w:color="CCCCCC" w:sz="2" w:space="0"/>
              <w:right w:val="single" w:color="CCCCCC" w:sz="2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73B87B9">
            <w:pPr>
              <w:spacing w:after="160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Arial" w:cs="Times New Roman"/>
                <w:color w:val="auto"/>
                <w:sz w:val="21"/>
                <w:szCs w:val="21"/>
              </w:rPr>
              <w:t>−2.78</w:t>
            </w:r>
          </w:p>
        </w:tc>
        <w:tc>
          <w:tcPr>
            <w:tcW w:w="1800" w:type="dxa"/>
            <w:tcBorders>
              <w:top w:val="single" w:color="CCCCCC" w:sz="2" w:space="0"/>
              <w:left w:val="single" w:color="CCCCCC" w:sz="2" w:space="0"/>
              <w:bottom w:val="single" w:color="CCCCCC" w:sz="2" w:space="0"/>
              <w:right w:val="single" w:color="CCCCCC" w:sz="2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CF96C27">
            <w:pPr>
              <w:spacing w:after="160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Arial" w:cs="Times New Roman"/>
                <w:color w:val="auto"/>
                <w:sz w:val="21"/>
                <w:szCs w:val="21"/>
              </w:rPr>
              <w:t>&lt; 10</w:t>
            </w:r>
            <w:r>
              <w:rPr>
                <w:rFonts w:hint="default" w:ascii="Times New Roman" w:hAnsi="Times New Roman" w:eastAsia="Arial" w:cs="Times New Roman"/>
                <w:color w:val="auto"/>
                <w:sz w:val="21"/>
                <w:szCs w:val="21"/>
                <w:vertAlign w:val="superscript"/>
              </w:rPr>
              <w:t>−127</w:t>
            </w:r>
          </w:p>
        </w:tc>
      </w:tr>
      <w:tr w14:paraId="543209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200" w:type="dxa"/>
            <w:tcBorders>
              <w:top w:val="single" w:color="CCCCCC" w:sz="2" w:space="0"/>
              <w:left w:val="single" w:color="CCCCCC" w:sz="2" w:space="0"/>
              <w:bottom w:val="single" w:color="CCCCCC" w:sz="2" w:space="0"/>
              <w:right w:val="single" w:color="CCCCCC" w:sz="2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CD6E602">
            <w:pPr>
              <w:spacing w:after="160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Arial" w:cs="Times New Roman"/>
                <w:color w:val="auto"/>
                <w:sz w:val="21"/>
                <w:szCs w:val="21"/>
              </w:rPr>
              <w:t>Dₘₐˣ (baseline 15 m)</w:t>
            </w:r>
          </w:p>
        </w:tc>
        <w:tc>
          <w:tcPr>
            <w:tcW w:w="1626" w:type="dxa"/>
            <w:tcBorders>
              <w:top w:val="single" w:color="CCCCCC" w:sz="2" w:space="0"/>
              <w:left w:val="single" w:color="CCCCCC" w:sz="2" w:space="0"/>
              <w:bottom w:val="single" w:color="CCCCCC" w:sz="2" w:space="0"/>
              <w:right w:val="single" w:color="CCCCCC" w:sz="2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70405F6">
            <w:pPr>
              <w:spacing w:after="160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Arial" w:cs="Times New Roman"/>
                <w:color w:val="auto"/>
                <w:sz w:val="21"/>
                <w:szCs w:val="21"/>
              </w:rPr>
              <w:t>10 m</w:t>
            </w:r>
          </w:p>
        </w:tc>
        <w:tc>
          <w:tcPr>
            <w:tcW w:w="1600" w:type="dxa"/>
            <w:tcBorders>
              <w:top w:val="single" w:color="CCCCCC" w:sz="2" w:space="0"/>
              <w:left w:val="single" w:color="CCCCCC" w:sz="2" w:space="0"/>
              <w:bottom w:val="single" w:color="CCCCCC" w:sz="2" w:space="0"/>
              <w:right w:val="single" w:color="CCCCCC" w:sz="2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CABE6DA">
            <w:pPr>
              <w:spacing w:after="160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Arial" w:cs="Times New Roman"/>
                <w:color w:val="auto"/>
                <w:sz w:val="21"/>
                <w:szCs w:val="21"/>
              </w:rPr>
              <w:t>−4.21</w:t>
            </w:r>
          </w:p>
        </w:tc>
        <w:tc>
          <w:tcPr>
            <w:tcW w:w="1800" w:type="dxa"/>
            <w:tcBorders>
              <w:top w:val="single" w:color="CCCCCC" w:sz="2" w:space="0"/>
              <w:left w:val="single" w:color="CCCCCC" w:sz="2" w:space="0"/>
              <w:bottom w:val="single" w:color="CCCCCC" w:sz="2" w:space="0"/>
              <w:right w:val="single" w:color="CCCCCC" w:sz="2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8CD1916">
            <w:pPr>
              <w:spacing w:after="160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Arial" w:cs="Times New Roman"/>
                <w:color w:val="auto"/>
                <w:sz w:val="21"/>
                <w:szCs w:val="21"/>
              </w:rPr>
              <w:t>−2.06</w:t>
            </w:r>
          </w:p>
        </w:tc>
        <w:tc>
          <w:tcPr>
            <w:tcW w:w="1800" w:type="dxa"/>
            <w:tcBorders>
              <w:top w:val="single" w:color="CCCCCC" w:sz="2" w:space="0"/>
              <w:left w:val="single" w:color="CCCCCC" w:sz="2" w:space="0"/>
              <w:bottom w:val="single" w:color="CCCCCC" w:sz="2" w:space="0"/>
              <w:right w:val="single" w:color="CCCCCC" w:sz="2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7F42068">
            <w:pPr>
              <w:spacing w:after="160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Arial" w:cs="Times New Roman"/>
                <w:color w:val="auto"/>
                <w:sz w:val="21"/>
                <w:szCs w:val="21"/>
              </w:rPr>
              <w:t>&lt; 10</w:t>
            </w:r>
            <w:r>
              <w:rPr>
                <w:rFonts w:hint="default" w:ascii="Times New Roman" w:hAnsi="Times New Roman" w:eastAsia="Arial" w:cs="Times New Roman"/>
                <w:color w:val="auto"/>
                <w:sz w:val="21"/>
                <w:szCs w:val="21"/>
                <w:vertAlign w:val="superscript"/>
              </w:rPr>
              <w:t>−95</w:t>
            </w:r>
          </w:p>
        </w:tc>
      </w:tr>
      <w:tr w14:paraId="089E29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200" w:type="dxa"/>
            <w:tcBorders>
              <w:top w:val="single" w:color="CCCCCC" w:sz="2" w:space="0"/>
              <w:left w:val="single" w:color="CCCCCC" w:sz="2" w:space="0"/>
              <w:bottom w:val="single" w:color="CCCCCC" w:sz="2" w:space="0"/>
              <w:right w:val="single" w:color="CCCCCC" w:sz="2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E34D47E">
            <w:pPr>
              <w:spacing w:after="160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626" w:type="dxa"/>
            <w:tcBorders>
              <w:top w:val="single" w:color="CCCCCC" w:sz="2" w:space="0"/>
              <w:left w:val="single" w:color="CCCCCC" w:sz="2" w:space="0"/>
              <w:bottom w:val="single" w:color="CCCCCC" w:sz="2" w:space="0"/>
              <w:right w:val="single" w:color="CCCCCC" w:sz="2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A18E1F3">
            <w:pPr>
              <w:spacing w:after="160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Arial" w:cs="Times New Roman"/>
                <w:color w:val="auto"/>
                <w:sz w:val="21"/>
                <w:szCs w:val="21"/>
              </w:rPr>
              <w:t>15 m ✓</w:t>
            </w:r>
          </w:p>
        </w:tc>
        <w:tc>
          <w:tcPr>
            <w:tcW w:w="1600" w:type="dxa"/>
            <w:tcBorders>
              <w:top w:val="single" w:color="CCCCCC" w:sz="2" w:space="0"/>
              <w:left w:val="single" w:color="CCCCCC" w:sz="2" w:space="0"/>
              <w:bottom w:val="single" w:color="CCCCCC" w:sz="2" w:space="0"/>
              <w:right w:val="single" w:color="CCCCCC" w:sz="2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3908044">
            <w:pPr>
              <w:spacing w:after="160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Arial" w:cs="Times New Roman"/>
                <w:color w:val="auto"/>
                <w:sz w:val="21"/>
                <w:szCs w:val="21"/>
              </w:rPr>
              <w:t>−5.90</w:t>
            </w:r>
          </w:p>
        </w:tc>
        <w:tc>
          <w:tcPr>
            <w:tcW w:w="1800" w:type="dxa"/>
            <w:tcBorders>
              <w:top w:val="single" w:color="CCCCCC" w:sz="2" w:space="0"/>
              <w:left w:val="single" w:color="CCCCCC" w:sz="2" w:space="0"/>
              <w:bottom w:val="single" w:color="CCCCCC" w:sz="2" w:space="0"/>
              <w:right w:val="single" w:color="CCCCCC" w:sz="2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20640A4">
            <w:pPr>
              <w:spacing w:after="160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Arial" w:cs="Times New Roman"/>
                <w:color w:val="auto"/>
                <w:sz w:val="21"/>
                <w:szCs w:val="21"/>
              </w:rPr>
              <w:t>−2.73</w:t>
            </w:r>
          </w:p>
        </w:tc>
        <w:tc>
          <w:tcPr>
            <w:tcW w:w="1800" w:type="dxa"/>
            <w:tcBorders>
              <w:top w:val="single" w:color="CCCCCC" w:sz="2" w:space="0"/>
              <w:left w:val="single" w:color="CCCCCC" w:sz="2" w:space="0"/>
              <w:bottom w:val="single" w:color="CCCCCC" w:sz="2" w:space="0"/>
              <w:right w:val="single" w:color="CCCCCC" w:sz="2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B4566AF">
            <w:pPr>
              <w:spacing w:after="160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Arial" w:cs="Times New Roman"/>
                <w:color w:val="auto"/>
                <w:sz w:val="21"/>
                <w:szCs w:val="21"/>
              </w:rPr>
              <w:t>1.24 × 10</w:t>
            </w:r>
            <w:r>
              <w:rPr>
                <w:rFonts w:hint="default" w:ascii="Times New Roman" w:hAnsi="Times New Roman" w:eastAsia="Arial" w:cs="Times New Roman"/>
                <w:color w:val="auto"/>
                <w:sz w:val="21"/>
                <w:szCs w:val="21"/>
                <w:vertAlign w:val="superscript"/>
              </w:rPr>
              <w:t>−125</w:t>
            </w:r>
          </w:p>
        </w:tc>
      </w:tr>
      <w:tr w14:paraId="0EFB50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200" w:type="dxa"/>
            <w:tcBorders>
              <w:top w:val="single" w:color="CCCCCC" w:sz="2" w:space="0"/>
              <w:left w:val="single" w:color="CCCCCC" w:sz="2" w:space="0"/>
              <w:bottom w:val="single" w:color="CCCCCC" w:sz="2" w:space="0"/>
              <w:right w:val="single" w:color="CCCCCC" w:sz="2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633F9B9">
            <w:pPr>
              <w:spacing w:after="160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626" w:type="dxa"/>
            <w:tcBorders>
              <w:top w:val="single" w:color="CCCCCC" w:sz="2" w:space="0"/>
              <w:left w:val="single" w:color="CCCCCC" w:sz="2" w:space="0"/>
              <w:bottom w:val="single" w:color="CCCCCC" w:sz="2" w:space="0"/>
              <w:right w:val="single" w:color="CCCCCC" w:sz="2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B50E46A">
            <w:pPr>
              <w:spacing w:after="160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Arial" w:cs="Times New Roman"/>
                <w:color w:val="auto"/>
                <w:sz w:val="21"/>
                <w:szCs w:val="21"/>
              </w:rPr>
              <w:t>20 m</w:t>
            </w:r>
          </w:p>
        </w:tc>
        <w:tc>
          <w:tcPr>
            <w:tcW w:w="1600" w:type="dxa"/>
            <w:tcBorders>
              <w:top w:val="single" w:color="CCCCCC" w:sz="2" w:space="0"/>
              <w:left w:val="single" w:color="CCCCCC" w:sz="2" w:space="0"/>
              <w:bottom w:val="single" w:color="CCCCCC" w:sz="2" w:space="0"/>
              <w:right w:val="single" w:color="CCCCCC" w:sz="2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EAA055D">
            <w:pPr>
              <w:spacing w:after="160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Arial" w:cs="Times New Roman"/>
                <w:color w:val="auto"/>
                <w:sz w:val="21"/>
                <w:szCs w:val="21"/>
              </w:rPr>
              <w:t>−6.14</w:t>
            </w:r>
          </w:p>
        </w:tc>
        <w:tc>
          <w:tcPr>
            <w:tcW w:w="1800" w:type="dxa"/>
            <w:tcBorders>
              <w:top w:val="single" w:color="CCCCCC" w:sz="2" w:space="0"/>
              <w:left w:val="single" w:color="CCCCCC" w:sz="2" w:space="0"/>
              <w:bottom w:val="single" w:color="CCCCCC" w:sz="2" w:space="0"/>
              <w:right w:val="single" w:color="CCCCCC" w:sz="2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548475B">
            <w:pPr>
              <w:spacing w:after="160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Arial" w:cs="Times New Roman"/>
                <w:color w:val="auto"/>
                <w:sz w:val="21"/>
                <w:szCs w:val="21"/>
              </w:rPr>
              <w:t>−2.83</w:t>
            </w:r>
          </w:p>
        </w:tc>
        <w:tc>
          <w:tcPr>
            <w:tcW w:w="1800" w:type="dxa"/>
            <w:tcBorders>
              <w:top w:val="single" w:color="CCCCCC" w:sz="2" w:space="0"/>
              <w:left w:val="single" w:color="CCCCCC" w:sz="2" w:space="0"/>
              <w:bottom w:val="single" w:color="CCCCCC" w:sz="2" w:space="0"/>
              <w:right w:val="single" w:color="CCCCCC" w:sz="2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EDA6D24">
            <w:pPr>
              <w:spacing w:after="160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Arial" w:cs="Times New Roman"/>
                <w:color w:val="auto"/>
                <w:sz w:val="21"/>
                <w:szCs w:val="21"/>
              </w:rPr>
              <w:t>&lt; 10</w:t>
            </w:r>
            <w:r>
              <w:rPr>
                <w:rFonts w:hint="default" w:ascii="Times New Roman" w:hAnsi="Times New Roman" w:eastAsia="Arial" w:cs="Times New Roman"/>
                <w:color w:val="auto"/>
                <w:sz w:val="21"/>
                <w:szCs w:val="21"/>
                <w:vertAlign w:val="superscript"/>
              </w:rPr>
              <w:t>−129</w:t>
            </w:r>
          </w:p>
        </w:tc>
      </w:tr>
    </w:tbl>
    <w:p w14:paraId="2350EA02">
      <w:pPr>
        <w:spacing w:after="160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eastAsia="Arial" w:cs="Times New Roman"/>
          <w:color w:val="auto"/>
          <w:sz w:val="20"/>
          <w:szCs w:val="20"/>
        </w:rPr>
        <w:t>✓ = baseline value used in the main analysis. All p-values two-sided Mann–Whitney U. The directional finding (goal possessions exhibit lower first fracture strength) is maintained across all parameter combinations, with p &lt; 10</w:t>
      </w:r>
      <w:r>
        <w:rPr>
          <w:rFonts w:hint="default" w:ascii="Times New Roman" w:hAnsi="Times New Roman" w:eastAsia="Arial" w:cs="Times New Roman"/>
          <w:color w:val="auto"/>
          <w:sz w:val="20"/>
          <w:szCs w:val="20"/>
          <w:vertAlign w:val="superscript"/>
        </w:rPr>
        <w:t>−95</w:t>
      </w:r>
      <w:r>
        <w:rPr>
          <w:rFonts w:hint="default" w:ascii="Times New Roman" w:hAnsi="Times New Roman" w:eastAsia="Arial" w:cs="Times New Roman"/>
          <w:color w:val="auto"/>
          <w:sz w:val="20"/>
          <w:szCs w:val="20"/>
        </w:rPr>
        <w:t xml:space="preserve"> in every case, confirming that core conclusions are not artefacts of specific parameter choices.</w:t>
      </w:r>
    </w:p>
    <w:p w14:paraId="4DD77032">
      <w:pPr>
        <w:spacing w:after="160"/>
        <w:rPr>
          <w:rFonts w:hint="default" w:ascii="Times New Roman" w:hAnsi="Times New Roman" w:cs="Times New Roman"/>
          <w:color w:val="auto"/>
        </w:rPr>
      </w:pPr>
    </w:p>
    <w:p w14:paraId="71A932D4">
      <w:pPr>
        <w:spacing w:before="360" w:after="160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Arial" w:cs="Times New Roman"/>
          <w:b/>
          <w:bCs/>
          <w:color w:val="auto"/>
          <w:sz w:val="24"/>
          <w:szCs w:val="24"/>
        </w:rPr>
        <w:t>S2.  IRLS Convergence and Numerical Stability</w:t>
      </w:r>
    </w:p>
    <w:p w14:paraId="2D3C09B7">
      <w:pPr>
        <w:spacing w:after="160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>Logistic regression was estimated via Iteratively Reweighted Least Squares (IRLS) with a maximum of 150 iterations and convergence tolerance ε = 10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  <w:vertAlign w:val="superscript"/>
        </w:rPr>
        <w:t>−7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 xml:space="preserve"> (maximum absolute parameter change between iterations). All models converged within 35 iterations.</w:t>
      </w:r>
    </w:p>
    <w:p w14:paraId="0C846B0F">
      <w:pPr>
        <w:spacing w:after="160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>Numerical stability was assessed by the condition number of the weighted design matrix X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  <w:vertAlign w:val="superscript"/>
        </w:rPr>
        <w:t>T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>WX. After removing collinear features (weakness gap, mean fracture strength; see S3), condition numbers for Model B were below 10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  <w:vertAlign w:val="superscript"/>
        </w:rPr>
        <w:t>4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>, confirming stable matrix inversion. Standard errors were obtained from the diagonal of (X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  <w:vertAlign w:val="superscript"/>
        </w:rPr>
        <w:t>T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>WX)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  <w:vertAlign w:val="superscript"/>
        </w:rPr>
        <w:t>−1</w:t>
      </w: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>.</w:t>
      </w:r>
    </w:p>
    <w:p w14:paraId="1A02144D">
      <w:pPr>
        <w:spacing w:after="160"/>
        <w:rPr>
          <w:rFonts w:hint="default" w:ascii="Times New Roman" w:hAnsi="Times New Roman" w:cs="Times New Roman"/>
          <w:color w:val="auto"/>
          <w:sz w:val="24"/>
          <w:szCs w:val="24"/>
        </w:rPr>
      </w:pPr>
    </w:p>
    <w:p w14:paraId="6E983773">
      <w:pPr>
        <w:spacing w:before="360" w:after="160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Arial" w:cs="Times New Roman"/>
          <w:b/>
          <w:bCs/>
          <w:color w:val="auto"/>
          <w:sz w:val="24"/>
          <w:szCs w:val="24"/>
        </w:rPr>
        <w:t>S3.  Collinearity Assessment</w:t>
      </w:r>
    </w:p>
    <w:p w14:paraId="7419DFB1">
      <w:pPr>
        <w:spacing w:after="160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>The following feature pairs exhibit high Spearman rank correlation (|ρ| &gt; 0.85) and were not simultaneously included in regression models:</w:t>
      </w:r>
    </w:p>
    <w:p w14:paraId="74DF53F9">
      <w:pPr>
        <w:spacing w:after="60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>• First fracture strength and weakness gap: ρ = 0.97. Weakness gap is defined as first fracture strength minus mean fracture strength and is therefore a linear transformation of the former; the two are not independent predictors.</w:t>
      </w:r>
    </w:p>
    <w:p w14:paraId="2CA5F64E">
      <w:pPr>
        <w:spacing w:after="60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>• Coordination number (n_bonds) and failure step: ρ = 0.98. Both scale with the number of active bonds; longer possessions generate more bonds and more cascade steps simultaneously.</w:t>
      </w:r>
    </w:p>
    <w:p w14:paraId="455BC226">
      <w:pPr>
        <w:spacing w:after="160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>• Attack damage and distance to goal: ρ =−0.85. The attack damage scalar is primarily a function of distance to goal via an exponential decay term.</w:t>
      </w:r>
    </w:p>
    <w:p w14:paraId="54605D12">
      <w:pPr>
        <w:spacing w:after="160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>Model B retains first fracture strength (not weakness gap), resilience index (not failure step directly), and DEI (which incorporates distance to goal via its log-sigmoid formulation). This feature set minimises collinearity while preserving the key structural predictors from each correlated pair.</w:t>
      </w:r>
    </w:p>
    <w:p w14:paraId="0AC69EBC">
      <w:pPr>
        <w:spacing w:before="360" w:after="160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Arial" w:cs="Times New Roman"/>
          <w:b/>
          <w:bCs/>
          <w:color w:val="auto"/>
          <w:sz w:val="24"/>
          <w:szCs w:val="24"/>
        </w:rPr>
        <w:t>S4.  Competition-Level Replication of Hypotheses H3–H12</w:t>
      </w:r>
    </w:p>
    <w:p w14:paraId="66197F0A">
      <w:pPr>
        <w:spacing w:after="160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Arial" w:cs="Times New Roman"/>
          <w:color w:val="auto"/>
          <w:sz w:val="24"/>
          <w:szCs w:val="24"/>
        </w:rPr>
        <w:t>Table S2 reports Mann–Whitney U test outcomes (two-sided) for each hypothesis in each competition separately. Significance thresholds: *** p &lt; 0.001; ** p &lt; 0.01; * p &lt; 0.05; ns p ≥ 0.05. Colour coding: dark green bold = ***; medium green bold = **; amber bold = *; red = ns.</w:t>
      </w:r>
    </w:p>
    <w:p w14:paraId="5A9C9059">
      <w:pPr>
        <w:spacing w:after="160"/>
        <w:rPr>
          <w:rFonts w:hint="default" w:ascii="Times New Roman" w:hAnsi="Times New Roman" w:eastAsia="Arial" w:cs="Times New Roman"/>
          <w:color w:val="auto"/>
          <w:sz w:val="20"/>
          <w:szCs w:val="20"/>
        </w:rPr>
      </w:pPr>
    </w:p>
    <w:p w14:paraId="1A157D1B">
      <w:pPr>
        <w:spacing w:after="160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eastAsia="Arial" w:cs="Times New Roman"/>
          <w:color w:val="auto"/>
          <w:sz w:val="20"/>
          <w:szCs w:val="20"/>
        </w:rPr>
        <w:t>Table S2. Per-competition significance of hypotheses H3–H12 (Mann–Whitney U, two-sided). BL, Bundesliga 2023/24 (n = 23,905); E20, UEFA Euro 2020 (32,747); E24, UEFA Euro 2024 (33,583); WE22, UEFA Women’s Euro 2022 (14,232); WE25, UEFA Women’s Euro 2025 (15,668); WWC, FIFA Women’s World Cup 2023 (32,155); WC22, FIFA World Cup 2022 (38,442). No correction for multiple comparisons is applied within this table; Bonferroni correction (α = 0.001) is applied to the 12 hypotheses in the main pooled analysis.</w:t>
      </w:r>
    </w:p>
    <w:tbl>
      <w:tblPr>
        <w:tblStyle w:val="11"/>
        <w:tblW w:w="902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2700"/>
        <w:gridCol w:w="903"/>
        <w:gridCol w:w="903"/>
        <w:gridCol w:w="903"/>
        <w:gridCol w:w="903"/>
        <w:gridCol w:w="903"/>
        <w:gridCol w:w="903"/>
        <w:gridCol w:w="908"/>
      </w:tblGrid>
      <w:tr w14:paraId="6993D8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blHeader/>
        </w:trPr>
        <w:tc>
          <w:tcPr>
            <w:tcW w:w="2700" w:type="dxa"/>
            <w:tcBorders>
              <w:top w:val="single" w:color="CCCCCC" w:sz="2" w:space="0"/>
              <w:left w:val="single" w:color="CCCCCC" w:sz="2" w:space="0"/>
              <w:bottom w:val="single" w:color="CCCCCC" w:sz="2" w:space="0"/>
              <w:right w:val="single" w:color="CCCCCC" w:sz="2" w:space="0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C0C10AE">
            <w:pPr>
              <w:spacing w:after="160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color w:val="auto"/>
                <w:sz w:val="21"/>
                <w:szCs w:val="21"/>
              </w:rPr>
              <w:t>Hypothesis</w:t>
            </w:r>
          </w:p>
        </w:tc>
        <w:tc>
          <w:tcPr>
            <w:tcW w:w="903" w:type="dxa"/>
            <w:tcBorders>
              <w:top w:val="single" w:color="CCCCCC" w:sz="2" w:space="0"/>
              <w:left w:val="single" w:color="CCCCCC" w:sz="2" w:space="0"/>
              <w:bottom w:val="single" w:color="CCCCCC" w:sz="2" w:space="0"/>
              <w:right w:val="single" w:color="CCCCCC" w:sz="2" w:space="0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F818724">
            <w:pPr>
              <w:spacing w:after="160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color w:val="auto"/>
                <w:sz w:val="21"/>
                <w:szCs w:val="21"/>
              </w:rPr>
              <w:t>BL</w:t>
            </w:r>
          </w:p>
        </w:tc>
        <w:tc>
          <w:tcPr>
            <w:tcW w:w="903" w:type="dxa"/>
            <w:tcBorders>
              <w:top w:val="single" w:color="CCCCCC" w:sz="2" w:space="0"/>
              <w:left w:val="single" w:color="CCCCCC" w:sz="2" w:space="0"/>
              <w:bottom w:val="single" w:color="CCCCCC" w:sz="2" w:space="0"/>
              <w:right w:val="single" w:color="CCCCCC" w:sz="2" w:space="0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E45CF82">
            <w:pPr>
              <w:spacing w:after="160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color w:val="auto"/>
                <w:sz w:val="21"/>
                <w:szCs w:val="21"/>
              </w:rPr>
              <w:t>E20</w:t>
            </w:r>
          </w:p>
        </w:tc>
        <w:tc>
          <w:tcPr>
            <w:tcW w:w="903" w:type="dxa"/>
            <w:tcBorders>
              <w:top w:val="single" w:color="CCCCCC" w:sz="2" w:space="0"/>
              <w:left w:val="single" w:color="CCCCCC" w:sz="2" w:space="0"/>
              <w:bottom w:val="single" w:color="CCCCCC" w:sz="2" w:space="0"/>
              <w:right w:val="single" w:color="CCCCCC" w:sz="2" w:space="0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24F40CC">
            <w:pPr>
              <w:spacing w:after="160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color w:val="auto"/>
                <w:sz w:val="21"/>
                <w:szCs w:val="21"/>
              </w:rPr>
              <w:t>E24</w:t>
            </w:r>
          </w:p>
        </w:tc>
        <w:tc>
          <w:tcPr>
            <w:tcW w:w="903" w:type="dxa"/>
            <w:tcBorders>
              <w:top w:val="single" w:color="CCCCCC" w:sz="2" w:space="0"/>
              <w:left w:val="single" w:color="CCCCCC" w:sz="2" w:space="0"/>
              <w:bottom w:val="single" w:color="CCCCCC" w:sz="2" w:space="0"/>
              <w:right w:val="single" w:color="CCCCCC" w:sz="2" w:space="0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E22D0AC">
            <w:pPr>
              <w:spacing w:after="160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color w:val="auto"/>
                <w:sz w:val="21"/>
                <w:szCs w:val="21"/>
              </w:rPr>
              <w:t>WE22</w:t>
            </w:r>
          </w:p>
        </w:tc>
        <w:tc>
          <w:tcPr>
            <w:tcW w:w="903" w:type="dxa"/>
            <w:tcBorders>
              <w:top w:val="single" w:color="CCCCCC" w:sz="2" w:space="0"/>
              <w:left w:val="single" w:color="CCCCCC" w:sz="2" w:space="0"/>
              <w:bottom w:val="single" w:color="CCCCCC" w:sz="2" w:space="0"/>
              <w:right w:val="single" w:color="CCCCCC" w:sz="2" w:space="0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712A925">
            <w:pPr>
              <w:spacing w:after="160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color w:val="auto"/>
                <w:sz w:val="21"/>
                <w:szCs w:val="21"/>
              </w:rPr>
              <w:t>WE25</w:t>
            </w:r>
          </w:p>
        </w:tc>
        <w:tc>
          <w:tcPr>
            <w:tcW w:w="903" w:type="dxa"/>
            <w:tcBorders>
              <w:top w:val="single" w:color="CCCCCC" w:sz="2" w:space="0"/>
              <w:left w:val="single" w:color="CCCCCC" w:sz="2" w:space="0"/>
              <w:bottom w:val="single" w:color="CCCCCC" w:sz="2" w:space="0"/>
              <w:right w:val="single" w:color="CCCCCC" w:sz="2" w:space="0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27E7DDD">
            <w:pPr>
              <w:spacing w:after="160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color w:val="auto"/>
                <w:sz w:val="21"/>
                <w:szCs w:val="21"/>
              </w:rPr>
              <w:t>WWC</w:t>
            </w:r>
          </w:p>
        </w:tc>
        <w:tc>
          <w:tcPr>
            <w:tcW w:w="908" w:type="dxa"/>
            <w:tcBorders>
              <w:top w:val="single" w:color="CCCCCC" w:sz="2" w:space="0"/>
              <w:left w:val="single" w:color="CCCCCC" w:sz="2" w:space="0"/>
              <w:bottom w:val="single" w:color="CCCCCC" w:sz="2" w:space="0"/>
              <w:right w:val="single" w:color="CCCCCC" w:sz="2" w:space="0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9D87965">
            <w:pPr>
              <w:spacing w:after="160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color w:val="auto"/>
                <w:sz w:val="21"/>
                <w:szCs w:val="21"/>
              </w:rPr>
              <w:t>WC22</w:t>
            </w:r>
          </w:p>
        </w:tc>
      </w:tr>
      <w:tr w14:paraId="7CF36D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00" w:type="dxa"/>
            <w:tcBorders>
              <w:top w:val="single" w:color="CCCCCC" w:sz="2" w:space="0"/>
              <w:left w:val="single" w:color="CCCCCC" w:sz="2" w:space="0"/>
              <w:bottom w:val="single" w:color="CCCCCC" w:sz="2" w:space="0"/>
              <w:right w:val="single" w:color="CCCCCC" w:sz="2" w:space="0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4F18F3E">
            <w:pPr>
              <w:spacing w:after="160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Arial" w:cs="Times New Roman"/>
                <w:color w:val="auto"/>
                <w:sz w:val="21"/>
                <w:szCs w:val="21"/>
              </w:rPr>
              <w:t>H3: First fracture strength</w:t>
            </w:r>
          </w:p>
        </w:tc>
        <w:tc>
          <w:tcPr>
            <w:tcW w:w="903" w:type="dxa"/>
            <w:tcBorders>
              <w:top w:val="single" w:color="CCCCCC" w:sz="2" w:space="0"/>
              <w:left w:val="single" w:color="CCCCCC" w:sz="2" w:space="0"/>
              <w:bottom w:val="single" w:color="CCCCCC" w:sz="2" w:space="0"/>
              <w:right w:val="single" w:color="CCCCCC" w:sz="2" w:space="0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82F5BED">
            <w:pPr>
              <w:spacing w:after="160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color w:val="auto"/>
                <w:sz w:val="21"/>
                <w:szCs w:val="21"/>
              </w:rPr>
              <w:t>***</w:t>
            </w:r>
          </w:p>
        </w:tc>
        <w:tc>
          <w:tcPr>
            <w:tcW w:w="903" w:type="dxa"/>
            <w:tcBorders>
              <w:top w:val="single" w:color="CCCCCC" w:sz="2" w:space="0"/>
              <w:left w:val="single" w:color="CCCCCC" w:sz="2" w:space="0"/>
              <w:bottom w:val="single" w:color="CCCCCC" w:sz="2" w:space="0"/>
              <w:right w:val="single" w:color="CCCCCC" w:sz="2" w:space="0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B0FB643">
            <w:pPr>
              <w:spacing w:after="160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color w:val="auto"/>
                <w:sz w:val="21"/>
                <w:szCs w:val="21"/>
              </w:rPr>
              <w:t>***</w:t>
            </w:r>
          </w:p>
        </w:tc>
        <w:tc>
          <w:tcPr>
            <w:tcW w:w="903" w:type="dxa"/>
            <w:tcBorders>
              <w:top w:val="single" w:color="CCCCCC" w:sz="2" w:space="0"/>
              <w:left w:val="single" w:color="CCCCCC" w:sz="2" w:space="0"/>
              <w:bottom w:val="single" w:color="CCCCCC" w:sz="2" w:space="0"/>
              <w:right w:val="single" w:color="CCCCCC" w:sz="2" w:space="0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9F4D29A">
            <w:pPr>
              <w:spacing w:after="160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color w:val="auto"/>
                <w:sz w:val="21"/>
                <w:szCs w:val="21"/>
              </w:rPr>
              <w:t>***</w:t>
            </w:r>
          </w:p>
        </w:tc>
        <w:tc>
          <w:tcPr>
            <w:tcW w:w="903" w:type="dxa"/>
            <w:tcBorders>
              <w:top w:val="single" w:color="CCCCCC" w:sz="2" w:space="0"/>
              <w:left w:val="single" w:color="CCCCCC" w:sz="2" w:space="0"/>
              <w:bottom w:val="single" w:color="CCCCCC" w:sz="2" w:space="0"/>
              <w:right w:val="single" w:color="CCCCCC" w:sz="2" w:space="0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F9C7305">
            <w:pPr>
              <w:spacing w:after="160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color w:val="auto"/>
                <w:sz w:val="21"/>
                <w:szCs w:val="21"/>
              </w:rPr>
              <w:t>***</w:t>
            </w:r>
          </w:p>
        </w:tc>
        <w:tc>
          <w:tcPr>
            <w:tcW w:w="903" w:type="dxa"/>
            <w:tcBorders>
              <w:top w:val="single" w:color="CCCCCC" w:sz="2" w:space="0"/>
              <w:left w:val="single" w:color="CCCCCC" w:sz="2" w:space="0"/>
              <w:bottom w:val="single" w:color="CCCCCC" w:sz="2" w:space="0"/>
              <w:right w:val="single" w:color="CCCCCC" w:sz="2" w:space="0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75F6D08">
            <w:pPr>
              <w:spacing w:after="160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color w:val="auto"/>
                <w:sz w:val="21"/>
                <w:szCs w:val="21"/>
              </w:rPr>
              <w:t>***</w:t>
            </w:r>
          </w:p>
        </w:tc>
        <w:tc>
          <w:tcPr>
            <w:tcW w:w="903" w:type="dxa"/>
            <w:tcBorders>
              <w:top w:val="single" w:color="CCCCCC" w:sz="2" w:space="0"/>
              <w:left w:val="single" w:color="CCCCCC" w:sz="2" w:space="0"/>
              <w:bottom w:val="single" w:color="CCCCCC" w:sz="2" w:space="0"/>
              <w:right w:val="single" w:color="CCCCCC" w:sz="2" w:space="0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2AA9E91">
            <w:pPr>
              <w:spacing w:after="160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color w:val="auto"/>
                <w:sz w:val="21"/>
                <w:szCs w:val="21"/>
              </w:rPr>
              <w:t>***</w:t>
            </w:r>
          </w:p>
        </w:tc>
        <w:tc>
          <w:tcPr>
            <w:tcW w:w="903" w:type="dxa"/>
            <w:tcBorders>
              <w:top w:val="single" w:color="CCCCCC" w:sz="2" w:space="0"/>
              <w:left w:val="single" w:color="CCCCCC" w:sz="2" w:space="0"/>
              <w:bottom w:val="single" w:color="CCCCCC" w:sz="2" w:space="0"/>
              <w:right w:val="single" w:color="CCCCCC" w:sz="2" w:space="0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82D5B28">
            <w:pPr>
              <w:spacing w:after="160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color w:val="auto"/>
                <w:sz w:val="21"/>
                <w:szCs w:val="21"/>
              </w:rPr>
              <w:t>***</w:t>
            </w:r>
          </w:p>
        </w:tc>
      </w:tr>
      <w:tr w14:paraId="0C9989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00" w:type="dxa"/>
            <w:tcBorders>
              <w:top w:val="single" w:color="CCCCCC" w:sz="2" w:space="0"/>
              <w:left w:val="single" w:color="CCCCCC" w:sz="2" w:space="0"/>
              <w:bottom w:val="single" w:color="CCCCCC" w:sz="2" w:space="0"/>
              <w:right w:val="single" w:color="CCCCCC" w:sz="2" w:space="0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89015FB">
            <w:pPr>
              <w:spacing w:after="160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Arial" w:cs="Times New Roman"/>
                <w:color w:val="auto"/>
                <w:sz w:val="21"/>
                <w:szCs w:val="21"/>
              </w:rPr>
              <w:t>H4: Mean fracture strength</w:t>
            </w:r>
          </w:p>
        </w:tc>
        <w:tc>
          <w:tcPr>
            <w:tcW w:w="903" w:type="dxa"/>
            <w:tcBorders>
              <w:top w:val="single" w:color="CCCCCC" w:sz="2" w:space="0"/>
              <w:left w:val="single" w:color="CCCCCC" w:sz="2" w:space="0"/>
              <w:bottom w:val="single" w:color="CCCCCC" w:sz="2" w:space="0"/>
              <w:right w:val="single" w:color="CCCCCC" w:sz="2" w:space="0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9434449">
            <w:pPr>
              <w:spacing w:after="160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color w:val="auto"/>
                <w:sz w:val="21"/>
                <w:szCs w:val="21"/>
              </w:rPr>
              <w:t>**</w:t>
            </w:r>
          </w:p>
        </w:tc>
        <w:tc>
          <w:tcPr>
            <w:tcW w:w="903" w:type="dxa"/>
            <w:tcBorders>
              <w:top w:val="single" w:color="CCCCCC" w:sz="2" w:space="0"/>
              <w:left w:val="single" w:color="CCCCCC" w:sz="2" w:space="0"/>
              <w:bottom w:val="single" w:color="CCCCCC" w:sz="2" w:space="0"/>
              <w:right w:val="single" w:color="CCCCCC" w:sz="2" w:space="0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6E4974B">
            <w:pPr>
              <w:spacing w:after="160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color w:val="auto"/>
                <w:sz w:val="21"/>
                <w:szCs w:val="21"/>
              </w:rPr>
              <w:t>***</w:t>
            </w:r>
          </w:p>
        </w:tc>
        <w:tc>
          <w:tcPr>
            <w:tcW w:w="903" w:type="dxa"/>
            <w:tcBorders>
              <w:top w:val="single" w:color="CCCCCC" w:sz="2" w:space="0"/>
              <w:left w:val="single" w:color="CCCCCC" w:sz="2" w:space="0"/>
              <w:bottom w:val="single" w:color="CCCCCC" w:sz="2" w:space="0"/>
              <w:right w:val="single" w:color="CCCCCC" w:sz="2" w:space="0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81665C5">
            <w:pPr>
              <w:spacing w:after="160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color w:val="auto"/>
                <w:sz w:val="21"/>
                <w:szCs w:val="21"/>
              </w:rPr>
              <w:t>***</w:t>
            </w:r>
          </w:p>
        </w:tc>
        <w:tc>
          <w:tcPr>
            <w:tcW w:w="903" w:type="dxa"/>
            <w:tcBorders>
              <w:top w:val="single" w:color="CCCCCC" w:sz="2" w:space="0"/>
              <w:left w:val="single" w:color="CCCCCC" w:sz="2" w:space="0"/>
              <w:bottom w:val="single" w:color="CCCCCC" w:sz="2" w:space="0"/>
              <w:right w:val="single" w:color="CCCCCC" w:sz="2" w:space="0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B07E461">
            <w:pPr>
              <w:spacing w:after="160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color w:val="auto"/>
                <w:sz w:val="21"/>
                <w:szCs w:val="21"/>
              </w:rPr>
              <w:t>***</w:t>
            </w:r>
          </w:p>
        </w:tc>
        <w:tc>
          <w:tcPr>
            <w:tcW w:w="903" w:type="dxa"/>
            <w:tcBorders>
              <w:top w:val="single" w:color="CCCCCC" w:sz="2" w:space="0"/>
              <w:left w:val="single" w:color="CCCCCC" w:sz="2" w:space="0"/>
              <w:bottom w:val="single" w:color="CCCCCC" w:sz="2" w:space="0"/>
              <w:right w:val="single" w:color="CCCCCC" w:sz="2" w:space="0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8C3EA14">
            <w:pPr>
              <w:spacing w:after="160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color w:val="auto"/>
                <w:sz w:val="21"/>
                <w:szCs w:val="21"/>
              </w:rPr>
              <w:t>**</w:t>
            </w:r>
          </w:p>
        </w:tc>
        <w:tc>
          <w:tcPr>
            <w:tcW w:w="903" w:type="dxa"/>
            <w:tcBorders>
              <w:top w:val="single" w:color="CCCCCC" w:sz="2" w:space="0"/>
              <w:left w:val="single" w:color="CCCCCC" w:sz="2" w:space="0"/>
              <w:bottom w:val="single" w:color="CCCCCC" w:sz="2" w:space="0"/>
              <w:right w:val="single" w:color="CCCCCC" w:sz="2" w:space="0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B3151EE">
            <w:pPr>
              <w:spacing w:after="160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color w:val="auto"/>
                <w:sz w:val="21"/>
                <w:szCs w:val="21"/>
              </w:rPr>
              <w:t>***</w:t>
            </w:r>
          </w:p>
        </w:tc>
        <w:tc>
          <w:tcPr>
            <w:tcW w:w="903" w:type="dxa"/>
            <w:tcBorders>
              <w:top w:val="single" w:color="CCCCCC" w:sz="2" w:space="0"/>
              <w:left w:val="single" w:color="CCCCCC" w:sz="2" w:space="0"/>
              <w:bottom w:val="single" w:color="CCCCCC" w:sz="2" w:space="0"/>
              <w:right w:val="single" w:color="CCCCCC" w:sz="2" w:space="0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E81B006">
            <w:pPr>
              <w:spacing w:after="160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color w:val="auto"/>
                <w:sz w:val="21"/>
                <w:szCs w:val="21"/>
              </w:rPr>
              <w:t>***</w:t>
            </w:r>
          </w:p>
        </w:tc>
      </w:tr>
      <w:tr w14:paraId="5E3592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00" w:type="dxa"/>
            <w:tcBorders>
              <w:top w:val="single" w:color="CCCCCC" w:sz="2" w:space="0"/>
              <w:left w:val="single" w:color="CCCCCC" w:sz="2" w:space="0"/>
              <w:bottom w:val="single" w:color="CCCCCC" w:sz="2" w:space="0"/>
              <w:right w:val="single" w:color="CCCCCC" w:sz="2" w:space="0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C2C3C5F">
            <w:pPr>
              <w:spacing w:after="160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Arial" w:cs="Times New Roman"/>
                <w:color w:val="auto"/>
                <w:sz w:val="21"/>
                <w:szCs w:val="21"/>
              </w:rPr>
              <w:t>H5: Failure step</w:t>
            </w:r>
          </w:p>
        </w:tc>
        <w:tc>
          <w:tcPr>
            <w:tcW w:w="903" w:type="dxa"/>
            <w:tcBorders>
              <w:top w:val="single" w:color="CCCCCC" w:sz="2" w:space="0"/>
              <w:left w:val="single" w:color="CCCCCC" w:sz="2" w:space="0"/>
              <w:bottom w:val="single" w:color="CCCCCC" w:sz="2" w:space="0"/>
              <w:right w:val="single" w:color="CCCCCC" w:sz="2" w:space="0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160FD61">
            <w:pPr>
              <w:spacing w:after="160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color w:val="auto"/>
                <w:sz w:val="21"/>
                <w:szCs w:val="21"/>
              </w:rPr>
              <w:t>***</w:t>
            </w:r>
          </w:p>
        </w:tc>
        <w:tc>
          <w:tcPr>
            <w:tcW w:w="903" w:type="dxa"/>
            <w:tcBorders>
              <w:top w:val="single" w:color="CCCCCC" w:sz="2" w:space="0"/>
              <w:left w:val="single" w:color="CCCCCC" w:sz="2" w:space="0"/>
              <w:bottom w:val="single" w:color="CCCCCC" w:sz="2" w:space="0"/>
              <w:right w:val="single" w:color="CCCCCC" w:sz="2" w:space="0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92D70B1">
            <w:pPr>
              <w:spacing w:after="160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color w:val="auto"/>
                <w:sz w:val="21"/>
                <w:szCs w:val="21"/>
              </w:rPr>
              <w:t>***</w:t>
            </w:r>
          </w:p>
        </w:tc>
        <w:tc>
          <w:tcPr>
            <w:tcW w:w="903" w:type="dxa"/>
            <w:tcBorders>
              <w:top w:val="single" w:color="CCCCCC" w:sz="2" w:space="0"/>
              <w:left w:val="single" w:color="CCCCCC" w:sz="2" w:space="0"/>
              <w:bottom w:val="single" w:color="CCCCCC" w:sz="2" w:space="0"/>
              <w:right w:val="single" w:color="CCCCCC" w:sz="2" w:space="0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33FD83D">
            <w:pPr>
              <w:spacing w:after="160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color w:val="auto"/>
                <w:sz w:val="21"/>
                <w:szCs w:val="21"/>
              </w:rPr>
              <w:t>***</w:t>
            </w:r>
          </w:p>
        </w:tc>
        <w:tc>
          <w:tcPr>
            <w:tcW w:w="903" w:type="dxa"/>
            <w:tcBorders>
              <w:top w:val="single" w:color="CCCCCC" w:sz="2" w:space="0"/>
              <w:left w:val="single" w:color="CCCCCC" w:sz="2" w:space="0"/>
              <w:bottom w:val="single" w:color="CCCCCC" w:sz="2" w:space="0"/>
              <w:right w:val="single" w:color="CCCCCC" w:sz="2" w:space="0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F368E05">
            <w:pPr>
              <w:spacing w:after="160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color w:val="auto"/>
                <w:sz w:val="21"/>
                <w:szCs w:val="21"/>
              </w:rPr>
              <w:t>***</w:t>
            </w:r>
          </w:p>
        </w:tc>
        <w:tc>
          <w:tcPr>
            <w:tcW w:w="903" w:type="dxa"/>
            <w:tcBorders>
              <w:top w:val="single" w:color="CCCCCC" w:sz="2" w:space="0"/>
              <w:left w:val="single" w:color="CCCCCC" w:sz="2" w:space="0"/>
              <w:bottom w:val="single" w:color="CCCCCC" w:sz="2" w:space="0"/>
              <w:right w:val="single" w:color="CCCCCC" w:sz="2" w:space="0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E8E2888">
            <w:pPr>
              <w:spacing w:after="160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color w:val="auto"/>
                <w:sz w:val="21"/>
                <w:szCs w:val="21"/>
              </w:rPr>
              <w:t>***</w:t>
            </w:r>
          </w:p>
        </w:tc>
        <w:tc>
          <w:tcPr>
            <w:tcW w:w="903" w:type="dxa"/>
            <w:tcBorders>
              <w:top w:val="single" w:color="CCCCCC" w:sz="2" w:space="0"/>
              <w:left w:val="single" w:color="CCCCCC" w:sz="2" w:space="0"/>
              <w:bottom w:val="single" w:color="CCCCCC" w:sz="2" w:space="0"/>
              <w:right w:val="single" w:color="CCCCCC" w:sz="2" w:space="0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0B73344">
            <w:pPr>
              <w:spacing w:after="160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color w:val="auto"/>
                <w:sz w:val="21"/>
                <w:szCs w:val="21"/>
              </w:rPr>
              <w:t>***</w:t>
            </w:r>
          </w:p>
        </w:tc>
        <w:tc>
          <w:tcPr>
            <w:tcW w:w="903" w:type="dxa"/>
            <w:tcBorders>
              <w:top w:val="single" w:color="CCCCCC" w:sz="2" w:space="0"/>
              <w:left w:val="single" w:color="CCCCCC" w:sz="2" w:space="0"/>
              <w:bottom w:val="single" w:color="CCCCCC" w:sz="2" w:space="0"/>
              <w:right w:val="single" w:color="CCCCCC" w:sz="2" w:space="0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136BBD7">
            <w:pPr>
              <w:spacing w:after="160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color w:val="auto"/>
                <w:sz w:val="21"/>
                <w:szCs w:val="21"/>
              </w:rPr>
              <w:t>***</w:t>
            </w:r>
          </w:p>
        </w:tc>
      </w:tr>
      <w:tr w14:paraId="414CB8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00" w:type="dxa"/>
            <w:tcBorders>
              <w:top w:val="single" w:color="CCCCCC" w:sz="2" w:space="0"/>
              <w:left w:val="single" w:color="CCCCCC" w:sz="2" w:space="0"/>
              <w:bottom w:val="single" w:color="CCCCCC" w:sz="2" w:space="0"/>
              <w:right w:val="single" w:color="CCCCCC" w:sz="2" w:space="0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843324">
            <w:pPr>
              <w:spacing w:after="160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Arial" w:cs="Times New Roman"/>
                <w:color w:val="auto"/>
                <w:sz w:val="21"/>
                <w:szCs w:val="21"/>
              </w:rPr>
              <w:t>H6: Avalanche size</w:t>
            </w:r>
          </w:p>
        </w:tc>
        <w:tc>
          <w:tcPr>
            <w:tcW w:w="903" w:type="dxa"/>
            <w:tcBorders>
              <w:top w:val="single" w:color="CCCCCC" w:sz="2" w:space="0"/>
              <w:left w:val="single" w:color="CCCCCC" w:sz="2" w:space="0"/>
              <w:bottom w:val="single" w:color="CCCCCC" w:sz="2" w:space="0"/>
              <w:right w:val="single" w:color="CCCCCC" w:sz="2" w:space="0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50BB82E">
            <w:pPr>
              <w:spacing w:after="160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color w:val="auto"/>
                <w:sz w:val="21"/>
                <w:szCs w:val="21"/>
              </w:rPr>
              <w:t>***</w:t>
            </w:r>
          </w:p>
        </w:tc>
        <w:tc>
          <w:tcPr>
            <w:tcW w:w="903" w:type="dxa"/>
            <w:tcBorders>
              <w:top w:val="single" w:color="CCCCCC" w:sz="2" w:space="0"/>
              <w:left w:val="single" w:color="CCCCCC" w:sz="2" w:space="0"/>
              <w:bottom w:val="single" w:color="CCCCCC" w:sz="2" w:space="0"/>
              <w:right w:val="single" w:color="CCCCCC" w:sz="2" w:space="0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F0E457A">
            <w:pPr>
              <w:spacing w:after="160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color w:val="auto"/>
                <w:sz w:val="21"/>
                <w:szCs w:val="21"/>
              </w:rPr>
              <w:t>***</w:t>
            </w:r>
          </w:p>
        </w:tc>
        <w:tc>
          <w:tcPr>
            <w:tcW w:w="903" w:type="dxa"/>
            <w:tcBorders>
              <w:top w:val="single" w:color="CCCCCC" w:sz="2" w:space="0"/>
              <w:left w:val="single" w:color="CCCCCC" w:sz="2" w:space="0"/>
              <w:bottom w:val="single" w:color="CCCCCC" w:sz="2" w:space="0"/>
              <w:right w:val="single" w:color="CCCCCC" w:sz="2" w:space="0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EAABE6A">
            <w:pPr>
              <w:spacing w:after="160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color w:val="auto"/>
                <w:sz w:val="21"/>
                <w:szCs w:val="21"/>
              </w:rPr>
              <w:t>***</w:t>
            </w:r>
          </w:p>
        </w:tc>
        <w:tc>
          <w:tcPr>
            <w:tcW w:w="903" w:type="dxa"/>
            <w:tcBorders>
              <w:top w:val="single" w:color="CCCCCC" w:sz="2" w:space="0"/>
              <w:left w:val="single" w:color="CCCCCC" w:sz="2" w:space="0"/>
              <w:bottom w:val="single" w:color="CCCCCC" w:sz="2" w:space="0"/>
              <w:right w:val="single" w:color="CCCCCC" w:sz="2" w:space="0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8385EC3">
            <w:pPr>
              <w:spacing w:after="160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color w:val="auto"/>
                <w:sz w:val="21"/>
                <w:szCs w:val="21"/>
              </w:rPr>
              <w:t>***</w:t>
            </w:r>
          </w:p>
        </w:tc>
        <w:tc>
          <w:tcPr>
            <w:tcW w:w="903" w:type="dxa"/>
            <w:tcBorders>
              <w:top w:val="single" w:color="CCCCCC" w:sz="2" w:space="0"/>
              <w:left w:val="single" w:color="CCCCCC" w:sz="2" w:space="0"/>
              <w:bottom w:val="single" w:color="CCCCCC" w:sz="2" w:space="0"/>
              <w:right w:val="single" w:color="CCCCCC" w:sz="2" w:space="0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0CA251A">
            <w:pPr>
              <w:spacing w:after="160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color w:val="auto"/>
                <w:sz w:val="21"/>
                <w:szCs w:val="21"/>
              </w:rPr>
              <w:t>***</w:t>
            </w:r>
          </w:p>
        </w:tc>
        <w:tc>
          <w:tcPr>
            <w:tcW w:w="903" w:type="dxa"/>
            <w:tcBorders>
              <w:top w:val="single" w:color="CCCCCC" w:sz="2" w:space="0"/>
              <w:left w:val="single" w:color="CCCCCC" w:sz="2" w:space="0"/>
              <w:bottom w:val="single" w:color="CCCCCC" w:sz="2" w:space="0"/>
              <w:right w:val="single" w:color="CCCCCC" w:sz="2" w:space="0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3D40CBA">
            <w:pPr>
              <w:spacing w:after="160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color w:val="auto"/>
                <w:sz w:val="21"/>
                <w:szCs w:val="21"/>
              </w:rPr>
              <w:t>***</w:t>
            </w:r>
          </w:p>
        </w:tc>
        <w:tc>
          <w:tcPr>
            <w:tcW w:w="903" w:type="dxa"/>
            <w:tcBorders>
              <w:top w:val="single" w:color="CCCCCC" w:sz="2" w:space="0"/>
              <w:left w:val="single" w:color="CCCCCC" w:sz="2" w:space="0"/>
              <w:bottom w:val="single" w:color="CCCCCC" w:sz="2" w:space="0"/>
              <w:right w:val="single" w:color="CCCCCC" w:sz="2" w:space="0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E1E5571">
            <w:pPr>
              <w:spacing w:after="160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color w:val="auto"/>
                <w:sz w:val="21"/>
                <w:szCs w:val="21"/>
              </w:rPr>
              <w:t>***</w:t>
            </w:r>
          </w:p>
        </w:tc>
      </w:tr>
      <w:tr w14:paraId="31D35B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00" w:type="dxa"/>
            <w:tcBorders>
              <w:top w:val="single" w:color="CCCCCC" w:sz="2" w:space="0"/>
              <w:left w:val="single" w:color="CCCCCC" w:sz="2" w:space="0"/>
              <w:bottom w:val="single" w:color="CCCCCC" w:sz="2" w:space="0"/>
              <w:right w:val="single" w:color="CCCCCC" w:sz="2" w:space="0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4BC0FE9">
            <w:pPr>
              <w:spacing w:after="160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Arial" w:cs="Times New Roman"/>
                <w:color w:val="auto"/>
                <w:sz w:val="21"/>
                <w:szCs w:val="21"/>
              </w:rPr>
              <w:t>H7: Attack damage</w:t>
            </w:r>
          </w:p>
        </w:tc>
        <w:tc>
          <w:tcPr>
            <w:tcW w:w="903" w:type="dxa"/>
            <w:tcBorders>
              <w:top w:val="single" w:color="CCCCCC" w:sz="2" w:space="0"/>
              <w:left w:val="single" w:color="CCCCCC" w:sz="2" w:space="0"/>
              <w:bottom w:val="single" w:color="CCCCCC" w:sz="2" w:space="0"/>
              <w:right w:val="single" w:color="CCCCCC" w:sz="2" w:space="0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039C04D">
            <w:pPr>
              <w:spacing w:after="160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color w:val="auto"/>
                <w:sz w:val="21"/>
                <w:szCs w:val="21"/>
              </w:rPr>
              <w:t>***</w:t>
            </w:r>
          </w:p>
        </w:tc>
        <w:tc>
          <w:tcPr>
            <w:tcW w:w="903" w:type="dxa"/>
            <w:tcBorders>
              <w:top w:val="single" w:color="CCCCCC" w:sz="2" w:space="0"/>
              <w:left w:val="single" w:color="CCCCCC" w:sz="2" w:space="0"/>
              <w:bottom w:val="single" w:color="CCCCCC" w:sz="2" w:space="0"/>
              <w:right w:val="single" w:color="CCCCCC" w:sz="2" w:space="0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6C9D437">
            <w:pPr>
              <w:spacing w:after="160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color w:val="auto"/>
                <w:sz w:val="21"/>
                <w:szCs w:val="21"/>
              </w:rPr>
              <w:t>***</w:t>
            </w:r>
          </w:p>
        </w:tc>
        <w:tc>
          <w:tcPr>
            <w:tcW w:w="903" w:type="dxa"/>
            <w:tcBorders>
              <w:top w:val="single" w:color="CCCCCC" w:sz="2" w:space="0"/>
              <w:left w:val="single" w:color="CCCCCC" w:sz="2" w:space="0"/>
              <w:bottom w:val="single" w:color="CCCCCC" w:sz="2" w:space="0"/>
              <w:right w:val="single" w:color="CCCCCC" w:sz="2" w:space="0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7CD03AD">
            <w:pPr>
              <w:spacing w:after="160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color w:val="auto"/>
                <w:sz w:val="21"/>
                <w:szCs w:val="21"/>
              </w:rPr>
              <w:t>***</w:t>
            </w:r>
          </w:p>
        </w:tc>
        <w:tc>
          <w:tcPr>
            <w:tcW w:w="903" w:type="dxa"/>
            <w:tcBorders>
              <w:top w:val="single" w:color="CCCCCC" w:sz="2" w:space="0"/>
              <w:left w:val="single" w:color="CCCCCC" w:sz="2" w:space="0"/>
              <w:bottom w:val="single" w:color="CCCCCC" w:sz="2" w:space="0"/>
              <w:right w:val="single" w:color="CCCCCC" w:sz="2" w:space="0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24BB5FA">
            <w:pPr>
              <w:spacing w:after="160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color w:val="auto"/>
                <w:sz w:val="21"/>
                <w:szCs w:val="21"/>
              </w:rPr>
              <w:t>***</w:t>
            </w:r>
          </w:p>
        </w:tc>
        <w:tc>
          <w:tcPr>
            <w:tcW w:w="903" w:type="dxa"/>
            <w:tcBorders>
              <w:top w:val="single" w:color="CCCCCC" w:sz="2" w:space="0"/>
              <w:left w:val="single" w:color="CCCCCC" w:sz="2" w:space="0"/>
              <w:bottom w:val="single" w:color="CCCCCC" w:sz="2" w:space="0"/>
              <w:right w:val="single" w:color="CCCCCC" w:sz="2" w:space="0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9DAA50B">
            <w:pPr>
              <w:spacing w:after="160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color w:val="auto"/>
                <w:sz w:val="21"/>
                <w:szCs w:val="21"/>
              </w:rPr>
              <w:t>***</w:t>
            </w:r>
          </w:p>
        </w:tc>
        <w:tc>
          <w:tcPr>
            <w:tcW w:w="903" w:type="dxa"/>
            <w:tcBorders>
              <w:top w:val="single" w:color="CCCCCC" w:sz="2" w:space="0"/>
              <w:left w:val="single" w:color="CCCCCC" w:sz="2" w:space="0"/>
              <w:bottom w:val="single" w:color="CCCCCC" w:sz="2" w:space="0"/>
              <w:right w:val="single" w:color="CCCCCC" w:sz="2" w:space="0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72BA00F">
            <w:pPr>
              <w:spacing w:after="160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color w:val="auto"/>
                <w:sz w:val="21"/>
                <w:szCs w:val="21"/>
              </w:rPr>
              <w:t>***</w:t>
            </w:r>
          </w:p>
        </w:tc>
        <w:tc>
          <w:tcPr>
            <w:tcW w:w="903" w:type="dxa"/>
            <w:tcBorders>
              <w:top w:val="single" w:color="CCCCCC" w:sz="2" w:space="0"/>
              <w:left w:val="single" w:color="CCCCCC" w:sz="2" w:space="0"/>
              <w:bottom w:val="single" w:color="CCCCCC" w:sz="2" w:space="0"/>
              <w:right w:val="single" w:color="CCCCCC" w:sz="2" w:space="0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FEEC96D">
            <w:pPr>
              <w:spacing w:after="160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color w:val="auto"/>
                <w:sz w:val="21"/>
                <w:szCs w:val="21"/>
              </w:rPr>
              <w:t>***</w:t>
            </w:r>
          </w:p>
        </w:tc>
      </w:tr>
      <w:tr w14:paraId="4EB07C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00" w:type="dxa"/>
            <w:tcBorders>
              <w:top w:val="single" w:color="CCCCCC" w:sz="2" w:space="0"/>
              <w:left w:val="single" w:color="CCCCCC" w:sz="2" w:space="0"/>
              <w:bottom w:val="single" w:color="CCCCCC" w:sz="2" w:space="0"/>
              <w:right w:val="single" w:color="CCCCCC" w:sz="2" w:space="0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2CF8AAC">
            <w:pPr>
              <w:spacing w:after="160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Arial" w:cs="Times New Roman"/>
                <w:color w:val="auto"/>
                <w:sz w:val="21"/>
                <w:szCs w:val="21"/>
              </w:rPr>
              <w:t>H8: Distance to goal</w:t>
            </w:r>
          </w:p>
        </w:tc>
        <w:tc>
          <w:tcPr>
            <w:tcW w:w="903" w:type="dxa"/>
            <w:tcBorders>
              <w:top w:val="single" w:color="CCCCCC" w:sz="2" w:space="0"/>
              <w:left w:val="single" w:color="CCCCCC" w:sz="2" w:space="0"/>
              <w:bottom w:val="single" w:color="CCCCCC" w:sz="2" w:space="0"/>
              <w:right w:val="single" w:color="CCCCCC" w:sz="2" w:space="0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49F25B3">
            <w:pPr>
              <w:spacing w:after="160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color w:val="auto"/>
                <w:sz w:val="21"/>
                <w:szCs w:val="21"/>
              </w:rPr>
              <w:t>***</w:t>
            </w:r>
          </w:p>
        </w:tc>
        <w:tc>
          <w:tcPr>
            <w:tcW w:w="903" w:type="dxa"/>
            <w:tcBorders>
              <w:top w:val="single" w:color="CCCCCC" w:sz="2" w:space="0"/>
              <w:left w:val="single" w:color="CCCCCC" w:sz="2" w:space="0"/>
              <w:bottom w:val="single" w:color="CCCCCC" w:sz="2" w:space="0"/>
              <w:right w:val="single" w:color="CCCCCC" w:sz="2" w:space="0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ADDDB23">
            <w:pPr>
              <w:spacing w:after="160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color w:val="auto"/>
                <w:sz w:val="21"/>
                <w:szCs w:val="21"/>
              </w:rPr>
              <w:t>***</w:t>
            </w:r>
          </w:p>
        </w:tc>
        <w:tc>
          <w:tcPr>
            <w:tcW w:w="903" w:type="dxa"/>
            <w:tcBorders>
              <w:top w:val="single" w:color="CCCCCC" w:sz="2" w:space="0"/>
              <w:left w:val="single" w:color="CCCCCC" w:sz="2" w:space="0"/>
              <w:bottom w:val="single" w:color="CCCCCC" w:sz="2" w:space="0"/>
              <w:right w:val="single" w:color="CCCCCC" w:sz="2" w:space="0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87B0955">
            <w:pPr>
              <w:spacing w:after="160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color w:val="auto"/>
                <w:sz w:val="21"/>
                <w:szCs w:val="21"/>
              </w:rPr>
              <w:t>***</w:t>
            </w:r>
          </w:p>
        </w:tc>
        <w:tc>
          <w:tcPr>
            <w:tcW w:w="903" w:type="dxa"/>
            <w:tcBorders>
              <w:top w:val="single" w:color="CCCCCC" w:sz="2" w:space="0"/>
              <w:left w:val="single" w:color="CCCCCC" w:sz="2" w:space="0"/>
              <w:bottom w:val="single" w:color="CCCCCC" w:sz="2" w:space="0"/>
              <w:right w:val="single" w:color="CCCCCC" w:sz="2" w:space="0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4C5BDE7">
            <w:pPr>
              <w:spacing w:after="160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color w:val="auto"/>
                <w:sz w:val="21"/>
                <w:szCs w:val="21"/>
              </w:rPr>
              <w:t>***</w:t>
            </w:r>
          </w:p>
        </w:tc>
        <w:tc>
          <w:tcPr>
            <w:tcW w:w="903" w:type="dxa"/>
            <w:tcBorders>
              <w:top w:val="single" w:color="CCCCCC" w:sz="2" w:space="0"/>
              <w:left w:val="single" w:color="CCCCCC" w:sz="2" w:space="0"/>
              <w:bottom w:val="single" w:color="CCCCCC" w:sz="2" w:space="0"/>
              <w:right w:val="single" w:color="CCCCCC" w:sz="2" w:space="0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5DE1CD7">
            <w:pPr>
              <w:spacing w:after="160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color w:val="auto"/>
                <w:sz w:val="21"/>
                <w:szCs w:val="21"/>
              </w:rPr>
              <w:t>***</w:t>
            </w:r>
          </w:p>
        </w:tc>
        <w:tc>
          <w:tcPr>
            <w:tcW w:w="903" w:type="dxa"/>
            <w:tcBorders>
              <w:top w:val="single" w:color="CCCCCC" w:sz="2" w:space="0"/>
              <w:left w:val="single" w:color="CCCCCC" w:sz="2" w:space="0"/>
              <w:bottom w:val="single" w:color="CCCCCC" w:sz="2" w:space="0"/>
              <w:right w:val="single" w:color="CCCCCC" w:sz="2" w:space="0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9942ED1">
            <w:pPr>
              <w:spacing w:after="160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color w:val="auto"/>
                <w:sz w:val="21"/>
                <w:szCs w:val="21"/>
              </w:rPr>
              <w:t>***</w:t>
            </w:r>
          </w:p>
        </w:tc>
        <w:tc>
          <w:tcPr>
            <w:tcW w:w="903" w:type="dxa"/>
            <w:tcBorders>
              <w:top w:val="single" w:color="CCCCCC" w:sz="2" w:space="0"/>
              <w:left w:val="single" w:color="CCCCCC" w:sz="2" w:space="0"/>
              <w:bottom w:val="single" w:color="CCCCCC" w:sz="2" w:space="0"/>
              <w:right w:val="single" w:color="CCCCCC" w:sz="2" w:space="0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D29464A">
            <w:pPr>
              <w:spacing w:after="160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color w:val="auto"/>
                <w:sz w:val="21"/>
                <w:szCs w:val="21"/>
              </w:rPr>
              <w:t>***</w:t>
            </w:r>
          </w:p>
        </w:tc>
      </w:tr>
      <w:tr w14:paraId="2958F7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00" w:type="dxa"/>
            <w:tcBorders>
              <w:top w:val="single" w:color="CCCCCC" w:sz="2" w:space="0"/>
              <w:left w:val="single" w:color="CCCCCC" w:sz="2" w:space="0"/>
              <w:bottom w:val="single" w:color="CCCCCC" w:sz="2" w:space="0"/>
              <w:right w:val="single" w:color="CCCCCC" w:sz="2" w:space="0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3991AC6">
            <w:pPr>
              <w:spacing w:after="160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Arial" w:cs="Times New Roman"/>
                <w:color w:val="auto"/>
                <w:sz w:val="21"/>
                <w:szCs w:val="21"/>
              </w:rPr>
              <w:t>H9: Resilience index</w:t>
            </w:r>
          </w:p>
        </w:tc>
        <w:tc>
          <w:tcPr>
            <w:tcW w:w="903" w:type="dxa"/>
            <w:tcBorders>
              <w:top w:val="single" w:color="CCCCCC" w:sz="2" w:space="0"/>
              <w:left w:val="single" w:color="CCCCCC" w:sz="2" w:space="0"/>
              <w:bottom w:val="single" w:color="CCCCCC" w:sz="2" w:space="0"/>
              <w:right w:val="single" w:color="CCCCCC" w:sz="2" w:space="0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E7DFBF6">
            <w:pPr>
              <w:spacing w:after="160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color w:val="auto"/>
                <w:sz w:val="21"/>
                <w:szCs w:val="21"/>
              </w:rPr>
              <w:t>*</w:t>
            </w:r>
          </w:p>
        </w:tc>
        <w:tc>
          <w:tcPr>
            <w:tcW w:w="903" w:type="dxa"/>
            <w:tcBorders>
              <w:top w:val="single" w:color="CCCCCC" w:sz="2" w:space="0"/>
              <w:left w:val="single" w:color="CCCCCC" w:sz="2" w:space="0"/>
              <w:bottom w:val="single" w:color="CCCCCC" w:sz="2" w:space="0"/>
              <w:right w:val="single" w:color="CCCCCC" w:sz="2" w:space="0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23BD9A3">
            <w:pPr>
              <w:spacing w:after="160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color w:val="auto"/>
                <w:sz w:val="21"/>
                <w:szCs w:val="21"/>
              </w:rPr>
              <w:t>***</w:t>
            </w:r>
          </w:p>
        </w:tc>
        <w:tc>
          <w:tcPr>
            <w:tcW w:w="903" w:type="dxa"/>
            <w:tcBorders>
              <w:top w:val="single" w:color="CCCCCC" w:sz="2" w:space="0"/>
              <w:left w:val="single" w:color="CCCCCC" w:sz="2" w:space="0"/>
              <w:bottom w:val="single" w:color="CCCCCC" w:sz="2" w:space="0"/>
              <w:right w:val="single" w:color="CCCCCC" w:sz="2" w:space="0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AFF0616">
            <w:pPr>
              <w:spacing w:after="160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color w:val="auto"/>
                <w:sz w:val="21"/>
                <w:szCs w:val="21"/>
              </w:rPr>
              <w:t>***</w:t>
            </w:r>
          </w:p>
        </w:tc>
        <w:tc>
          <w:tcPr>
            <w:tcW w:w="903" w:type="dxa"/>
            <w:tcBorders>
              <w:top w:val="single" w:color="CCCCCC" w:sz="2" w:space="0"/>
              <w:left w:val="single" w:color="CCCCCC" w:sz="2" w:space="0"/>
              <w:bottom w:val="single" w:color="CCCCCC" w:sz="2" w:space="0"/>
              <w:right w:val="single" w:color="CCCCCC" w:sz="2" w:space="0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030A0EC">
            <w:pPr>
              <w:spacing w:after="160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color w:val="auto"/>
                <w:sz w:val="21"/>
                <w:szCs w:val="21"/>
              </w:rPr>
              <w:t>***</w:t>
            </w:r>
          </w:p>
        </w:tc>
        <w:tc>
          <w:tcPr>
            <w:tcW w:w="903" w:type="dxa"/>
            <w:tcBorders>
              <w:top w:val="single" w:color="CCCCCC" w:sz="2" w:space="0"/>
              <w:left w:val="single" w:color="CCCCCC" w:sz="2" w:space="0"/>
              <w:bottom w:val="single" w:color="CCCCCC" w:sz="2" w:space="0"/>
              <w:right w:val="single" w:color="CCCCCC" w:sz="2" w:space="0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041A170">
            <w:pPr>
              <w:spacing w:after="160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auto"/>
                <w:sz w:val="21"/>
                <w:szCs w:val="21"/>
              </w:rPr>
              <w:t>ns</w:t>
            </w:r>
          </w:p>
        </w:tc>
        <w:tc>
          <w:tcPr>
            <w:tcW w:w="903" w:type="dxa"/>
            <w:tcBorders>
              <w:top w:val="single" w:color="CCCCCC" w:sz="2" w:space="0"/>
              <w:left w:val="single" w:color="CCCCCC" w:sz="2" w:space="0"/>
              <w:bottom w:val="single" w:color="CCCCCC" w:sz="2" w:space="0"/>
              <w:right w:val="single" w:color="CCCCCC" w:sz="2" w:space="0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7662093">
            <w:pPr>
              <w:spacing w:after="160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color w:val="auto"/>
                <w:sz w:val="21"/>
                <w:szCs w:val="21"/>
              </w:rPr>
              <w:t>***</w:t>
            </w:r>
          </w:p>
        </w:tc>
        <w:tc>
          <w:tcPr>
            <w:tcW w:w="903" w:type="dxa"/>
            <w:tcBorders>
              <w:top w:val="single" w:color="CCCCCC" w:sz="2" w:space="0"/>
              <w:left w:val="single" w:color="CCCCCC" w:sz="2" w:space="0"/>
              <w:bottom w:val="single" w:color="CCCCCC" w:sz="2" w:space="0"/>
              <w:right w:val="single" w:color="CCCCCC" w:sz="2" w:space="0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626C502">
            <w:pPr>
              <w:spacing w:after="160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color w:val="auto"/>
                <w:sz w:val="21"/>
                <w:szCs w:val="21"/>
              </w:rPr>
              <w:t>***</w:t>
            </w:r>
          </w:p>
        </w:tc>
      </w:tr>
      <w:tr w14:paraId="6A475B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00" w:type="dxa"/>
            <w:tcBorders>
              <w:top w:val="single" w:color="CCCCCC" w:sz="2" w:space="0"/>
              <w:left w:val="single" w:color="CCCCCC" w:sz="2" w:space="0"/>
              <w:bottom w:val="single" w:color="CCCCCC" w:sz="2" w:space="0"/>
              <w:right w:val="single" w:color="CCCCCC" w:sz="2" w:space="0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E6EA313">
            <w:pPr>
              <w:spacing w:after="160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Arial" w:cs="Times New Roman"/>
                <w:color w:val="auto"/>
                <w:sz w:val="21"/>
                <w:szCs w:val="21"/>
              </w:rPr>
              <w:t>H10: Coordination number</w:t>
            </w:r>
          </w:p>
        </w:tc>
        <w:tc>
          <w:tcPr>
            <w:tcW w:w="903" w:type="dxa"/>
            <w:tcBorders>
              <w:top w:val="single" w:color="CCCCCC" w:sz="2" w:space="0"/>
              <w:left w:val="single" w:color="CCCCCC" w:sz="2" w:space="0"/>
              <w:bottom w:val="single" w:color="CCCCCC" w:sz="2" w:space="0"/>
              <w:right w:val="single" w:color="CCCCCC" w:sz="2" w:space="0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02E5CC0">
            <w:pPr>
              <w:spacing w:after="160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color w:val="auto"/>
                <w:sz w:val="21"/>
                <w:szCs w:val="21"/>
              </w:rPr>
              <w:t>***</w:t>
            </w:r>
          </w:p>
        </w:tc>
        <w:tc>
          <w:tcPr>
            <w:tcW w:w="903" w:type="dxa"/>
            <w:tcBorders>
              <w:top w:val="single" w:color="CCCCCC" w:sz="2" w:space="0"/>
              <w:left w:val="single" w:color="CCCCCC" w:sz="2" w:space="0"/>
              <w:bottom w:val="single" w:color="CCCCCC" w:sz="2" w:space="0"/>
              <w:right w:val="single" w:color="CCCCCC" w:sz="2" w:space="0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3BBFE8D">
            <w:pPr>
              <w:spacing w:after="160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color w:val="auto"/>
                <w:sz w:val="21"/>
                <w:szCs w:val="21"/>
              </w:rPr>
              <w:t>***</w:t>
            </w:r>
          </w:p>
        </w:tc>
        <w:tc>
          <w:tcPr>
            <w:tcW w:w="903" w:type="dxa"/>
            <w:tcBorders>
              <w:top w:val="single" w:color="CCCCCC" w:sz="2" w:space="0"/>
              <w:left w:val="single" w:color="CCCCCC" w:sz="2" w:space="0"/>
              <w:bottom w:val="single" w:color="CCCCCC" w:sz="2" w:space="0"/>
              <w:right w:val="single" w:color="CCCCCC" w:sz="2" w:space="0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F6C71EB">
            <w:pPr>
              <w:spacing w:after="160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color w:val="auto"/>
                <w:sz w:val="21"/>
                <w:szCs w:val="21"/>
              </w:rPr>
              <w:t>***</w:t>
            </w:r>
          </w:p>
        </w:tc>
        <w:tc>
          <w:tcPr>
            <w:tcW w:w="903" w:type="dxa"/>
            <w:tcBorders>
              <w:top w:val="single" w:color="CCCCCC" w:sz="2" w:space="0"/>
              <w:left w:val="single" w:color="CCCCCC" w:sz="2" w:space="0"/>
              <w:bottom w:val="single" w:color="CCCCCC" w:sz="2" w:space="0"/>
              <w:right w:val="single" w:color="CCCCCC" w:sz="2" w:space="0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447D010">
            <w:pPr>
              <w:spacing w:after="160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color w:val="auto"/>
                <w:sz w:val="21"/>
                <w:szCs w:val="21"/>
              </w:rPr>
              <w:t>***</w:t>
            </w:r>
          </w:p>
        </w:tc>
        <w:tc>
          <w:tcPr>
            <w:tcW w:w="903" w:type="dxa"/>
            <w:tcBorders>
              <w:top w:val="single" w:color="CCCCCC" w:sz="2" w:space="0"/>
              <w:left w:val="single" w:color="CCCCCC" w:sz="2" w:space="0"/>
              <w:bottom w:val="single" w:color="CCCCCC" w:sz="2" w:space="0"/>
              <w:right w:val="single" w:color="CCCCCC" w:sz="2" w:space="0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3FC9B64">
            <w:pPr>
              <w:spacing w:after="160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color w:val="auto"/>
                <w:sz w:val="21"/>
                <w:szCs w:val="21"/>
              </w:rPr>
              <w:t>***</w:t>
            </w:r>
          </w:p>
        </w:tc>
        <w:tc>
          <w:tcPr>
            <w:tcW w:w="903" w:type="dxa"/>
            <w:tcBorders>
              <w:top w:val="single" w:color="CCCCCC" w:sz="2" w:space="0"/>
              <w:left w:val="single" w:color="CCCCCC" w:sz="2" w:space="0"/>
              <w:bottom w:val="single" w:color="CCCCCC" w:sz="2" w:space="0"/>
              <w:right w:val="single" w:color="CCCCCC" w:sz="2" w:space="0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B496926">
            <w:pPr>
              <w:spacing w:after="160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color w:val="auto"/>
                <w:sz w:val="21"/>
                <w:szCs w:val="21"/>
              </w:rPr>
              <w:t>***</w:t>
            </w:r>
          </w:p>
        </w:tc>
        <w:tc>
          <w:tcPr>
            <w:tcW w:w="903" w:type="dxa"/>
            <w:tcBorders>
              <w:top w:val="single" w:color="CCCCCC" w:sz="2" w:space="0"/>
              <w:left w:val="single" w:color="CCCCCC" w:sz="2" w:space="0"/>
              <w:bottom w:val="single" w:color="CCCCCC" w:sz="2" w:space="0"/>
              <w:right w:val="single" w:color="CCCCCC" w:sz="2" w:space="0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E6B7DE1">
            <w:pPr>
              <w:spacing w:after="160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color w:val="auto"/>
                <w:sz w:val="21"/>
                <w:szCs w:val="21"/>
              </w:rPr>
              <w:t>***</w:t>
            </w:r>
          </w:p>
        </w:tc>
      </w:tr>
      <w:tr w14:paraId="0951E0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00" w:type="dxa"/>
            <w:tcBorders>
              <w:top w:val="single" w:color="CCCCCC" w:sz="2" w:space="0"/>
              <w:left w:val="single" w:color="CCCCCC" w:sz="2" w:space="0"/>
              <w:bottom w:val="single" w:color="CCCCCC" w:sz="2" w:space="0"/>
              <w:right w:val="single" w:color="CCCCCC" w:sz="2" w:space="0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4BFCE97">
            <w:pPr>
              <w:spacing w:after="160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Arial" w:cs="Times New Roman"/>
                <w:color w:val="auto"/>
                <w:sz w:val="21"/>
                <w:szCs w:val="21"/>
              </w:rPr>
              <w:t>H11: DEI</w:t>
            </w:r>
          </w:p>
        </w:tc>
        <w:tc>
          <w:tcPr>
            <w:tcW w:w="903" w:type="dxa"/>
            <w:tcBorders>
              <w:top w:val="single" w:color="CCCCCC" w:sz="2" w:space="0"/>
              <w:left w:val="single" w:color="CCCCCC" w:sz="2" w:space="0"/>
              <w:bottom w:val="single" w:color="CCCCCC" w:sz="2" w:space="0"/>
              <w:right w:val="single" w:color="CCCCCC" w:sz="2" w:space="0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75F9D11">
            <w:pPr>
              <w:spacing w:after="160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auto"/>
                <w:sz w:val="21"/>
                <w:szCs w:val="21"/>
              </w:rPr>
              <w:t>ns</w:t>
            </w:r>
          </w:p>
        </w:tc>
        <w:tc>
          <w:tcPr>
            <w:tcW w:w="903" w:type="dxa"/>
            <w:tcBorders>
              <w:top w:val="single" w:color="CCCCCC" w:sz="2" w:space="0"/>
              <w:left w:val="single" w:color="CCCCCC" w:sz="2" w:space="0"/>
              <w:bottom w:val="single" w:color="CCCCCC" w:sz="2" w:space="0"/>
              <w:right w:val="single" w:color="CCCCCC" w:sz="2" w:space="0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E638916">
            <w:pPr>
              <w:spacing w:after="160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auto"/>
                <w:sz w:val="21"/>
                <w:szCs w:val="21"/>
              </w:rPr>
              <w:t>ns</w:t>
            </w:r>
          </w:p>
        </w:tc>
        <w:tc>
          <w:tcPr>
            <w:tcW w:w="903" w:type="dxa"/>
            <w:tcBorders>
              <w:top w:val="single" w:color="CCCCCC" w:sz="2" w:space="0"/>
              <w:left w:val="single" w:color="CCCCCC" w:sz="2" w:space="0"/>
              <w:bottom w:val="single" w:color="CCCCCC" w:sz="2" w:space="0"/>
              <w:right w:val="single" w:color="CCCCCC" w:sz="2" w:space="0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D36E48F">
            <w:pPr>
              <w:spacing w:after="160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color w:val="auto"/>
                <w:sz w:val="21"/>
                <w:szCs w:val="21"/>
              </w:rPr>
              <w:t>***</w:t>
            </w:r>
          </w:p>
        </w:tc>
        <w:tc>
          <w:tcPr>
            <w:tcW w:w="903" w:type="dxa"/>
            <w:tcBorders>
              <w:top w:val="single" w:color="CCCCCC" w:sz="2" w:space="0"/>
              <w:left w:val="single" w:color="CCCCCC" w:sz="2" w:space="0"/>
              <w:bottom w:val="single" w:color="CCCCCC" w:sz="2" w:space="0"/>
              <w:right w:val="single" w:color="CCCCCC" w:sz="2" w:space="0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C65BAF1">
            <w:pPr>
              <w:spacing w:after="160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color w:val="auto"/>
                <w:sz w:val="21"/>
                <w:szCs w:val="21"/>
              </w:rPr>
              <w:t>**</w:t>
            </w:r>
          </w:p>
        </w:tc>
        <w:tc>
          <w:tcPr>
            <w:tcW w:w="903" w:type="dxa"/>
            <w:tcBorders>
              <w:top w:val="single" w:color="CCCCCC" w:sz="2" w:space="0"/>
              <w:left w:val="single" w:color="CCCCCC" w:sz="2" w:space="0"/>
              <w:bottom w:val="single" w:color="CCCCCC" w:sz="2" w:space="0"/>
              <w:right w:val="single" w:color="CCCCCC" w:sz="2" w:space="0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58AD3C3">
            <w:pPr>
              <w:spacing w:after="160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auto"/>
                <w:sz w:val="21"/>
                <w:szCs w:val="21"/>
              </w:rPr>
              <w:t>ns</w:t>
            </w:r>
          </w:p>
        </w:tc>
        <w:tc>
          <w:tcPr>
            <w:tcW w:w="903" w:type="dxa"/>
            <w:tcBorders>
              <w:top w:val="single" w:color="CCCCCC" w:sz="2" w:space="0"/>
              <w:left w:val="single" w:color="CCCCCC" w:sz="2" w:space="0"/>
              <w:bottom w:val="single" w:color="CCCCCC" w:sz="2" w:space="0"/>
              <w:right w:val="single" w:color="CCCCCC" w:sz="2" w:space="0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C6287EB">
            <w:pPr>
              <w:spacing w:after="160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color w:val="auto"/>
                <w:sz w:val="21"/>
                <w:szCs w:val="21"/>
              </w:rPr>
              <w:t>**</w:t>
            </w:r>
          </w:p>
        </w:tc>
        <w:tc>
          <w:tcPr>
            <w:tcW w:w="903" w:type="dxa"/>
            <w:tcBorders>
              <w:top w:val="single" w:color="CCCCCC" w:sz="2" w:space="0"/>
              <w:left w:val="single" w:color="CCCCCC" w:sz="2" w:space="0"/>
              <w:bottom w:val="single" w:color="CCCCCC" w:sz="2" w:space="0"/>
              <w:right w:val="single" w:color="CCCCCC" w:sz="2" w:space="0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E2F69D1">
            <w:pPr>
              <w:spacing w:after="160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color w:val="auto"/>
                <w:sz w:val="21"/>
                <w:szCs w:val="21"/>
              </w:rPr>
              <w:t>ns</w:t>
            </w:r>
          </w:p>
        </w:tc>
      </w:tr>
      <w:tr w14:paraId="457685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00" w:type="dxa"/>
            <w:tcBorders>
              <w:top w:val="single" w:color="CCCCCC" w:sz="2" w:space="0"/>
              <w:left w:val="single" w:color="CCCCCC" w:sz="2" w:space="0"/>
              <w:bottom w:val="single" w:color="CCCCCC" w:sz="2" w:space="0"/>
              <w:right w:val="single" w:color="CCCCCC" w:sz="2" w:space="0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FD909F6">
            <w:pPr>
              <w:spacing w:after="160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Arial" w:cs="Times New Roman"/>
                <w:color w:val="auto"/>
                <w:sz w:val="21"/>
                <w:szCs w:val="21"/>
              </w:rPr>
              <w:t>H12: Weakness gap</w:t>
            </w:r>
          </w:p>
        </w:tc>
        <w:tc>
          <w:tcPr>
            <w:tcW w:w="903" w:type="dxa"/>
            <w:tcBorders>
              <w:top w:val="single" w:color="CCCCCC" w:sz="2" w:space="0"/>
              <w:left w:val="single" w:color="CCCCCC" w:sz="2" w:space="0"/>
              <w:bottom w:val="single" w:color="CCCCCC" w:sz="2" w:space="0"/>
              <w:right w:val="single" w:color="CCCCCC" w:sz="2" w:space="0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CE64287">
            <w:pPr>
              <w:spacing w:after="160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color w:val="auto"/>
                <w:sz w:val="21"/>
                <w:szCs w:val="21"/>
              </w:rPr>
              <w:t>***</w:t>
            </w:r>
          </w:p>
        </w:tc>
        <w:tc>
          <w:tcPr>
            <w:tcW w:w="903" w:type="dxa"/>
            <w:tcBorders>
              <w:top w:val="single" w:color="CCCCCC" w:sz="2" w:space="0"/>
              <w:left w:val="single" w:color="CCCCCC" w:sz="2" w:space="0"/>
              <w:bottom w:val="single" w:color="CCCCCC" w:sz="2" w:space="0"/>
              <w:right w:val="single" w:color="CCCCCC" w:sz="2" w:space="0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2A12F8B">
            <w:pPr>
              <w:spacing w:after="160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color w:val="auto"/>
                <w:sz w:val="21"/>
                <w:szCs w:val="21"/>
              </w:rPr>
              <w:t>***</w:t>
            </w:r>
          </w:p>
        </w:tc>
        <w:tc>
          <w:tcPr>
            <w:tcW w:w="903" w:type="dxa"/>
            <w:tcBorders>
              <w:top w:val="single" w:color="CCCCCC" w:sz="2" w:space="0"/>
              <w:left w:val="single" w:color="CCCCCC" w:sz="2" w:space="0"/>
              <w:bottom w:val="single" w:color="CCCCCC" w:sz="2" w:space="0"/>
              <w:right w:val="single" w:color="CCCCCC" w:sz="2" w:space="0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22BC626">
            <w:pPr>
              <w:spacing w:after="160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color w:val="auto"/>
                <w:sz w:val="21"/>
                <w:szCs w:val="21"/>
              </w:rPr>
              <w:t>***</w:t>
            </w:r>
          </w:p>
        </w:tc>
        <w:tc>
          <w:tcPr>
            <w:tcW w:w="903" w:type="dxa"/>
            <w:tcBorders>
              <w:top w:val="single" w:color="CCCCCC" w:sz="2" w:space="0"/>
              <w:left w:val="single" w:color="CCCCCC" w:sz="2" w:space="0"/>
              <w:bottom w:val="single" w:color="CCCCCC" w:sz="2" w:space="0"/>
              <w:right w:val="single" w:color="CCCCCC" w:sz="2" w:space="0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9FE20CE">
            <w:pPr>
              <w:spacing w:after="160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color w:val="auto"/>
                <w:sz w:val="21"/>
                <w:szCs w:val="21"/>
              </w:rPr>
              <w:t>***</w:t>
            </w:r>
          </w:p>
        </w:tc>
        <w:tc>
          <w:tcPr>
            <w:tcW w:w="903" w:type="dxa"/>
            <w:tcBorders>
              <w:top w:val="single" w:color="CCCCCC" w:sz="2" w:space="0"/>
              <w:left w:val="single" w:color="CCCCCC" w:sz="2" w:space="0"/>
              <w:bottom w:val="single" w:color="CCCCCC" w:sz="2" w:space="0"/>
              <w:right w:val="single" w:color="CCCCCC" w:sz="2" w:space="0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78D5FB7">
            <w:pPr>
              <w:spacing w:after="160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color w:val="auto"/>
                <w:sz w:val="21"/>
                <w:szCs w:val="21"/>
              </w:rPr>
              <w:t>***</w:t>
            </w:r>
          </w:p>
        </w:tc>
        <w:tc>
          <w:tcPr>
            <w:tcW w:w="903" w:type="dxa"/>
            <w:tcBorders>
              <w:top w:val="single" w:color="CCCCCC" w:sz="2" w:space="0"/>
              <w:left w:val="single" w:color="CCCCCC" w:sz="2" w:space="0"/>
              <w:bottom w:val="single" w:color="CCCCCC" w:sz="2" w:space="0"/>
              <w:right w:val="single" w:color="CCCCCC" w:sz="2" w:space="0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89BFED0">
            <w:pPr>
              <w:spacing w:after="160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color w:val="auto"/>
                <w:sz w:val="21"/>
                <w:szCs w:val="21"/>
              </w:rPr>
              <w:t>***</w:t>
            </w:r>
          </w:p>
        </w:tc>
        <w:tc>
          <w:tcPr>
            <w:tcW w:w="903" w:type="dxa"/>
            <w:tcBorders>
              <w:top w:val="single" w:color="CCCCCC" w:sz="2" w:space="0"/>
              <w:left w:val="single" w:color="CCCCCC" w:sz="2" w:space="0"/>
              <w:bottom w:val="single" w:color="CCCCCC" w:sz="2" w:space="0"/>
              <w:right w:val="single" w:color="CCCCCC" w:sz="2" w:space="0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C44758B">
            <w:pPr>
              <w:spacing w:after="160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color w:val="auto"/>
                <w:sz w:val="21"/>
                <w:szCs w:val="21"/>
              </w:rPr>
              <w:t>***</w:t>
            </w:r>
          </w:p>
        </w:tc>
      </w:tr>
    </w:tbl>
    <w:p w14:paraId="4E11E75B">
      <w:pPr>
        <w:spacing w:after="160"/>
        <w:rPr>
          <w:rFonts w:hint="default" w:ascii="Times New Roman" w:hAnsi="Times New Roman" w:cs="Times New Roman"/>
          <w:color w:val="auto"/>
        </w:rPr>
      </w:pPr>
    </w:p>
    <w:p w14:paraId="6415232E">
      <w:pPr>
        <w:spacing w:before="240" w:after="80"/>
        <w:rPr>
          <w:rFonts w:hint="default" w:ascii="Times New Roman" w:hAnsi="Times New Roman" w:cs="Times New Roman"/>
          <w:color w:val="auto"/>
          <w:sz w:val="21"/>
          <w:szCs w:val="21"/>
          <w:u w:val="none"/>
        </w:rPr>
      </w:pPr>
      <w:r>
        <w:rPr>
          <w:rFonts w:hint="default" w:ascii="Times New Roman" w:hAnsi="Times New Roman" w:eastAsia="Arial" w:cs="Times New Roman"/>
          <w:b/>
          <w:bCs/>
          <w:color w:val="auto"/>
          <w:sz w:val="21"/>
          <w:szCs w:val="21"/>
          <w:u w:val="none"/>
        </w:rPr>
        <w:t>Notes on deviations from uniform *** significance</w:t>
      </w:r>
    </w:p>
    <w:p w14:paraId="04FED049">
      <w:pPr>
        <w:spacing w:after="160"/>
        <w:rPr>
          <w:rFonts w:hint="default" w:ascii="Times New Roman" w:hAnsi="Times New Roman" w:cs="Times New Roman"/>
          <w:color w:val="auto"/>
          <w:sz w:val="21"/>
          <w:szCs w:val="21"/>
        </w:rPr>
      </w:pPr>
      <w:r>
        <w:rPr>
          <w:rFonts w:hint="default" w:ascii="Times New Roman" w:hAnsi="Times New Roman" w:eastAsia="Arial" w:cs="Times New Roman"/>
          <w:b/>
          <w:bCs/>
          <w:color w:val="auto"/>
          <w:sz w:val="21"/>
          <w:szCs w:val="21"/>
        </w:rPr>
        <w:t xml:space="preserve">H4 (Mean fracture strength), BL and WE25: </w:t>
      </w:r>
      <w:r>
        <w:rPr>
          <w:rFonts w:hint="default" w:ascii="Times New Roman" w:hAnsi="Times New Roman" w:eastAsia="Arial" w:cs="Times New Roman"/>
          <w:color w:val="auto"/>
          <w:sz w:val="21"/>
          <w:szCs w:val="21"/>
        </w:rPr>
        <w:t>Both reach ** rather than ***. The effect is present in the expected direction (goal &lt; non-goal) in both competitions; reduced significance reflects smaller goal-possession sample sizes (BL: n = 660; WE25: n = 600) relative to the pooled analysis.</w:t>
      </w:r>
    </w:p>
    <w:p w14:paraId="748104DA">
      <w:pPr>
        <w:spacing w:after="160"/>
        <w:rPr>
          <w:rFonts w:hint="default" w:ascii="Times New Roman" w:hAnsi="Times New Roman" w:cs="Times New Roman"/>
          <w:color w:val="auto"/>
          <w:sz w:val="21"/>
          <w:szCs w:val="21"/>
        </w:rPr>
      </w:pPr>
      <w:r>
        <w:rPr>
          <w:rFonts w:hint="default" w:ascii="Times New Roman" w:hAnsi="Times New Roman" w:eastAsia="Arial" w:cs="Times New Roman"/>
          <w:b/>
          <w:bCs/>
          <w:color w:val="auto"/>
          <w:sz w:val="21"/>
          <w:szCs w:val="21"/>
        </w:rPr>
        <w:t xml:space="preserve">H9 (Resilience index), WE25 ns / BL *: </w:t>
      </w:r>
      <w:r>
        <w:rPr>
          <w:rFonts w:hint="default" w:ascii="Times New Roman" w:hAnsi="Times New Roman" w:eastAsia="Arial" w:cs="Times New Roman"/>
          <w:color w:val="auto"/>
          <w:sz w:val="21"/>
          <w:szCs w:val="21"/>
        </w:rPr>
        <w:t>Women’s Euro 2025 is non-significant (p = 0.145); Bundesliga reaches * (p = 0.012). The mean resilience difference is below 0.012 in both competitions, consistent with the overall small pooled effect size (rank-biserial r</w:t>
      </w:r>
      <w:r>
        <w:rPr>
          <w:rFonts w:hint="default" w:ascii="Times New Roman" w:hAnsi="Times New Roman" w:eastAsia="Arial" w:cs="Times New Roman"/>
          <w:color w:val="auto"/>
          <w:sz w:val="21"/>
          <w:szCs w:val="21"/>
          <w:vertAlign w:val="superscript"/>
        </w:rPr>
        <w:t>rb</w:t>
      </w:r>
      <w:r>
        <w:rPr>
          <w:rFonts w:hint="default" w:ascii="Times New Roman" w:hAnsi="Times New Roman" w:eastAsia="Arial" w:cs="Times New Roman"/>
          <w:color w:val="auto"/>
          <w:sz w:val="21"/>
          <w:szCs w:val="21"/>
        </w:rPr>
        <w:t> = −0.096). The H9 effect is primarily driven by larger-sample international tournaments.</w:t>
      </w:r>
    </w:p>
    <w:p w14:paraId="2C6FE25D">
      <w:pPr>
        <w:spacing w:after="160"/>
        <w:rPr>
          <w:rFonts w:hint="default" w:ascii="Times New Roman" w:hAnsi="Times New Roman" w:eastAsia="宋体" w:cs="Times New Roman"/>
          <w:color w:val="auto"/>
          <w:sz w:val="21"/>
          <w:szCs w:val="21"/>
          <w:lang w:val="en-US" w:eastAsia="zh-CN"/>
        </w:rPr>
      </w:pPr>
      <w:r>
        <w:rPr>
          <w:rFonts w:hint="default" w:ascii="Times New Roman" w:hAnsi="Times New Roman" w:eastAsia="Arial" w:cs="Times New Roman"/>
          <w:b/>
          <w:bCs/>
          <w:color w:val="auto"/>
          <w:sz w:val="21"/>
          <w:szCs w:val="21"/>
        </w:rPr>
        <w:t xml:space="preserve">H11 (DEI) — significant in 3/7 competitions: </w:t>
      </w:r>
      <w:r>
        <w:rPr>
          <w:rFonts w:hint="default" w:ascii="Times New Roman" w:hAnsi="Times New Roman" w:eastAsia="Arial" w:cs="Times New Roman"/>
          <w:color w:val="auto"/>
          <w:sz w:val="21"/>
          <w:szCs w:val="21"/>
        </w:rPr>
        <w:t>DEI reaches significance in Euro 2024 (*** p = 2.6 × 10</w:t>
      </w:r>
      <w:r>
        <w:rPr>
          <w:rFonts w:hint="default" w:ascii="Times New Roman" w:hAnsi="Times New Roman" w:eastAsia="Arial" w:cs="Times New Roman"/>
          <w:color w:val="auto"/>
          <w:sz w:val="21"/>
          <w:szCs w:val="21"/>
          <w:vertAlign w:val="superscript"/>
        </w:rPr>
        <w:t>−4</w:t>
      </w:r>
      <w:r>
        <w:rPr>
          <w:rFonts w:hint="default" w:ascii="Times New Roman" w:hAnsi="Times New Roman" w:eastAsia="Arial" w:cs="Times New Roman"/>
          <w:color w:val="auto"/>
          <w:sz w:val="21"/>
          <w:szCs w:val="21"/>
        </w:rPr>
        <w:t>), Women’s Euro 2022 (** p = 0.003), and Women’s World Cup 2023 (** p = 0.001). In Bundesliga, Euro 2020, Women’s Euro 2025, and World Cup 2022 the within-competition difference is non-significant (p = 0.19––0.79). The pooled effect across all competitions is significant (p = 5.8 × 10</w:t>
      </w:r>
      <w:r>
        <w:rPr>
          <w:rFonts w:hint="default" w:ascii="Times New Roman" w:hAnsi="Times New Roman" w:eastAsia="Arial" w:cs="Times New Roman"/>
          <w:color w:val="auto"/>
          <w:sz w:val="21"/>
          <w:szCs w:val="21"/>
          <w:vertAlign w:val="superscript"/>
        </w:rPr>
        <w:t>−7</w:t>
      </w:r>
      <w:r>
        <w:rPr>
          <w:rFonts w:hint="default" w:ascii="Times New Roman" w:hAnsi="Times New Roman" w:eastAsia="Arial" w:cs="Times New Roman"/>
          <w:color w:val="auto"/>
          <w:sz w:val="21"/>
          <w:szCs w:val="21"/>
        </w:rPr>
        <w:t>) owing to the large combined sample (n = 190,732). DEI should be understood as a weak composite structural index whose per-competition discriminative power is limited</w:t>
      </w:r>
      <w:r>
        <w:rPr>
          <w:rFonts w:hint="default" w:ascii="Times New Roman" w:hAnsi="Times New Roman" w:eastAsia="宋体" w:cs="Times New Roman"/>
          <w:color w:val="auto"/>
          <w:sz w:val="21"/>
          <w:szCs w:val="21"/>
          <w:lang w:val="en-US" w:eastAsia="zh-CN"/>
        </w:rPr>
        <w:t>.</w:t>
      </w:r>
    </w:p>
    <w:p w14:paraId="187814CA">
      <w:pPr>
        <w:spacing w:before="360" w:after="160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eastAsia="Arial" w:cs="Times New Roman"/>
          <w:b/>
          <w:bCs/>
          <w:color w:val="auto"/>
          <w:sz w:val="28"/>
          <w:szCs w:val="28"/>
        </w:rPr>
        <w:t>S5.  Software and Reproducibility</w:t>
      </w:r>
    </w:p>
    <w:p w14:paraId="1FAAA39E">
      <w:pPr>
        <w:spacing w:after="60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eastAsia="Arial" w:cs="Times New Roman"/>
          <w:color w:val="auto"/>
          <w:sz w:val="22"/>
          <w:szCs w:val="22"/>
        </w:rPr>
        <w:t>Programming language: Python 3.11</w:t>
      </w:r>
    </w:p>
    <w:p w14:paraId="30823BB7">
      <w:pPr>
        <w:spacing w:after="60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eastAsia="Arial" w:cs="Times New Roman"/>
          <w:color w:val="auto"/>
          <w:sz w:val="22"/>
          <w:szCs w:val="22"/>
        </w:rPr>
        <w:t>Core packages:     NumPy 1.26, SciPy 1.11, pandas 2.1, matplotlib 3.8</w:t>
      </w:r>
    </w:p>
    <w:p w14:paraId="72F817B7">
      <w:pPr>
        <w:spacing w:after="160"/>
        <w:rPr>
          <w:rFonts w:hint="default" w:ascii="Times New Roman" w:hAnsi="Times New Roman" w:cs="Times New Roman"/>
          <w:color w:val="auto"/>
        </w:rPr>
      </w:pPr>
    </w:p>
    <w:p w14:paraId="603FEAAF">
      <w:pPr>
        <w:spacing w:after="60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eastAsia="Arial" w:cs="Times New Roman"/>
          <w:color w:val="auto"/>
          <w:sz w:val="22"/>
          <w:szCs w:val="22"/>
        </w:rPr>
        <w:t>Analysis scripts (in execution order):</w:t>
      </w:r>
    </w:p>
    <w:p w14:paraId="58DFA311">
      <w:pPr>
        <w:spacing w:after="60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eastAsia="Arial" w:cs="Times New Roman"/>
          <w:color w:val="auto"/>
          <w:sz w:val="22"/>
          <w:szCs w:val="22"/>
        </w:rPr>
        <w:t> 01_build_bonds.py     Constructs pairwise bond networks from defending-player coordinates</w:t>
      </w:r>
    </w:p>
    <w:p w14:paraId="3EAA3B58">
      <w:pPr>
        <w:spacing w:after="60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eastAsia="Arial" w:cs="Times New Roman"/>
          <w:color w:val="auto"/>
          <w:sz w:val="22"/>
          <w:szCs w:val="22"/>
        </w:rPr>
        <w:t> 02_morse_potential.py   Assigns Gaussian-attenuated Morse bond strengths; outputs weakest-bond statistics</w:t>
      </w:r>
    </w:p>
    <w:p w14:paraId="423A0F88">
      <w:pPr>
        <w:spacing w:after="60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eastAsia="Arial" w:cs="Times New Roman"/>
          <w:color w:val="auto"/>
          <w:sz w:val="22"/>
          <w:szCs w:val="22"/>
        </w:rPr>
        <w:t> 03_cascade_detection.py  Applies attack-damage model; computes cascade fracture metrics per possession</w:t>
      </w:r>
    </w:p>
    <w:p w14:paraId="0A8208F0">
      <w:pPr>
        <w:spacing w:after="60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eastAsia="Arial" w:cs="Times New Roman"/>
          <w:color w:val="auto"/>
          <w:sz w:val="22"/>
          <w:szCs w:val="22"/>
        </w:rPr>
        <w:t> 04_network_resilience.py Computes resilience index, DEI, coordination number; runs logistic regression</w:t>
      </w:r>
    </w:p>
    <w:p w14:paraId="6AC2D325">
      <w:pPr>
        <w:spacing w:after="60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eastAsia="Arial" w:cs="Times New Roman"/>
          <w:color w:val="auto"/>
          <w:sz w:val="22"/>
          <w:szCs w:val="22"/>
        </w:rPr>
        <w:t> 05_visualization.py    Generates all manuscript figures (Figures 1–7)</w:t>
      </w:r>
    </w:p>
    <w:p w14:paraId="39B36569">
      <w:pPr>
        <w:spacing w:after="160"/>
        <w:rPr>
          <w:rFonts w:hint="default" w:ascii="Times New Roman" w:hAnsi="Times New Roman" w:eastAsia="Arial" w:cs="Times New Roman"/>
          <w:color w:val="auto"/>
          <w:sz w:val="22"/>
          <w:szCs w:val="22"/>
        </w:rPr>
      </w:pPr>
    </w:p>
    <w:p w14:paraId="423A67C9">
      <w:pPr>
        <w:spacing w:after="160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eastAsia="Arial" w:cs="Times New Roman"/>
          <w:color w:val="auto"/>
          <w:sz w:val="22"/>
          <w:szCs w:val="22"/>
        </w:rPr>
        <w:t>All computations are fully deterministic given the input data. No stochastic components are present in the analysis pipeline. Analysis code is available from the corresponding author upon reasonable request.</w:t>
      </w:r>
    </w:p>
    <w:sectPr>
      <w:pgSz w:w="11906" w:h="16838"/>
      <w:pgMar w:top="1440" w:right="1440" w:bottom="1440" w:left="1440" w:header="708" w:footer="708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1"/>
  <w:displayBackgroundShape w:val="1"/>
  <w:documentProtection w:enforcement="0"/>
  <w:compat>
    <w:useFELayout/>
    <w:compatSetting w:name="compatibilityMode" w:uri="http://schemas.microsoft.com/office/word" w:val="15"/>
  </w:compat>
  <w:rsids>
    <w:rsidRoot w:val="00000000"/>
    <w:rsid w:val="4C102928"/>
    <w:rsid w:val="5EEE0A9A"/>
    <w:rsid w:val="6E9A20D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9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iPriority="99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qFormat="1" w:uiPriority="99" w:name="endnote reference"/>
    <w:lsdException w:qFormat="1" w:uiPriority="99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Arial" w:hAnsi="Arial" w:eastAsia="Arial" w:cs="Arial"/>
      <w:sz w:val="22"/>
      <w:szCs w:val="22"/>
    </w:rPr>
  </w:style>
  <w:style w:type="paragraph" w:styleId="2">
    <w:name w:val="heading 1"/>
    <w:next w:val="1"/>
    <w:qFormat/>
    <w:uiPriority w:val="0"/>
    <w:rPr>
      <w:rFonts w:ascii="Arial" w:hAnsi="Arial" w:eastAsia="Arial" w:cs="Arial"/>
      <w:color w:val="2E74B5"/>
      <w:sz w:val="32"/>
      <w:szCs w:val="32"/>
    </w:rPr>
  </w:style>
  <w:style w:type="paragraph" w:styleId="3">
    <w:name w:val="heading 2"/>
    <w:next w:val="1"/>
    <w:qFormat/>
    <w:uiPriority w:val="0"/>
    <w:rPr>
      <w:rFonts w:ascii="Arial" w:hAnsi="Arial" w:eastAsia="Arial" w:cs="Arial"/>
      <w:color w:val="2E74B5"/>
      <w:sz w:val="26"/>
      <w:szCs w:val="26"/>
    </w:rPr>
  </w:style>
  <w:style w:type="paragraph" w:styleId="4">
    <w:name w:val="heading 3"/>
    <w:next w:val="1"/>
    <w:qFormat/>
    <w:uiPriority w:val="0"/>
    <w:rPr>
      <w:rFonts w:ascii="Arial" w:hAnsi="Arial" w:eastAsia="Arial" w:cs="Arial"/>
      <w:color w:val="1F4D78"/>
      <w:sz w:val="24"/>
      <w:szCs w:val="24"/>
    </w:rPr>
  </w:style>
  <w:style w:type="paragraph" w:styleId="5">
    <w:name w:val="heading 4"/>
    <w:next w:val="1"/>
    <w:qFormat/>
    <w:uiPriority w:val="0"/>
    <w:rPr>
      <w:rFonts w:ascii="Arial" w:hAnsi="Arial" w:eastAsia="Arial" w:cs="Arial"/>
      <w:i/>
      <w:iCs/>
      <w:color w:val="2E74B5"/>
      <w:sz w:val="22"/>
      <w:szCs w:val="22"/>
    </w:rPr>
  </w:style>
  <w:style w:type="paragraph" w:styleId="6">
    <w:name w:val="heading 5"/>
    <w:next w:val="1"/>
    <w:qFormat/>
    <w:uiPriority w:val="0"/>
    <w:rPr>
      <w:rFonts w:ascii="Arial" w:hAnsi="Arial" w:eastAsia="Arial" w:cs="Arial"/>
      <w:color w:val="2E74B5"/>
      <w:sz w:val="22"/>
      <w:szCs w:val="22"/>
    </w:rPr>
  </w:style>
  <w:style w:type="paragraph" w:styleId="7">
    <w:name w:val="heading 6"/>
    <w:next w:val="1"/>
    <w:qFormat/>
    <w:uiPriority w:val="0"/>
    <w:rPr>
      <w:rFonts w:ascii="Arial" w:hAnsi="Arial" w:eastAsia="Arial" w:cs="Arial"/>
      <w:color w:val="1F4D78"/>
      <w:sz w:val="22"/>
      <w:szCs w:val="22"/>
    </w:rPr>
  </w:style>
  <w:style w:type="character" w:default="1" w:styleId="12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endnote text"/>
    <w:link w:val="18"/>
    <w:semiHidden/>
    <w:unhideWhenUsed/>
    <w:qFormat/>
    <w:uiPriority w:val="99"/>
    <w:pPr>
      <w:spacing w:after="0" w:line="240" w:lineRule="auto"/>
    </w:pPr>
    <w:rPr>
      <w:rFonts w:ascii="Arial" w:hAnsi="Arial" w:eastAsia="Arial" w:cs="Arial"/>
      <w:sz w:val="20"/>
      <w:szCs w:val="20"/>
    </w:rPr>
  </w:style>
  <w:style w:type="paragraph" w:styleId="9">
    <w:name w:val="footnote text"/>
    <w:link w:val="17"/>
    <w:semiHidden/>
    <w:unhideWhenUsed/>
    <w:qFormat/>
    <w:uiPriority w:val="99"/>
    <w:pPr>
      <w:spacing w:after="0" w:line="240" w:lineRule="auto"/>
    </w:pPr>
    <w:rPr>
      <w:rFonts w:ascii="Arial" w:hAnsi="Arial" w:eastAsia="Arial" w:cs="Arial"/>
      <w:sz w:val="20"/>
      <w:szCs w:val="20"/>
    </w:rPr>
  </w:style>
  <w:style w:type="paragraph" w:styleId="10">
    <w:name w:val="Title"/>
    <w:qFormat/>
    <w:uiPriority w:val="0"/>
    <w:rPr>
      <w:rFonts w:ascii="Arial" w:hAnsi="Arial" w:eastAsia="Arial" w:cs="Arial"/>
      <w:sz w:val="56"/>
      <w:szCs w:val="56"/>
    </w:rPr>
  </w:style>
  <w:style w:type="character" w:styleId="13">
    <w:name w:val="endnote reference"/>
    <w:semiHidden/>
    <w:unhideWhenUsed/>
    <w:qFormat/>
    <w:uiPriority w:val="99"/>
    <w:rPr>
      <w:vertAlign w:val="superscript"/>
    </w:rPr>
  </w:style>
  <w:style w:type="character" w:styleId="14">
    <w:name w:val="Hyperlink"/>
    <w:unhideWhenUsed/>
    <w:qFormat/>
    <w:uiPriority w:val="99"/>
    <w:rPr>
      <w:color w:val="0563C1"/>
      <w:u w:val="single"/>
    </w:rPr>
  </w:style>
  <w:style w:type="character" w:styleId="15">
    <w:name w:val="footnote reference"/>
    <w:semiHidden/>
    <w:unhideWhenUsed/>
    <w:qFormat/>
    <w:uiPriority w:val="99"/>
    <w:rPr>
      <w:vertAlign w:val="superscript"/>
    </w:rPr>
  </w:style>
  <w:style w:type="paragraph" w:styleId="16">
    <w:name w:val="List Paragraph"/>
    <w:qFormat/>
    <w:uiPriority w:val="0"/>
    <w:rPr>
      <w:rFonts w:ascii="Arial" w:hAnsi="Arial" w:eastAsia="Arial" w:cs="Arial"/>
      <w:sz w:val="22"/>
      <w:szCs w:val="22"/>
    </w:rPr>
  </w:style>
  <w:style w:type="character" w:customStyle="1" w:styleId="17">
    <w:name w:val="Footnote Text Char"/>
    <w:link w:val="9"/>
    <w:semiHidden/>
    <w:unhideWhenUsed/>
    <w:qFormat/>
    <w:uiPriority w:val="99"/>
    <w:rPr>
      <w:sz w:val="20"/>
      <w:szCs w:val="20"/>
    </w:rPr>
  </w:style>
  <w:style w:type="character" w:customStyle="1" w:styleId="18">
    <w:name w:val="Endnote Text Char"/>
    <w:link w:val="8"/>
    <w:semiHidden/>
    <w:unhideWhenUsed/>
    <w:qFormat/>
    <w:uiPriority w:val="99"/>
    <w:rPr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920</Words>
  <Characters>5679</Characters>
  <TotalTime>2</TotalTime>
  <ScaleCrop>false</ScaleCrop>
  <LinksUpToDate>false</LinksUpToDate>
  <CharactersWithSpaces>6439</CharactersWithSpaces>
  <Application>WPS Office_12.1.0.25225_F1E327BC-269C-435d-A152-05C5408002CA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2026-04-09T07:46:00Z</dcterms:created>
  <dc:creator>Un-named</dc:creator>
  <cp:lastModifiedBy>Ny</cp:lastModifiedBy>
  <dcterms:modified xsi:type="dcterms:W3CDTF">2026-04-09T07:55:37Z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eyJoZGlkIjoiYzdlZWM0MzJkM2ZkOTJlMDc1MjMzM2FhYzdkOTYzMTgiLCJ1c2VySWQiOiI5Mzk1OTY2OTkifQ==</vt:lpwstr>
  </property>
  <property fmtid="{D5CDD505-2E9C-101B-9397-08002B2CF9AE}" pid="3" name="KSOProductBuildVer">
    <vt:lpwstr>2052-12.1.0.25225</vt:lpwstr>
  </property>
  <property fmtid="{D5CDD505-2E9C-101B-9397-08002B2CF9AE}" pid="4" name="ICV">
    <vt:lpwstr>64A79A0898424448B3754B00591944C9_12</vt:lpwstr>
  </property>
</Properties>
</file>