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C569" w14:textId="77777777" w:rsidR="00393020" w:rsidRPr="00D8753A" w:rsidRDefault="00000000">
      <w:pPr>
        <w:pStyle w:val="Heading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S2 Text. Supplementary Methods: Preprocessing, Quality Control, and Analytic Pipelines</w:t>
      </w:r>
    </w:p>
    <w:p w14:paraId="0495415D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Overview</w:t>
      </w:r>
    </w:p>
    <w:p w14:paraId="6CF935C5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This supplement details data preprocessing, quality control (QC), and statistical pipelines for the ambulatory and laboratory components, including ECG-derived HRV (RMSSD), salivary cortisol, Ecological Momentary Assessment (EMA), and passive smartphone sensing. Procedures are aligned with the main manuscript and PLOS ONE transparency standards.</w:t>
      </w:r>
    </w:p>
    <w:p w14:paraId="2F90AE1E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ECG and HRV Preprocessing</w:t>
      </w:r>
    </w:p>
    <w:p w14:paraId="5C748FC9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Interbeat interval (IBI) data were recorded at ≥1000 Hz using a validated ambulatory ECG device (e.g., Firstbeat Bodyguard 2). Raw IBIs were processed in Kubios HRV Premium with automatic artifact correction (threshold: very strong) and manual inspection. Epochs with &lt;80% valid beats or &gt;5% ectopic beats were excluded. HRV was summarized as RMSSD (ms). For binge analyses, 60-min pre-episode windows were extracted along with time-matched control windows without binge episodes. Wear-time (minutes) within each 60-min window was computed and included as a covariate in sensitivity analyses.</w:t>
      </w:r>
    </w:p>
    <w:p w14:paraId="7EBCF885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Cortisol Sampling and Assay</w:t>
      </w:r>
    </w:p>
    <w:p w14:paraId="3296F2BD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Participants provided salivary samples at waking, +30 minutes post-waking, 16:00, and 21:00 during ambulatory monitoring, and at baseline, immediately post-TSST, and +10, +20, +30, +45, and +60 minutes post-TSST in the laboratory. Samples were stored at −80 °C and assayed in duplicate using high-sensitivity enzyme immunoassay kits (Salimetrics). Batch effects were minimized by distributing samples evenly across plates. Inter- and intra-assay CVs should be reported here. Cortisol Awakening Response (CAR) and diurnal slope were derived using standard procedures. TSST reactivity was summarized as AUCi.</w:t>
      </w:r>
    </w:p>
    <w:p w14:paraId="63EB1034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EMA and Passive Sensing Processing</w:t>
      </w:r>
    </w:p>
    <w:p w14:paraId="4BD98909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EMA prompts (5/day between 08:00–22:00) queried anxiety, urge to binge, sadness, and stress on 0–100 VAS scales. Event-contingent entries were completed immediately after binge episodes. Passive sensing captured GPS-derived location variance, accelerometry, screen time, and communication frequency. All smartphone data were anonymized and restricted to study-specific features. EMA timestamps were synchronized to physiology using device clocks; where necessary, ±5-minute tolerance windows were applied for alignment.</w:t>
      </w:r>
    </w:p>
    <w:p w14:paraId="736AF88E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Missing Data and Compliance</w:t>
      </w:r>
    </w:p>
    <w:p w14:paraId="69CE5B11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quantified EMA compliance as the proportion of prompts completed (target ≥70%). ECG wear compliance reflected the proportion of waking hours with valid IBI data. For </w:t>
      </w: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multilevel models, we used maximum likelihood estimation, which accommodates data missing at random (MAR) at Level 1. Sensitivity analyses excluded days with &lt;50% EMA completion or &lt;8 hours of ECG wear.</w:t>
      </w:r>
    </w:p>
    <w:p w14:paraId="2C888234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Statistical Models</w:t>
      </w:r>
    </w:p>
    <w:p w14:paraId="0BF7D55E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All analyses were conducted in R (version 4.3). Preliminary group comparisons used ANOVA/χ² with Bonferroni-corrected post hoc tests. Laboratory TSST reactivity (cortisol AUCi; HRV recovery) was evaluated via ANCOVA controlling for age, sex, and BMI.</w:t>
      </w:r>
    </w:p>
    <w:p w14:paraId="3DC12DC6" w14:textId="77777777" w:rsidR="00393020" w:rsidRPr="00D8753A" w:rsidRDefault="00000000">
      <w:pPr>
        <w:pStyle w:val="Heading3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Multilevel Models (EMA Outcomes)</w:t>
      </w:r>
    </w:p>
    <w:p w14:paraId="3705C85E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Momentary urge to binge was modeled with multilevel models (observations nested within participants). Level 1 predictors (lagged anxiety, HRV, cortisol) were person-mean centered and controlled for time of day and physical activity. Level 2 moderators included diagnostic group and TSST reactivity indices. Random intercepts were included for all models; random slopes for anxiety were added when they improved fit (AIC/BIC). Model assumptions and residual diagnostics were examined; HRV and cortisol were log-transformed as needed.</w:t>
      </w:r>
    </w:p>
    <w:p w14:paraId="73E483E7" w14:textId="77777777" w:rsidR="00393020" w:rsidRPr="00D8753A" w:rsidRDefault="00000000">
      <w:pPr>
        <w:pStyle w:val="Heading3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Multilevel Logistic Regression (Binge Episodes)</w:t>
      </w:r>
    </w:p>
    <w:p w14:paraId="20A5393E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Binge occurrence (0/1) in 60-min pre-episode windows was modeled using multilevel logistic regression with predictors: pre-binge anxiety, HRV, cortisol, and contextual features (location variance, screen time). Odds ratios and 95% CIs were reported. Sensitivity models adjusted for psychotropic medication and baseline depression (BDI-II).</w:t>
      </w:r>
    </w:p>
    <w:p w14:paraId="7D91D0D1" w14:textId="77777777" w:rsidR="00393020" w:rsidRPr="00D8753A" w:rsidRDefault="00000000">
      <w:pPr>
        <w:pStyle w:val="Heading3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Random Forest Classifier</w:t>
      </w:r>
    </w:p>
    <w:p w14:paraId="5E04E533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A Random Forest classifier (1000 trees, 10-fold cross-validation) was trained to classify binge vs. non-binge epochs. Performance metrics included AUC, accuracy, precision, recall, specificity, and F1-score. Feature importance was quantified via mean decrease in Gini impurity. Balanced subsampling was used to equalize class distributions. Hyperparameters can be tuned as needed and reported here.</w:t>
      </w:r>
    </w:p>
    <w:p w14:paraId="7CD9B85B" w14:textId="77777777" w:rsidR="00393020" w:rsidRPr="00D8753A" w:rsidRDefault="00000000">
      <w:pPr>
        <w:pStyle w:val="Heading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Reproducibility and Software</w:t>
      </w:r>
    </w:p>
    <w:p w14:paraId="47826B4D" w14:textId="77777777" w:rsidR="00393020" w:rsidRPr="00D8753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53A">
        <w:rPr>
          <w:rFonts w:ascii="Times New Roman" w:hAnsi="Times New Roman" w:cs="Times New Roman"/>
          <w:color w:val="000000" w:themeColor="text1"/>
          <w:sz w:val="24"/>
          <w:szCs w:val="24"/>
        </w:rPr>
        <w:t>Analyses were implemented in R 4.3. Example packages include lme4/glmmTMB for multilevel models and ranger/randomForest for classifiers. ECG processing used Kubios HRV Premium. All scripts and parameter files can be provided upon request or deposited in an OSF repository per journal policy.</w:t>
      </w:r>
    </w:p>
    <w:sectPr w:rsidR="00393020" w:rsidRPr="00D875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4203847">
    <w:abstractNumId w:val="8"/>
  </w:num>
  <w:num w:numId="2" w16cid:durableId="1367605263">
    <w:abstractNumId w:val="6"/>
  </w:num>
  <w:num w:numId="3" w16cid:durableId="1523666408">
    <w:abstractNumId w:val="5"/>
  </w:num>
  <w:num w:numId="4" w16cid:durableId="360983073">
    <w:abstractNumId w:val="4"/>
  </w:num>
  <w:num w:numId="5" w16cid:durableId="936868009">
    <w:abstractNumId w:val="7"/>
  </w:num>
  <w:num w:numId="6" w16cid:durableId="66728206">
    <w:abstractNumId w:val="3"/>
  </w:num>
  <w:num w:numId="7" w16cid:durableId="143160303">
    <w:abstractNumId w:val="2"/>
  </w:num>
  <w:num w:numId="8" w16cid:durableId="1116951012">
    <w:abstractNumId w:val="1"/>
  </w:num>
  <w:num w:numId="9" w16cid:durableId="19701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3020"/>
    <w:rsid w:val="006B4914"/>
    <w:rsid w:val="00AA1D8D"/>
    <w:rsid w:val="00B47730"/>
    <w:rsid w:val="00CB0664"/>
    <w:rsid w:val="00D8753A"/>
    <w:rsid w:val="00DA5D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FB3CD"/>
  <w14:defaultImageDpi w14:val="300"/>
  <w15:docId w15:val="{80D121A0-35E1-CF46-9F83-328A644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Crystal Liang</cp:lastModifiedBy>
  <cp:revision>3</cp:revision>
  <dcterms:created xsi:type="dcterms:W3CDTF">2013-12-23T23:15:00Z</dcterms:created>
  <dcterms:modified xsi:type="dcterms:W3CDTF">2025-10-25T23:16:00Z</dcterms:modified>
  <cp:category/>
</cp:coreProperties>
</file>