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45CC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APPENDIX</w:t>
      </w:r>
    </w:p>
    <w:p w14:paraId="6A6C8EDB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Appendix 1. Detailed Search Strategy</w:t>
      </w:r>
    </w:p>
    <w:p w14:paraId="61B14930" w14:textId="77777777" w:rsidR="004A6E1A" w:rsidRDefault="004A6E1A" w:rsidP="004A6E1A">
      <w:pPr>
        <w:jc w:val="both"/>
      </w:pPr>
      <w:r>
        <w:t xml:space="preserve">A systematic literature search was conducted to identify studies evaluating risk stratification tools for low-risk chest pain in the emergency department (ED). The following databases were searched: </w:t>
      </w:r>
      <w:r>
        <w:rPr>
          <w:b/>
          <w:bCs/>
        </w:rPr>
        <w:t>PubMed/MEDLINE, Embase, Scopus, and the Cochrane Library</w:t>
      </w:r>
      <w:r>
        <w:t>, covering studies published from January 2000 to March 2025.</w:t>
      </w:r>
    </w:p>
    <w:p w14:paraId="6951AA46" w14:textId="77777777" w:rsidR="004A6E1A" w:rsidRDefault="004A6E1A" w:rsidP="004A6E1A">
      <w:pPr>
        <w:jc w:val="both"/>
      </w:pPr>
      <w:r>
        <w:t>The search strategy combined controlled vocabulary (</w:t>
      </w:r>
      <w:proofErr w:type="spellStart"/>
      <w:r>
        <w:t>MeSH</w:t>
      </w:r>
      <w:proofErr w:type="spellEnd"/>
      <w:r>
        <w:t xml:space="preserve"> terms) and free-text keywords. The primary PubMed search string was:</w:t>
      </w:r>
    </w:p>
    <w:p w14:paraId="7CFE3896" w14:textId="77777777" w:rsidR="004A6E1A" w:rsidRDefault="004A6E1A" w:rsidP="004A6E1A">
      <w:pPr>
        <w:jc w:val="both"/>
      </w:pPr>
      <w:r>
        <w:t>("chest pain" OR "acute chest pain" OR "suspected acute coronary syndrome")</w:t>
      </w:r>
      <w:r>
        <w:br/>
        <w:t>AND ("HEART score" OR "HEART pathway" OR "EDACS" OR "TIMI score")</w:t>
      </w:r>
      <w:r>
        <w:br/>
        <w:t>AND ("major adverse cardiac events" OR "MACE" OR "</w:t>
      </w:r>
      <w:proofErr w:type="gramStart"/>
      <w:r>
        <w:t>mortality</w:t>
      </w:r>
      <w:proofErr w:type="gramEnd"/>
      <w:r>
        <w:t>" OR "</w:t>
      </w:r>
      <w:proofErr w:type="gramStart"/>
      <w:r>
        <w:t>myocardial</w:t>
      </w:r>
      <w:proofErr w:type="gramEnd"/>
      <w:r>
        <w:t xml:space="preserve"> infarction")</w:t>
      </w:r>
      <w:r>
        <w:br/>
        <w:t>AND ("emergency department" OR "ED" OR "acute care")</w:t>
      </w:r>
    </w:p>
    <w:p w14:paraId="3FCDC7AE" w14:textId="77777777" w:rsidR="004A6E1A" w:rsidRDefault="004A6E1A" w:rsidP="004A6E1A">
      <w:pPr>
        <w:jc w:val="both"/>
      </w:pPr>
      <w:r>
        <w:t>Filters applied:</w:t>
      </w:r>
    </w:p>
    <w:p w14:paraId="54723B59" w14:textId="77777777" w:rsidR="004A6E1A" w:rsidRDefault="004A6E1A" w:rsidP="004A6E1A">
      <w:pPr>
        <w:numPr>
          <w:ilvl w:val="0"/>
          <w:numId w:val="1"/>
        </w:numPr>
        <w:jc w:val="both"/>
      </w:pPr>
      <w:r>
        <w:t xml:space="preserve">Humans </w:t>
      </w:r>
    </w:p>
    <w:p w14:paraId="3D5B96B4" w14:textId="77777777" w:rsidR="004A6E1A" w:rsidRDefault="004A6E1A" w:rsidP="004A6E1A">
      <w:pPr>
        <w:numPr>
          <w:ilvl w:val="0"/>
          <w:numId w:val="1"/>
        </w:numPr>
        <w:jc w:val="both"/>
      </w:pPr>
      <w:sdt>
        <w:sdtPr>
          <w:tag w:val="goog_rdk_37"/>
          <w:id w:val="488536488"/>
        </w:sdtPr>
        <w:sdtContent>
          <w:r>
            <w:rPr>
              <w:rFonts w:ascii="Gungsuh" w:eastAsia="Gungsuh" w:hAnsi="Gungsuh" w:cs="Gungsuh" w:hint="eastAsia"/>
            </w:rPr>
            <w:t xml:space="preserve">Adults (≥18 years) </w:t>
          </w:r>
        </w:sdtContent>
      </w:sdt>
    </w:p>
    <w:p w14:paraId="7DB15B44" w14:textId="77777777" w:rsidR="004A6E1A" w:rsidRDefault="004A6E1A" w:rsidP="004A6E1A">
      <w:pPr>
        <w:numPr>
          <w:ilvl w:val="0"/>
          <w:numId w:val="1"/>
        </w:numPr>
        <w:jc w:val="both"/>
      </w:pPr>
      <w:r>
        <w:t xml:space="preserve">English language </w:t>
      </w:r>
    </w:p>
    <w:p w14:paraId="180744C7" w14:textId="77777777" w:rsidR="004A6E1A" w:rsidRDefault="004A6E1A" w:rsidP="004A6E1A">
      <w:pPr>
        <w:jc w:val="both"/>
      </w:pPr>
      <w:r>
        <w:t>The search strategy was adapted appropriately for each database. In addition, reference lists of included studies and relevant systematic reviews were manually screened to identify additional eligible studies.</w:t>
      </w:r>
    </w:p>
    <w:p w14:paraId="69E6508B" w14:textId="24CB1275" w:rsidR="004A6E1A" w:rsidRDefault="004A6E1A" w:rsidP="004A6E1A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0B4551F9" wp14:editId="7BC3E23C">
                <wp:extent cx="5969000" cy="39370"/>
                <wp:effectExtent l="9525" t="9525" r="12700" b="8255"/>
                <wp:docPr id="15026605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39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75D0E2" w14:textId="77777777" w:rsidR="004A6E1A" w:rsidRDefault="004A6E1A" w:rsidP="004A6E1A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551F9" id="Rectangle 9" o:spid="_x0000_s1026" style="width:470pt;height: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SAEwIAACUEAAAOAAAAZHJzL2Uyb0RvYy54bWysU1Fv0zAQfkfiP1h+p0k7ttGo6TR1DCGN&#10;gTT4AY7tJBaOz5zdJuXXc3a7roIHJEQeLF98/u677z6vbqbBsp3GYMDVfD4rOdNOgjKuq/m3r/dv&#10;3nEWonBKWHC65nsd+M369avV6Cu9gB6s0sgIxIVq9DXvY/RVUQTZ60GEGXjt6LAFHESkELtCoRgJ&#10;fbDFoiyvihFQeQSpQ6C/d4dDvs74batl/Ny2QUdma07cYl4xr01ai/VKVB0K3xt5pCH+gcUgjKOi&#10;J6g7EQXbovkDajASIUAbZxKGAtrWSJ17oG7m5W/dPPXC69wLiRP8Sabw/2Dl4+7Jf8FEPfgHkN8D&#10;c7Dphev0LSKMvRaKys2TUMXoQ3W6kIJAV1kzfgJFoxXbCFmDqcUhAVJ3bMpS709S6ykyST8vl1fL&#10;sqSJSDq7WF5c51EUonq+7DHEDxoGljY1R5pkBhe7hxATGVE9p6RaDu6NtXma1rGRGC+uCT73Bdao&#10;dJoD7JqNRbYTyRD5y61R++dpCFunMloS4L1TLO499ejIxDzBh4Ezq8nytMl5URj79zxibd1RySRe&#10;8mmo4tRMBJK2Dag9aYpwcCq9LNr0gD+pKrmU6v3YCiQO9qOjuSznbxeXZOvzAM+D5jwQThJUzWVE&#10;zg7BJh4ew9aj6XqqNc+aObilabYmK/3C68icvJgHcHw3yezncc56ed3rXwAAAP//AwBQSwMEFAAG&#10;AAgAAAAhAFy1ZMTZAAAAAwEAAA8AAABkcnMvZG93bnJldi54bWxMj0FLw0AQhe+C/2EZwUuxG4NE&#10;jdkUUbwoFmxKz9vsmASzsyE7aaO/3tGLXh483vDeN8Vq9r064Bi7QAYulwkopDq4jhoD2+rp4gZU&#10;ZEvO9oHQwCdGWJWnJ4XNXTjSGx423CgpoZhbAy3zkGsd6xa9jcswIEn2HkZvWezYaDfao5T7XqdJ&#10;kmlvO5KF1g740GL9sZm8geedpq8XXD9yFevr1zQusmoxGXN+Nt/fgWKc+e8YfvAFHUph2oeJXFS9&#10;AXmEf1Wy26tE7N5AloIuC/2fvfwGAAD//wMAUEsBAi0AFAAGAAgAAAAhALaDOJL+AAAA4QEAABMA&#10;AAAAAAAAAAAAAAAAAAAAAFtDb250ZW50X1R5cGVzXS54bWxQSwECLQAUAAYACAAAACEAOP0h/9YA&#10;AACUAQAACwAAAAAAAAAAAAAAAAAvAQAAX3JlbHMvLnJlbHNQSwECLQAUAAYACAAAACEAEkdUgBMC&#10;AAAlBAAADgAAAAAAAAAAAAAAAAAuAgAAZHJzL2Uyb0RvYy54bWxQSwECLQAUAAYACAAAACEAXLVk&#10;xNkAAAADAQAADwAAAAAAAAAAAAAAAABtBAAAZHJzL2Rvd25yZXYueG1sUEsFBgAAAAAEAAQA8wAA&#10;AHMFAAAAAA=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75D0E2" w14:textId="77777777" w:rsidR="004A6E1A" w:rsidRDefault="004A6E1A" w:rsidP="004A6E1A"/>
                  </w:txbxContent>
                </v:textbox>
                <w10:anchorlock/>
              </v:rect>
            </w:pict>
          </mc:Fallback>
        </mc:AlternateContent>
      </w:r>
    </w:p>
    <w:p w14:paraId="43ACE4EC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Appendix 2. Study Selection and PRISMA Flow Summary</w:t>
      </w:r>
    </w:p>
    <w:p w14:paraId="5AD7184F" w14:textId="77777777" w:rsidR="004A6E1A" w:rsidRDefault="004A6E1A" w:rsidP="004A6E1A">
      <w:pPr>
        <w:jc w:val="both"/>
      </w:pPr>
      <w:r>
        <w:t xml:space="preserve">A total of </w:t>
      </w:r>
      <w:r>
        <w:rPr>
          <w:b/>
          <w:bCs/>
        </w:rPr>
        <w:t>3,847 records</w:t>
      </w:r>
      <w:r>
        <w:t xml:space="preserve"> were identified through database searching (PubMed/MEDLINE, Embase, and Cochrane CENTRAL). After the removal of </w:t>
      </w:r>
      <w:r>
        <w:rPr>
          <w:b/>
          <w:bCs/>
        </w:rPr>
        <w:t>1,233 duplicates</w:t>
      </w:r>
      <w:r>
        <w:t xml:space="preserve">, </w:t>
      </w:r>
      <w:r>
        <w:rPr>
          <w:b/>
          <w:bCs/>
        </w:rPr>
        <w:t>2,614 records</w:t>
      </w:r>
      <w:r>
        <w:t xml:space="preserve"> remained for title and abstract screening.</w:t>
      </w:r>
    </w:p>
    <w:p w14:paraId="08CC8218" w14:textId="77777777" w:rsidR="004A6E1A" w:rsidRDefault="004A6E1A" w:rsidP="004A6E1A">
      <w:pPr>
        <w:jc w:val="both"/>
      </w:pPr>
      <w:r>
        <w:t>Following screening:</w:t>
      </w:r>
    </w:p>
    <w:p w14:paraId="28A77BB5" w14:textId="77777777" w:rsidR="004A6E1A" w:rsidRDefault="004A6E1A" w:rsidP="004A6E1A">
      <w:pPr>
        <w:numPr>
          <w:ilvl w:val="0"/>
          <w:numId w:val="2"/>
        </w:numPr>
        <w:jc w:val="both"/>
      </w:pPr>
      <w:r>
        <w:rPr>
          <w:b/>
          <w:bCs/>
        </w:rPr>
        <w:t>2,327 records were excluded</w:t>
      </w:r>
      <w:r>
        <w:t xml:space="preserve"> based on irrelevance </w:t>
      </w:r>
    </w:p>
    <w:p w14:paraId="3C418FF1" w14:textId="77777777" w:rsidR="004A6E1A" w:rsidRDefault="004A6E1A" w:rsidP="004A6E1A">
      <w:pPr>
        <w:numPr>
          <w:ilvl w:val="0"/>
          <w:numId w:val="2"/>
        </w:numPr>
        <w:jc w:val="both"/>
      </w:pPr>
      <w:r>
        <w:rPr>
          <w:b/>
          <w:bCs/>
        </w:rPr>
        <w:t>287 full-text articles</w:t>
      </w:r>
      <w:r>
        <w:t xml:space="preserve"> were assessed for eligibility </w:t>
      </w:r>
    </w:p>
    <w:p w14:paraId="3A3BEB71" w14:textId="77777777" w:rsidR="004A6E1A" w:rsidRDefault="004A6E1A" w:rsidP="004A6E1A">
      <w:pPr>
        <w:jc w:val="both"/>
      </w:pPr>
      <w:r>
        <w:t>Of these:</w:t>
      </w:r>
    </w:p>
    <w:p w14:paraId="27C40E31" w14:textId="77777777" w:rsidR="004A6E1A" w:rsidRDefault="004A6E1A" w:rsidP="004A6E1A">
      <w:pPr>
        <w:numPr>
          <w:ilvl w:val="0"/>
          <w:numId w:val="3"/>
        </w:numPr>
        <w:jc w:val="both"/>
      </w:pPr>
      <w:r>
        <w:rPr>
          <w:b/>
          <w:bCs/>
        </w:rPr>
        <w:t>204 studies were excluded</w:t>
      </w:r>
      <w:r>
        <w:t xml:space="preserve"> due to lack of MACE reporting, inappropriate population, absence of validated risk stratification tools, or insufficient outcome data </w:t>
      </w:r>
    </w:p>
    <w:p w14:paraId="276133DC" w14:textId="77777777" w:rsidR="004A6E1A" w:rsidRDefault="004A6E1A" w:rsidP="004A6E1A">
      <w:pPr>
        <w:numPr>
          <w:ilvl w:val="0"/>
          <w:numId w:val="3"/>
        </w:numPr>
        <w:jc w:val="both"/>
      </w:pPr>
      <w:r>
        <w:rPr>
          <w:b/>
          <w:bCs/>
        </w:rPr>
        <w:t>83 studies (72 primary studies and 11 additional records identified through reference screening)</w:t>
      </w:r>
      <w:r>
        <w:t xml:space="preserve"> were included in the final qualitative synthesis </w:t>
      </w:r>
    </w:p>
    <w:p w14:paraId="570F5264" w14:textId="77777777" w:rsidR="004A6E1A" w:rsidRDefault="004A6E1A" w:rsidP="004A6E1A">
      <w:pPr>
        <w:jc w:val="both"/>
      </w:pPr>
      <w:r>
        <w:t xml:space="preserve">The study selection process adhered to </w:t>
      </w:r>
      <w:r>
        <w:rPr>
          <w:b/>
          <w:bCs/>
        </w:rPr>
        <w:t>PRISMA 2020 guidelines</w:t>
      </w:r>
      <w:r>
        <w:t xml:space="preserve"> and is presented in </w:t>
      </w:r>
      <w:r>
        <w:rPr>
          <w:b/>
          <w:bCs/>
        </w:rPr>
        <w:t>Figure 1 (PRISMA Flow Diagram)</w:t>
      </w:r>
      <w:r>
        <w:t>.</w:t>
      </w:r>
    </w:p>
    <w:p w14:paraId="01D8AD82" w14:textId="1E601F85" w:rsidR="004A6E1A" w:rsidRDefault="004A6E1A" w:rsidP="004A6E1A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7D666B62" wp14:editId="0D375262">
                <wp:extent cx="5969000" cy="39370"/>
                <wp:effectExtent l="9525" t="9525" r="12700" b="8255"/>
                <wp:docPr id="13130206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39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A36D0" w14:textId="77777777" w:rsidR="004A6E1A" w:rsidRDefault="004A6E1A" w:rsidP="004A6E1A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66B62" id="Rectangle 8" o:spid="_x0000_s1027" style="width:470pt;height: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LTrFgIAACwEAAAOAAAAZHJzL2Uyb0RvYy54bWysU1Fv0zAQfkfiP1h+p0k7ttGo6TR1DCGN&#10;gTT4AY7tJBaOz5zdJuXXc3a7roIHJEQerJx9/u6+7z6vbqbBsp3GYMDVfD4rOdNOgjKuq/m3r/dv&#10;3nEWonBKWHC65nsd+M369avV6Cu9gB6s0sgIxIVq9DXvY/RVUQTZ60GEGXjt6LAFHESkELtCoRgJ&#10;fbDFoiyvihFQeQSpQ6Ddu8MhX2f8ttUyfm7boCOzNafeYl4xr01ai/VKVB0K3xt5bEP8QxeDMI6K&#10;nqDuRBRsi+YPqMFIhABtnEkYCmhbI3XmQGzm5W9snnrhdeZC4gR/kin8P1j5uHvyXzC1HvwDyO+B&#10;Odj0wnX6FhHGXgtF5eZJqGL0oTpdSEGgq6wZP4Gi0YpthKzB1OKQAIkdm7LU+5PUeopM0ubl8mpZ&#10;ljQRSWcXy4vrPIpCVM+XPYb4QcPA0k/NkSaZwcXuIcTUjKieU1ItB/fG2jxN69hIHS+uCT7zAmtU&#10;Os0Bds3GItuJZIj8ZWpE/zwNYetURksCvHeKxb0njo5MzBN8GDizmixPPzkvCmP/nkddW3dUMomX&#10;fBqqODUTM+ooc9ppQO1JWoSDYemB0U8P+JOKk1mp7I+tQGrFfnQ0nuX87eKS3H0e4HnQnAfCSYKq&#10;uYzI2SHYxMOb2Ho0XU+15lk6B7c01NZkwV/6OhIgS+Y5HJ9P8vx5nLNeHvn6FwAAAP//AwBQSwME&#10;FAAGAAgAAAAhAFy1ZMTZAAAAAwEAAA8AAABkcnMvZG93bnJldi54bWxMj0FLw0AQhe+C/2EZwUux&#10;G4NEjdkUUbwoFmxKz9vsmASzsyE7aaO/3tGLXh483vDeN8Vq9r064Bi7QAYulwkopDq4jhoD2+rp&#10;4gZUZEvO9oHQwCdGWJWnJ4XNXTjSGx423CgpoZhbAy3zkGsd6xa9jcswIEn2HkZvWezYaDfao5T7&#10;XqdJkmlvO5KF1g740GL9sZm8geedpq8XXD9yFevr1zQusmoxGXN+Nt/fgWKc+e8YfvAFHUph2oeJ&#10;XFS9AXmEf1Wy26tE7N5AloIuC/2fvfwGAAD//wMAUEsBAi0AFAAGAAgAAAAhALaDOJL+AAAA4QEA&#10;ABMAAAAAAAAAAAAAAAAAAAAAAFtDb250ZW50X1R5cGVzXS54bWxQSwECLQAUAAYACAAAACEAOP0h&#10;/9YAAACUAQAACwAAAAAAAAAAAAAAAAAvAQAAX3JlbHMvLnJlbHNQSwECLQAUAAYACAAAACEAfGy0&#10;6xYCAAAsBAAADgAAAAAAAAAAAAAAAAAuAgAAZHJzL2Uyb0RvYy54bWxQSwECLQAUAAYACAAAACEA&#10;XLVkxNkAAAADAQAADwAAAAAAAAAAAAAAAABwBAAAZHJzL2Rvd25yZXYueG1sUEsFBgAAAAAEAAQA&#10;8wAAAHYFAAAAAA=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87A36D0" w14:textId="77777777" w:rsidR="004A6E1A" w:rsidRDefault="004A6E1A" w:rsidP="004A6E1A"/>
                  </w:txbxContent>
                </v:textbox>
                <w10:anchorlock/>
              </v:rect>
            </w:pict>
          </mc:Fallback>
        </mc:AlternateContent>
      </w:r>
    </w:p>
    <w:p w14:paraId="70850C45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Appendix 3. Characteristics of Included Studies</w:t>
      </w:r>
    </w:p>
    <w:p w14:paraId="3B34AE2D" w14:textId="77777777" w:rsidR="004A6E1A" w:rsidRDefault="004A6E1A" w:rsidP="004A6E1A">
      <w:pPr>
        <w:jc w:val="both"/>
      </w:pPr>
      <w:r>
        <w:t xml:space="preserve">The final analysis included </w:t>
      </w:r>
      <w:r>
        <w:rPr>
          <w:b/>
          <w:bCs/>
        </w:rPr>
        <w:t>83 studies (72 primary + 11 additional)</w:t>
      </w:r>
      <w:r>
        <w:t xml:space="preserve"> comprising observational cohorts, randomized controlled trials, and validation studies conducted across North America, Europe, and Australasia.</w:t>
      </w:r>
    </w:p>
    <w:p w14:paraId="6F0ACF88" w14:textId="77777777" w:rsidR="004A6E1A" w:rsidRDefault="004A6E1A" w:rsidP="004A6E1A">
      <w:pPr>
        <w:jc w:val="both"/>
      </w:pPr>
      <w:r>
        <w:t>Key characteristics:</w:t>
      </w:r>
    </w:p>
    <w:p w14:paraId="0CC896C9" w14:textId="77777777" w:rsidR="004A6E1A" w:rsidRDefault="004A6E1A" w:rsidP="004A6E1A">
      <w:pPr>
        <w:numPr>
          <w:ilvl w:val="0"/>
          <w:numId w:val="4"/>
        </w:numPr>
        <w:jc w:val="both"/>
      </w:pPr>
      <w:r>
        <w:t xml:space="preserve">Sample sizes ranged from approximately </w:t>
      </w:r>
      <w:r>
        <w:rPr>
          <w:b/>
          <w:bCs/>
        </w:rPr>
        <w:t>500 to &gt;10,000 patients</w:t>
      </w:r>
      <w:r>
        <w:t xml:space="preserve"> </w:t>
      </w:r>
    </w:p>
    <w:p w14:paraId="064D5299" w14:textId="77777777" w:rsidR="004A6E1A" w:rsidRDefault="004A6E1A" w:rsidP="004A6E1A">
      <w:pPr>
        <w:numPr>
          <w:ilvl w:val="0"/>
          <w:numId w:val="4"/>
        </w:numPr>
        <w:jc w:val="both"/>
      </w:pPr>
      <w:r>
        <w:t xml:space="preserve">All studies evaluated ED patients presenting with </w:t>
      </w:r>
      <w:r>
        <w:rPr>
          <w:b/>
          <w:bCs/>
        </w:rPr>
        <w:t>suspected acute coronary syndrome (ACS)</w:t>
      </w:r>
      <w:r>
        <w:t xml:space="preserve"> </w:t>
      </w:r>
    </w:p>
    <w:p w14:paraId="5F666630" w14:textId="77777777" w:rsidR="004A6E1A" w:rsidRDefault="004A6E1A" w:rsidP="004A6E1A">
      <w:pPr>
        <w:numPr>
          <w:ilvl w:val="0"/>
          <w:numId w:val="4"/>
        </w:numPr>
        <w:jc w:val="both"/>
      </w:pPr>
      <w:r>
        <w:t xml:space="preserve">Risk stratification tools assessed included: </w:t>
      </w:r>
    </w:p>
    <w:p w14:paraId="766B1886" w14:textId="77777777" w:rsidR="004A6E1A" w:rsidRDefault="004A6E1A" w:rsidP="004A6E1A">
      <w:pPr>
        <w:numPr>
          <w:ilvl w:val="1"/>
          <w:numId w:val="4"/>
        </w:numPr>
        <w:jc w:val="both"/>
      </w:pPr>
      <w:r>
        <w:rPr>
          <w:b/>
          <w:bCs/>
        </w:rPr>
        <w:t>HEART score</w:t>
      </w:r>
      <w:r>
        <w:t xml:space="preserve"> </w:t>
      </w:r>
    </w:p>
    <w:p w14:paraId="0598CBC3" w14:textId="77777777" w:rsidR="004A6E1A" w:rsidRDefault="004A6E1A" w:rsidP="004A6E1A">
      <w:pPr>
        <w:numPr>
          <w:ilvl w:val="1"/>
          <w:numId w:val="4"/>
        </w:numPr>
        <w:jc w:val="both"/>
      </w:pPr>
      <w:r>
        <w:rPr>
          <w:b/>
          <w:bCs/>
        </w:rPr>
        <w:t>HEART Pathway</w:t>
      </w:r>
      <w:r>
        <w:t xml:space="preserve"> </w:t>
      </w:r>
    </w:p>
    <w:p w14:paraId="51CDADB6" w14:textId="77777777" w:rsidR="004A6E1A" w:rsidRDefault="004A6E1A" w:rsidP="004A6E1A">
      <w:pPr>
        <w:numPr>
          <w:ilvl w:val="1"/>
          <w:numId w:val="4"/>
        </w:numPr>
        <w:jc w:val="both"/>
      </w:pPr>
      <w:r>
        <w:rPr>
          <w:b/>
          <w:bCs/>
        </w:rPr>
        <w:t>EDACS / EDACS-ADP</w:t>
      </w:r>
      <w:r>
        <w:t xml:space="preserve"> </w:t>
      </w:r>
    </w:p>
    <w:p w14:paraId="5A8E0FF5" w14:textId="77777777" w:rsidR="004A6E1A" w:rsidRDefault="004A6E1A" w:rsidP="004A6E1A">
      <w:pPr>
        <w:numPr>
          <w:ilvl w:val="1"/>
          <w:numId w:val="4"/>
        </w:numPr>
        <w:jc w:val="both"/>
      </w:pPr>
      <w:r>
        <w:rPr>
          <w:b/>
          <w:bCs/>
        </w:rPr>
        <w:t>TIMI score</w:t>
      </w:r>
      <w:r>
        <w:t xml:space="preserve"> </w:t>
      </w:r>
    </w:p>
    <w:p w14:paraId="170718FA" w14:textId="77777777" w:rsidR="004A6E1A" w:rsidRDefault="004A6E1A" w:rsidP="004A6E1A">
      <w:pPr>
        <w:jc w:val="both"/>
      </w:pPr>
      <w:r>
        <w:t xml:space="preserve">Follow-up duration was consistently </w:t>
      </w:r>
      <w:r>
        <w:rPr>
          <w:b/>
          <w:bCs/>
        </w:rPr>
        <w:t>30 days</w:t>
      </w:r>
      <w:r>
        <w:t>, with outcomes focused on MACE events.</w:t>
      </w:r>
    </w:p>
    <w:p w14:paraId="0655E2AD" w14:textId="737FD800" w:rsidR="004A6E1A" w:rsidRDefault="004A6E1A" w:rsidP="004A6E1A">
      <w:pPr>
        <w:jc w:val="bot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D329C11" wp14:editId="5B4B516E">
                <wp:extent cx="5969000" cy="39370"/>
                <wp:effectExtent l="9525" t="9525" r="12700" b="8255"/>
                <wp:docPr id="6991413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39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D3E6DA" w14:textId="77777777" w:rsidR="004A6E1A" w:rsidRDefault="004A6E1A" w:rsidP="004A6E1A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329C11" id="Rectangle 7" o:spid="_x0000_s1028" style="width:470pt;height: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GqFwIAACwEAAAOAAAAZHJzL2Uyb0RvYy54bWysU1Fv0zAQfkfiP1h+p0k7ttGo6TR1DCGN&#10;gTT4AY7tJBaOz5zdJuXXc3a7roIHJEQerJx9/u6+7z6vbqbBsp3GYMDVfD4rOdNOgjKuq/m3r/dv&#10;3nEWonBKWHC65nsd+M369avV6Cu9gB6s0sgIxIVq9DXvY/RVUQTZ60GEGXjt6LAFHESkELtCoRgJ&#10;fbDFoiyvihFQeQSpQ6Ddu8MhX2f8ttUyfm7boCOzNafeYl4xr01ai/VKVB0K3xt5bEP8QxeDMI6K&#10;nqDuRBRsi+YPqMFIhABtnEkYCmhbI3XmQGzm5W9snnrhdeZC4gR/kin8P1j5uHvyXzC1HvwDyO+B&#10;Odj0wnX6FhHGXgtF5eZJqGL0oTpdSEGgq6wZP4Gi0YpthKzB1OKQAIkdm7LU+5PUeopM0ubl8mpZ&#10;ljQRSWcXy4vrPIpCVM+XPYb4QcPA0k/NkSaZwcXuIcTUjKieU1ItB/fG2jxN69hIHS+uCT7zAmtU&#10;Os0Bds3GItuJZIj8ZWpE/zwNYetURksCvHeKxb0njo5MzBN8GDizmixPPzkvCmP/nkddW3dUMomX&#10;fBqqODUTM6rmi4SVdhpQe5IW4WBYemD00wP+pOJkVir7YyuQWrEfHY1nOX+7uCR3nwd4HjTngXCS&#10;oGouI3J2CDbx8Ca2Hk3XU615ls7BLQ21NVnwl76OBMiSeQ7H55M8fx7nrJdHvv4FAAD//wMAUEsD&#10;BBQABgAIAAAAIQBctWTE2QAAAAMBAAAPAAAAZHJzL2Rvd25yZXYueG1sTI9BS8NAEIXvgv9hGcFL&#10;sRuDRI3ZFFG8KBZsSs/b7JgEs7MhO2mjv97Ri14ePN7w3jfFava9OuAYu0AGLpcJKKQ6uI4aA9vq&#10;6eIGVGRLzvaB0MAnRliVpyeFzV040hseNtwoKaGYWwMt85BrHesWvY3LMCBJ9h5Gb1ns2Gg32qOU&#10;+16nSZJpbzuShdYO+NBi/bGZvIHnnaavF1w/chXr69c0LrJqMRlzfjbf34FinPnvGH7wBR1KYdqH&#10;iVxUvQF5hH9VsturROzeQJaCLgv9n738BgAA//8DAFBLAQItABQABgAIAAAAIQC2gziS/gAAAOEB&#10;AAATAAAAAAAAAAAAAAAAAAAAAABbQ29udGVudF9UeXBlc10ueG1sUEsBAi0AFAAGAAgAAAAhADj9&#10;If/WAAAAlAEAAAsAAAAAAAAAAAAAAAAALwEAAF9yZWxzLy5yZWxzUEsBAi0AFAAGAAgAAAAhAOEp&#10;EaoXAgAALAQAAA4AAAAAAAAAAAAAAAAALgIAAGRycy9lMm9Eb2MueG1sUEsBAi0AFAAGAAgAAAAh&#10;AFy1ZMTZAAAAAwEAAA8AAAAAAAAAAAAAAAAAcQQAAGRycy9kb3ducmV2LnhtbFBLBQYAAAAABAAE&#10;APMAAAB3BQAAAAA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7D3E6DA" w14:textId="77777777" w:rsidR="004A6E1A" w:rsidRDefault="004A6E1A" w:rsidP="004A6E1A"/>
                  </w:txbxContent>
                </v:textbox>
                <w10:anchorlock/>
              </v:rect>
            </w:pict>
          </mc:Fallback>
        </mc:AlternateContent>
      </w:r>
    </w:p>
    <w:p w14:paraId="27E5AEA3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Appendix 4. Data Extraction Framework</w:t>
      </w:r>
    </w:p>
    <w:p w14:paraId="31696800" w14:textId="77777777" w:rsidR="004A6E1A" w:rsidRDefault="004A6E1A" w:rsidP="004A6E1A">
      <w:pPr>
        <w:jc w:val="both"/>
      </w:pPr>
      <w:r>
        <w:t>Data extraction was performed using a standardized template. The following variables were collected:</w:t>
      </w:r>
    </w:p>
    <w:p w14:paraId="33C79819" w14:textId="77777777" w:rsidR="004A6E1A" w:rsidRDefault="004A6E1A" w:rsidP="004A6E1A">
      <w:pPr>
        <w:numPr>
          <w:ilvl w:val="0"/>
          <w:numId w:val="5"/>
        </w:numPr>
        <w:jc w:val="both"/>
      </w:pPr>
      <w:r>
        <w:t xml:space="preserve">Study identification (author, year, country) </w:t>
      </w:r>
    </w:p>
    <w:p w14:paraId="0B22D798" w14:textId="77777777" w:rsidR="004A6E1A" w:rsidRDefault="004A6E1A" w:rsidP="004A6E1A">
      <w:pPr>
        <w:numPr>
          <w:ilvl w:val="0"/>
          <w:numId w:val="5"/>
        </w:numPr>
        <w:jc w:val="both"/>
      </w:pPr>
      <w:r>
        <w:t xml:space="preserve">Study design (prospective, retrospective, randomized trial) </w:t>
      </w:r>
    </w:p>
    <w:p w14:paraId="52B593E5" w14:textId="77777777" w:rsidR="004A6E1A" w:rsidRDefault="004A6E1A" w:rsidP="004A6E1A">
      <w:pPr>
        <w:numPr>
          <w:ilvl w:val="0"/>
          <w:numId w:val="5"/>
        </w:numPr>
        <w:jc w:val="both"/>
      </w:pPr>
      <w:r>
        <w:t xml:space="preserve">Sample size </w:t>
      </w:r>
    </w:p>
    <w:p w14:paraId="1AF7A271" w14:textId="77777777" w:rsidR="004A6E1A" w:rsidRDefault="004A6E1A" w:rsidP="004A6E1A">
      <w:pPr>
        <w:numPr>
          <w:ilvl w:val="0"/>
          <w:numId w:val="5"/>
        </w:numPr>
        <w:jc w:val="both"/>
      </w:pPr>
      <w:r>
        <w:t xml:space="preserve">Risk stratification tool used </w:t>
      </w:r>
    </w:p>
    <w:p w14:paraId="291F9242" w14:textId="77777777" w:rsidR="004A6E1A" w:rsidRDefault="004A6E1A" w:rsidP="004A6E1A">
      <w:pPr>
        <w:numPr>
          <w:ilvl w:val="0"/>
          <w:numId w:val="5"/>
        </w:numPr>
        <w:jc w:val="both"/>
      </w:pPr>
      <w:sdt>
        <w:sdtPr>
          <w:tag w:val="goog_rdk_38"/>
          <w:id w:val="1146167577"/>
        </w:sdtPr>
        <w:sdtContent>
          <w:r>
            <w:rPr>
              <w:rFonts w:ascii="Gungsuh" w:eastAsia="Gungsuh" w:hAnsi="Gungsuh" w:cs="Gungsuh" w:hint="eastAsia"/>
            </w:rPr>
            <w:t xml:space="preserve">Definition of low-risk group (e.g., HEART ≤3, EDACS low-risk criteria) </w:t>
          </w:r>
        </w:sdtContent>
      </w:sdt>
    </w:p>
    <w:p w14:paraId="3B3AB336" w14:textId="77777777" w:rsidR="004A6E1A" w:rsidRDefault="004A6E1A" w:rsidP="004A6E1A">
      <w:pPr>
        <w:numPr>
          <w:ilvl w:val="0"/>
          <w:numId w:val="5"/>
        </w:numPr>
        <w:jc w:val="both"/>
      </w:pPr>
      <w:r>
        <w:t xml:space="preserve">Troponin assay type (conventional vs. </w:t>
      </w:r>
      <w:proofErr w:type="gramStart"/>
      <w:r>
        <w:t>high-sensitivity</w:t>
      </w:r>
      <w:proofErr w:type="gramEnd"/>
      <w:r>
        <w:t xml:space="preserve">) </w:t>
      </w:r>
    </w:p>
    <w:p w14:paraId="55F9F229" w14:textId="77777777" w:rsidR="004A6E1A" w:rsidRDefault="004A6E1A" w:rsidP="004A6E1A">
      <w:pPr>
        <w:numPr>
          <w:ilvl w:val="0"/>
          <w:numId w:val="5"/>
        </w:numPr>
        <w:jc w:val="both"/>
      </w:pPr>
      <w:r>
        <w:t xml:space="preserve">Reported 30-day MACE rate (%) </w:t>
      </w:r>
    </w:p>
    <w:p w14:paraId="70CBFD09" w14:textId="77777777" w:rsidR="004A6E1A" w:rsidRDefault="004A6E1A" w:rsidP="004A6E1A">
      <w:pPr>
        <w:numPr>
          <w:ilvl w:val="0"/>
          <w:numId w:val="5"/>
        </w:numPr>
        <w:jc w:val="both"/>
      </w:pPr>
      <w:r>
        <w:t xml:space="preserve">Components of MACE (mortality, myocardial infarction, revascularization) </w:t>
      </w:r>
    </w:p>
    <w:p w14:paraId="5CB742EC" w14:textId="77777777" w:rsidR="004A6E1A" w:rsidRDefault="004A6E1A" w:rsidP="004A6E1A">
      <w:pPr>
        <w:jc w:val="both"/>
      </w:pPr>
      <w:r>
        <w:t>Data accuracy was verified through cross-checking.</w:t>
      </w:r>
    </w:p>
    <w:p w14:paraId="7D8F2CED" w14:textId="6C18C812" w:rsidR="004A6E1A" w:rsidRDefault="004A6E1A" w:rsidP="004A6E1A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799A0F9D" wp14:editId="60EC80DF">
                <wp:extent cx="5969000" cy="39370"/>
                <wp:effectExtent l="9525" t="9525" r="12700" b="8255"/>
                <wp:docPr id="10726243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39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C1921" w14:textId="77777777" w:rsidR="004A6E1A" w:rsidRDefault="004A6E1A" w:rsidP="004A6E1A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A0F9D" id="Rectangle 6" o:spid="_x0000_s1029" style="width:470pt;height: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KVFwIAACwEAAAOAAAAZHJzL2Uyb0RvYy54bWysU1Fv0zAQfkfiP1h+p0k7ttGo6TR1DCGN&#10;gTT4AY7tJBaOz5zdJuXXc3a7roIHJEQerJx9/u6+7z6vbqbBsp3GYMDVfD4rOdNOgjKuq/m3r/dv&#10;3nEWonBKWHC65nsd+M369avV6Cu9gB6s0sgIxIVq9DXvY/RVUQTZ60GEGXjt6LAFHESkELtCoRgJ&#10;fbDFoiyvihFQeQSpQ6Ddu8MhX2f8ttUyfm7boCOzNafeYl4xr01ai/VKVB0K3xt5bEP8QxeDMI6K&#10;nqDuRBRsi+YPqMFIhABtnEkYCmhbI3XmQGzm5W9snnrhdeZC4gR/kin8P1j5uHvyXzC1HvwDyO+B&#10;Odj0wnX6FhHGXgtF5eZJqGL0oTpdSEGgq6wZP4Gi0YpthKzB1OKQAIkdm7LU+5PUeopM0ubl8mpZ&#10;ljQRSWcXy4vrPIpCVM+XPYb4QcPA0k/NkSaZwcXuIcTUjKieU1ItB/fG2jxN69hIHS+uCT7zAmtU&#10;Os0Bds3GItuJZIj8ZWpE/zwNYetURksCvHeKxb0njo5MzBN8GDizmixPPzkvCmP/nkddW3dUMomX&#10;fBqqODUTM4qESFhppwG1J2kRDoalB0Y/PeBPKk5mpbI/tgKpFfvR0XiW87eLS3L3eYDnQXMeCCcJ&#10;quYyImeHYBMPb2Lr0XQ91Zpn6Rzc0lBbkwV/6etIgCyZ53B8Psnz53HOennk618AAAD//wMAUEsD&#10;BBQABgAIAAAAIQBctWTE2QAAAAMBAAAPAAAAZHJzL2Rvd25yZXYueG1sTI9BS8NAEIXvgv9hGcFL&#10;sRuDRI3ZFFG8KBZsSs/b7JgEs7MhO2mjv97Ri14ePN7w3jfFava9OuAYu0AGLpcJKKQ6uI4aA9vq&#10;6eIGVGRLzvaB0MAnRliVpyeFzV040hseNtwoKaGYWwMt85BrHesWvY3LMCBJ9h5Gb1ns2Gg32qOU&#10;+16nSZJpbzuShdYO+NBi/bGZvIHnnaavF1w/chXr69c0LrJqMRlzfjbf34FinPnvGH7wBR1KYdqH&#10;iVxUvQF5hH9VsturROzeQJaCLgv9n738BgAA//8DAFBLAQItABQABgAIAAAAIQC2gziS/gAAAOEB&#10;AAATAAAAAAAAAAAAAAAAAAAAAABbQ29udGVudF9UeXBlc10ueG1sUEsBAi0AFAAGAAgAAAAhADj9&#10;If/WAAAAlAEAAAsAAAAAAAAAAAAAAAAALwEAAF9yZWxzLy5yZWxzUEsBAi0AFAAGAAgAAAAhAGoV&#10;cpUXAgAALAQAAA4AAAAAAAAAAAAAAAAALgIAAGRycy9lMm9Eb2MueG1sUEsBAi0AFAAGAAgAAAAh&#10;AFy1ZMTZAAAAAwEAAA8AAAAAAAAAAAAAAAAAcQQAAGRycy9kb3ducmV2LnhtbFBLBQYAAAAABAAE&#10;APMAAAB3BQAAAAA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91C1921" w14:textId="77777777" w:rsidR="004A6E1A" w:rsidRDefault="004A6E1A" w:rsidP="004A6E1A"/>
                  </w:txbxContent>
                </v:textbox>
                <w10:anchorlock/>
              </v:rect>
            </w:pict>
          </mc:Fallback>
        </mc:AlternateContent>
      </w:r>
    </w:p>
    <w:p w14:paraId="78BB6E17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Appendix 5. Risk of Bias Assessment</w:t>
      </w:r>
    </w:p>
    <w:p w14:paraId="497B5B12" w14:textId="77777777" w:rsidR="004A6E1A" w:rsidRDefault="004A6E1A" w:rsidP="004A6E1A">
      <w:pPr>
        <w:jc w:val="both"/>
      </w:pPr>
      <w:r>
        <w:t xml:space="preserve">Risk of bias for included observational studies was assessed using the </w:t>
      </w:r>
      <w:r>
        <w:rPr>
          <w:b/>
          <w:bCs/>
        </w:rPr>
        <w:t>Newcastle-Ottawa Scale (NOS)</w:t>
      </w:r>
      <w:r>
        <w:t>. Studies were evaluated across three domains:</w:t>
      </w:r>
    </w:p>
    <w:p w14:paraId="1C619EFA" w14:textId="77777777" w:rsidR="004A6E1A" w:rsidRDefault="004A6E1A" w:rsidP="004A6E1A">
      <w:pPr>
        <w:numPr>
          <w:ilvl w:val="0"/>
          <w:numId w:val="6"/>
        </w:numPr>
        <w:jc w:val="both"/>
      </w:pPr>
      <w:r>
        <w:t xml:space="preserve">Selection of participants </w:t>
      </w:r>
    </w:p>
    <w:p w14:paraId="681CA3B3" w14:textId="77777777" w:rsidR="004A6E1A" w:rsidRDefault="004A6E1A" w:rsidP="004A6E1A">
      <w:pPr>
        <w:numPr>
          <w:ilvl w:val="0"/>
          <w:numId w:val="6"/>
        </w:numPr>
        <w:jc w:val="both"/>
      </w:pPr>
      <w:r>
        <w:t xml:space="preserve">Comparability of study groups </w:t>
      </w:r>
    </w:p>
    <w:p w14:paraId="2DC103CA" w14:textId="77777777" w:rsidR="004A6E1A" w:rsidRDefault="004A6E1A" w:rsidP="004A6E1A">
      <w:pPr>
        <w:numPr>
          <w:ilvl w:val="0"/>
          <w:numId w:val="6"/>
        </w:numPr>
        <w:jc w:val="both"/>
      </w:pPr>
      <w:r>
        <w:t xml:space="preserve">Outcome assessment </w:t>
      </w:r>
    </w:p>
    <w:p w14:paraId="60BB163A" w14:textId="77777777" w:rsidR="004A6E1A" w:rsidRDefault="004A6E1A" w:rsidP="004A6E1A">
      <w:pPr>
        <w:jc w:val="both"/>
      </w:pPr>
      <w:r>
        <w:t xml:space="preserve">Most included studies demonstrated </w:t>
      </w:r>
      <w:r>
        <w:rPr>
          <w:b/>
          <w:bCs/>
        </w:rPr>
        <w:t>moderate to high methodological quality</w:t>
      </w:r>
      <w:r>
        <w:t>, with common limitations including:</w:t>
      </w:r>
    </w:p>
    <w:p w14:paraId="0450919B" w14:textId="77777777" w:rsidR="004A6E1A" w:rsidRDefault="004A6E1A" w:rsidP="004A6E1A">
      <w:pPr>
        <w:numPr>
          <w:ilvl w:val="0"/>
          <w:numId w:val="7"/>
        </w:numPr>
        <w:jc w:val="both"/>
      </w:pPr>
      <w:r>
        <w:t xml:space="preserve">Retrospective design in some studies </w:t>
      </w:r>
    </w:p>
    <w:p w14:paraId="21EE9551" w14:textId="77777777" w:rsidR="004A6E1A" w:rsidRDefault="004A6E1A" w:rsidP="004A6E1A">
      <w:pPr>
        <w:numPr>
          <w:ilvl w:val="0"/>
          <w:numId w:val="7"/>
        </w:numPr>
        <w:jc w:val="both"/>
      </w:pPr>
      <w:r>
        <w:t xml:space="preserve">Variation in outcome definitions </w:t>
      </w:r>
    </w:p>
    <w:p w14:paraId="58E30C22" w14:textId="77777777" w:rsidR="004A6E1A" w:rsidRDefault="004A6E1A" w:rsidP="004A6E1A">
      <w:pPr>
        <w:numPr>
          <w:ilvl w:val="0"/>
          <w:numId w:val="7"/>
        </w:numPr>
        <w:jc w:val="both"/>
      </w:pPr>
      <w:r>
        <w:t xml:space="preserve">Potential selection bias in single-center studies </w:t>
      </w:r>
    </w:p>
    <w:p w14:paraId="195547AD" w14:textId="69F90093" w:rsidR="004A6E1A" w:rsidRDefault="004A6E1A" w:rsidP="004A6E1A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655F944" wp14:editId="157CA600">
                <wp:extent cx="5969000" cy="39370"/>
                <wp:effectExtent l="9525" t="9525" r="12700" b="8255"/>
                <wp:docPr id="12167176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39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A0B557" w14:textId="77777777" w:rsidR="004A6E1A" w:rsidRDefault="004A6E1A" w:rsidP="004A6E1A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55F944" id="Rectangle 5" o:spid="_x0000_s1030" style="width:470pt;height: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spFwIAACwEAAAOAAAAZHJzL2Uyb0RvYy54bWysU9uO2yAQfa/Uf0C8N3ayt8aKs1plu1Wl&#10;7UXa9gMwYBsVM3QgsdOv70Cy2ah9qFTVD8gDw5k5Zw6r22mwbKcxGHA1n89KzrSToIzrav7t68Ob&#10;t5yFKJwSFpyu+V4Hfrt+/Wo1+kovoAerNDICcaEafc37GH1VFEH2ehBhBl47OmwBBxEpxK5QKEZC&#10;H2yxKMvrYgRUHkHqEGj3/nDI1xm/bbWMn9s26Mhszam3mFfMa5PWYr0SVYfC90Ye2xD/0MUgjKOi&#10;J6h7EQXbovkDajASIUAbZxKGAtrWSJ05EJt5+Rubp154nbmQOMGfZAr/D1Z+2j35L5haD/4R5PfA&#10;HGx64Tp9hwhjr4WicvMkVDH6UJ0upCDQVdaMH0HRaMU2QtZganFIgMSOTVnq/UlqPUUmafNqeb0s&#10;S5qIpLOL5cVNHkUhqufLHkN8r2Fg6afmSJPM4GL3GGJqRlTPKamWgwdjbZ6mdWykjhc3BJ95gTUq&#10;neYAu2Zjke1EMkT+MjWif56GsHUqoyUB3jnF4t4TR0cm5gk+DJxZTZann5wXhbF/z6OurTsqmcRL&#10;Pg1VnJqJGVXzy4SVdhpQe5IW4WBYemD00wP+pOJkVir7YyuQWrEfHI1nOb9cXJG7zwM8D5rzQDhJ&#10;UDWXETk7BJt4eBNbj6brqdY8S+fgjobamiz4S19HAmTJPIfj80meP49z1ssjX/8CAAD//wMAUEsD&#10;BBQABgAIAAAAIQBctWTE2QAAAAMBAAAPAAAAZHJzL2Rvd25yZXYueG1sTI9BS8NAEIXvgv9hGcFL&#10;sRuDRI3ZFFG8KBZsSs/b7JgEs7MhO2mjv97Ri14ePN7w3jfFava9OuAYu0AGLpcJKKQ6uI4aA9vq&#10;6eIGVGRLzvaB0MAnRliVpyeFzV040hseNtwoKaGYWwMt85BrHesWvY3LMCBJ9h5Gb1ns2Gg32qOU&#10;+16nSZJpbzuShdYO+NBi/bGZvIHnnaavF1w/chXr69c0LrJqMRlzfjbf34FinPnvGH7wBR1KYdqH&#10;iVxUvQF5hH9VsturROzeQJaCLgv9n738BgAA//8DAFBLAQItABQABgAIAAAAIQC2gziS/gAAAOEB&#10;AAATAAAAAAAAAAAAAAAAAAAAAABbQ29udGVudF9UeXBlc10ueG1sUEsBAi0AFAAGAAgAAAAhADj9&#10;If/WAAAAlAEAAAsAAAAAAAAAAAAAAAAALwEAAF9yZWxzLy5yZWxzUEsBAi0AFAAGAAgAAAAhANui&#10;WykXAgAALAQAAA4AAAAAAAAAAAAAAAAALgIAAGRycy9lMm9Eb2MueG1sUEsBAi0AFAAGAAgAAAAh&#10;AFy1ZMTZAAAAAwEAAA8AAAAAAAAAAAAAAAAAcQQAAGRycy9kb3ducmV2LnhtbFBLBQYAAAAABAAE&#10;APMAAAB3BQAAAAA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A0B557" w14:textId="77777777" w:rsidR="004A6E1A" w:rsidRDefault="004A6E1A" w:rsidP="004A6E1A"/>
                  </w:txbxContent>
                </v:textbox>
                <w10:anchorlock/>
              </v:rect>
            </w:pict>
          </mc:Fallback>
        </mc:AlternateContent>
      </w:r>
    </w:p>
    <w:p w14:paraId="77AB6AB9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Appendix 6. Definition of Low-Risk Chest Pain</w:t>
      </w:r>
    </w:p>
    <w:p w14:paraId="062A21DD" w14:textId="77777777" w:rsidR="004A6E1A" w:rsidRDefault="004A6E1A" w:rsidP="004A6E1A">
      <w:pPr>
        <w:jc w:val="both"/>
      </w:pPr>
      <w:r>
        <w:t>Across included studies, "low-risk" chest pain was defined using validated clinical tools:</w:t>
      </w:r>
    </w:p>
    <w:p w14:paraId="1961C912" w14:textId="77777777" w:rsidR="004A6E1A" w:rsidRDefault="004A6E1A" w:rsidP="004A6E1A">
      <w:pPr>
        <w:numPr>
          <w:ilvl w:val="0"/>
          <w:numId w:val="8"/>
        </w:numPr>
        <w:jc w:val="both"/>
      </w:pPr>
      <w:sdt>
        <w:sdtPr>
          <w:tag w:val="goog_rdk_39"/>
          <w:id w:val="880958488"/>
        </w:sdtPr>
        <w:sdtContent>
          <w:r>
            <w:rPr>
              <w:rFonts w:ascii="Gungsuh" w:eastAsia="Gungsuh" w:hAnsi="Gungsuh" w:cs="Gungsuh" w:hint="eastAsia"/>
              <w:b/>
              <w:bCs/>
            </w:rPr>
            <w:t>HEART score ≤3</w:t>
          </w:r>
        </w:sdtContent>
      </w:sdt>
      <w:r>
        <w:t xml:space="preserve"> </w:t>
      </w:r>
    </w:p>
    <w:p w14:paraId="576B6A57" w14:textId="77777777" w:rsidR="004A6E1A" w:rsidRDefault="004A6E1A" w:rsidP="004A6E1A">
      <w:pPr>
        <w:numPr>
          <w:ilvl w:val="0"/>
          <w:numId w:val="8"/>
        </w:numPr>
        <w:jc w:val="both"/>
      </w:pPr>
      <w:r>
        <w:rPr>
          <w:b/>
          <w:bCs/>
        </w:rPr>
        <w:t>HEART Pathway negative classification</w:t>
      </w:r>
      <w:r>
        <w:t xml:space="preserve"> </w:t>
      </w:r>
    </w:p>
    <w:p w14:paraId="4EDB6B4A" w14:textId="77777777" w:rsidR="004A6E1A" w:rsidRDefault="004A6E1A" w:rsidP="004A6E1A">
      <w:pPr>
        <w:numPr>
          <w:ilvl w:val="0"/>
          <w:numId w:val="8"/>
        </w:numPr>
        <w:jc w:val="both"/>
      </w:pPr>
      <w:r>
        <w:rPr>
          <w:b/>
          <w:bCs/>
        </w:rPr>
        <w:t>EDACS low-risk classification with negative troponin</w:t>
      </w:r>
      <w:r>
        <w:t xml:space="preserve"> </w:t>
      </w:r>
    </w:p>
    <w:p w14:paraId="52AFCDFF" w14:textId="77777777" w:rsidR="004A6E1A" w:rsidRDefault="004A6E1A" w:rsidP="004A6E1A">
      <w:pPr>
        <w:numPr>
          <w:ilvl w:val="0"/>
          <w:numId w:val="8"/>
        </w:numPr>
        <w:jc w:val="both"/>
      </w:pPr>
      <w:r>
        <w:rPr>
          <w:b/>
          <w:bCs/>
        </w:rPr>
        <w:t>TIMI score 0–1 (less consistently reliable)</w:t>
      </w:r>
      <w:r>
        <w:t xml:space="preserve"> </w:t>
      </w:r>
    </w:p>
    <w:p w14:paraId="3D7EA0DB" w14:textId="77777777" w:rsidR="004A6E1A" w:rsidRDefault="004A6E1A" w:rsidP="004A6E1A">
      <w:pPr>
        <w:jc w:val="both"/>
      </w:pPr>
      <w:r>
        <w:t>It is important to note that definitions were not entirely uniform across studies, contributing to heterogeneity in outcome reporting.</w:t>
      </w:r>
    </w:p>
    <w:p w14:paraId="3DEDB6A5" w14:textId="5513607B" w:rsidR="004A6E1A" w:rsidRDefault="004A6E1A" w:rsidP="004A6E1A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B4869AA" wp14:editId="285EBA07">
                <wp:extent cx="5969000" cy="39370"/>
                <wp:effectExtent l="9525" t="9525" r="12700" b="8255"/>
                <wp:docPr id="18246663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39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D8FFB0" w14:textId="77777777" w:rsidR="004A6E1A" w:rsidRDefault="004A6E1A" w:rsidP="004A6E1A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4869AA" id="Rectangle 4" o:spid="_x0000_s1031" style="width:470pt;height: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gWFwIAACwEAAAOAAAAZHJzL2Uyb0RvYy54bWysU1Fv0zAQfkfiP1h+p0k7ttGo6TR1DCGN&#10;gTT4AY7tJBaOz5zdJuXXc3a7roIHJEQerJx9/u6+7z6vbqbBsp3GYMDVfD4rOdNOgjKuq/m3r/dv&#10;3nEWonBKWHC65nsd+M369avV6Cu9gB6s0sgIxIVq9DXvY/RVUQTZ60GEGXjt6LAFHESkELtCoRgJ&#10;fbDFoiyvihFQeQSpQ6Ddu8MhX2f8ttUyfm7boCOzNafeYl4xr01ai/VKVB0K3xt5bEP8QxeDMI6K&#10;nqDuRBRsi+YPqMFIhABtnEkYCmhbI3XmQGzm5W9snnrhdeZC4gR/kin8P1j5uHvyXzC1HvwDyO+B&#10;Odj0wnX6FhHGXgtF5eZJqGL0oTpdSEGgq6wZP4Gi0YpthKzB1OKQAIkdm7LU+5PUeopM0ubl8mpZ&#10;ljQRSWcXy4vrPIpCVM+XPYb4QcPA0k/NkSaZwcXuIcTUjKieU1ItB/fG2jxN69hIHS+uCT7zAmtU&#10;Os0Bds3GItuJZIj8ZWpE/zwNYetURksCvHeKxb0njo5MzBN8GDizmixPPzkvCmP/nkddW3dUMomX&#10;fBqqODUTM4pUSVhppwG1J2kRDoalB0Y/PeBPKk5mpbI/tgKpFfvR0XiW87eLS3L3eYDnQXMeCCcJ&#10;quYyImeHYBMPb2Lr0XQ91Zpn6Rzc0lBbkwV/6etIgCyZ53B8Psnz53HOennk618AAAD//wMAUEsD&#10;BBQABgAIAAAAIQBctWTE2QAAAAMBAAAPAAAAZHJzL2Rvd25yZXYueG1sTI9BS8NAEIXvgv9hGcFL&#10;sRuDRI3ZFFG8KBZsSs/b7JgEs7MhO2mjv97Ri14ePN7w3jfFava9OuAYu0AGLpcJKKQ6uI4aA9vq&#10;6eIGVGRLzvaB0MAnRliVpyeFzV040hseNtwoKaGYWwMt85BrHesWvY3LMCBJ9h5Gb1ns2Gg32qOU&#10;+16nSZJpbzuShdYO+NBi/bGZvIHnnaavF1w/chXr69c0LrJqMRlzfjbf34FinPnvGH7wBR1KYdqH&#10;iVxUvQF5hH9VsturROzeQJaCLgv9n738BgAA//8DAFBLAQItABQABgAIAAAAIQC2gziS/gAAAOEB&#10;AAATAAAAAAAAAAAAAAAAAAAAAABbQ29udGVudF9UeXBlc10ueG1sUEsBAi0AFAAGAAgAAAAhADj9&#10;If/WAAAAlAEAAAsAAAAAAAAAAAAAAAAALwEAAF9yZWxzLy5yZWxzUEsBAi0AFAAGAAgAAAAhAFCe&#10;OBYXAgAALAQAAA4AAAAAAAAAAAAAAAAALgIAAGRycy9lMm9Eb2MueG1sUEsBAi0AFAAGAAgAAAAh&#10;AFy1ZMTZAAAAAwEAAA8AAAAAAAAAAAAAAAAAcQQAAGRycy9kb3ducmV2LnhtbFBLBQYAAAAABAAE&#10;APMAAAB3BQAAAAA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4D8FFB0" w14:textId="77777777" w:rsidR="004A6E1A" w:rsidRDefault="004A6E1A" w:rsidP="004A6E1A"/>
                  </w:txbxContent>
                </v:textbox>
                <w10:anchorlock/>
              </v:rect>
            </w:pict>
          </mc:Fallback>
        </mc:AlternateContent>
      </w:r>
    </w:p>
    <w:p w14:paraId="63849D8C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Appendix 7. Definition of Outcomes (MACE)</w:t>
      </w:r>
    </w:p>
    <w:p w14:paraId="719CFA3E" w14:textId="77777777" w:rsidR="004A6E1A" w:rsidRDefault="004A6E1A" w:rsidP="004A6E1A">
      <w:pPr>
        <w:jc w:val="both"/>
      </w:pPr>
      <w:r>
        <w:t xml:space="preserve">The primary outcome was </w:t>
      </w:r>
      <w:r>
        <w:rPr>
          <w:b/>
          <w:bCs/>
        </w:rPr>
        <w:t>30-day major adverse cardiac events (MACE)</w:t>
      </w:r>
      <w:r>
        <w:t>, defined as a composite of:</w:t>
      </w:r>
    </w:p>
    <w:p w14:paraId="2E391C6D" w14:textId="77777777" w:rsidR="004A6E1A" w:rsidRDefault="004A6E1A" w:rsidP="004A6E1A">
      <w:pPr>
        <w:numPr>
          <w:ilvl w:val="0"/>
          <w:numId w:val="9"/>
        </w:numPr>
        <w:jc w:val="both"/>
      </w:pPr>
      <w:r>
        <w:t xml:space="preserve">All-cause mortality </w:t>
      </w:r>
    </w:p>
    <w:p w14:paraId="60045DD5" w14:textId="77777777" w:rsidR="004A6E1A" w:rsidRDefault="004A6E1A" w:rsidP="004A6E1A">
      <w:pPr>
        <w:numPr>
          <w:ilvl w:val="0"/>
          <w:numId w:val="9"/>
        </w:numPr>
        <w:jc w:val="both"/>
      </w:pPr>
      <w:r>
        <w:t xml:space="preserve">Acute myocardial infarction </w:t>
      </w:r>
    </w:p>
    <w:p w14:paraId="2290A539" w14:textId="77777777" w:rsidR="004A6E1A" w:rsidRDefault="004A6E1A" w:rsidP="004A6E1A">
      <w:pPr>
        <w:numPr>
          <w:ilvl w:val="0"/>
          <w:numId w:val="9"/>
        </w:numPr>
        <w:jc w:val="both"/>
      </w:pPr>
      <w:r>
        <w:t xml:space="preserve">Urgent coronary revascularization (PCI or CABG) </w:t>
      </w:r>
    </w:p>
    <w:p w14:paraId="221F4451" w14:textId="77777777" w:rsidR="004A6E1A" w:rsidRDefault="004A6E1A" w:rsidP="004A6E1A">
      <w:pPr>
        <w:jc w:val="both"/>
      </w:pPr>
      <w:r>
        <w:t>Some studies included additional outcomes such as unstable angina requiring hospitalization. Variations in definitions were documented and considered in the synthesis.</w:t>
      </w:r>
    </w:p>
    <w:p w14:paraId="248C8B47" w14:textId="20AC40D5" w:rsidR="004A6E1A" w:rsidRDefault="004A6E1A" w:rsidP="004A6E1A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340A6EEF" wp14:editId="6591AD25">
                <wp:extent cx="5969000" cy="39370"/>
                <wp:effectExtent l="9525" t="9525" r="12700" b="8255"/>
                <wp:docPr id="17958089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39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FFD873" w14:textId="77777777" w:rsidR="004A6E1A" w:rsidRDefault="004A6E1A" w:rsidP="004A6E1A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0A6EEF" id="Rectangle 3" o:spid="_x0000_s1032" style="width:470pt;height: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51XFwIAACwEAAAOAAAAZHJzL2Uyb0RvYy54bWysU1Fv0zAQfkfiP1h+p0k7ttGo6TR1DCGN&#10;gTT4AY7tJBaOz5zdJuXXc3a7roIHJEQerJx9/u6+7z6vbqbBsp3GYMDVfD4rOdNOgjKuq/m3r/dv&#10;3nEWonBKWHC65nsd+M369avV6Cu9gB6s0sgIxIVq9DXvY/RVUQTZ60GEGXjt6LAFHESkELtCoRgJ&#10;fbDFoiyvihFQeQSpQ6Ddu8MhX2f8ttUyfm7boCOzNafeYl4xr01ai/VKVB0K3xt5bEP8QxeDMI6K&#10;nqDuRBRsi+YPqMFIhABtnEkYCmhbI3XmQGzm5W9snnrhdeZC4gR/kin8P1j5uHvyXzC1HvwDyO+B&#10;Odj0wnX6FhHGXgtF5eZJqGL0oTpdSEGgq6wZP4Gi0YpthKzB1OKQAIkdm7LU+5PUeopM0ubl8mpZ&#10;ljQRSWcXy4vrPIpCVM+XPYb4QcPA0k/NkSaZwcXuIcTUjKieU1ItB/fG2jxN69hIHS+uCT7zAmtU&#10;Os0Bds3GItuJZIj8ZWpE/zwNYetURksCvHeKxb0njo5MzBN8GDizmixPPzkvCmP/nkddW3dUMomX&#10;fBqqODUTM6rmVwkr7TSg9iQtwsGw9MDopwf8ScXJrFT2x1YgtWI/OhrPcv52cUnuPg/wPGjOA+Ek&#10;QdVcRuTsEGzi4U1sPZqup1rzLJ2DWxpqa7LgL30dCZAl8xyOzyd5/jzOWS+PfP0LAAD//wMAUEsD&#10;BBQABgAIAAAAIQBctWTE2QAAAAMBAAAPAAAAZHJzL2Rvd25yZXYueG1sTI9BS8NAEIXvgv9hGcFL&#10;sRuDRI3ZFFG8KBZsSs/b7JgEs7MhO2mjv97Ri14ePN7w3jfFava9OuAYu0AGLpcJKKQ6uI4aA9vq&#10;6eIGVGRLzvaB0MAnRliVpyeFzV040hseNtwoKaGYWwMt85BrHesWvY3LMCBJ9h5Gb1ns2Gg32qOU&#10;+16nSZJpbzuShdYO+NBi/bGZvIHnnaavF1w/chXr69c0LrJqMRlzfjbf34FinPnvGH7wBR1KYdqH&#10;iVxUvQF5hH9VsturROzeQJaCLgv9n738BgAA//8DAFBLAQItABQABgAIAAAAIQC2gziS/gAAAOEB&#10;AAATAAAAAAAAAAAAAAAAAAAAAABbQ29udGVudF9UeXBlc10ueG1sUEsBAi0AFAAGAAgAAAAhADj9&#10;If/WAAAAlAEAAAsAAAAAAAAAAAAAAAAALwEAAF9yZWxzLy5yZWxzUEsBAi0AFAAGAAgAAAAhAM3b&#10;nVcXAgAALAQAAA4AAAAAAAAAAAAAAAAALgIAAGRycy9lMm9Eb2MueG1sUEsBAi0AFAAGAAgAAAAh&#10;AFy1ZMTZAAAAAwEAAA8AAAAAAAAAAAAAAAAAcQQAAGRycy9kb3ducmV2LnhtbFBLBQYAAAAABAAE&#10;APMAAAB3BQAAAAA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AFFD873" w14:textId="77777777" w:rsidR="004A6E1A" w:rsidRDefault="004A6E1A" w:rsidP="004A6E1A"/>
                  </w:txbxContent>
                </v:textbox>
                <w10:anchorlock/>
              </v:rect>
            </w:pict>
          </mc:Fallback>
        </mc:AlternateContent>
      </w:r>
    </w:p>
    <w:p w14:paraId="3EC7F0F2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Appendix 8. Summary of Key Findings by Risk Tool</w:t>
      </w:r>
    </w:p>
    <w:p w14:paraId="177338B3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HEART Score / HEART Pathway</w:t>
      </w:r>
    </w:p>
    <w:p w14:paraId="3A52FB20" w14:textId="77777777" w:rsidR="004A6E1A" w:rsidRDefault="004A6E1A" w:rsidP="004A6E1A">
      <w:pPr>
        <w:numPr>
          <w:ilvl w:val="0"/>
          <w:numId w:val="10"/>
        </w:numPr>
        <w:jc w:val="both"/>
      </w:pPr>
      <w:r>
        <w:t xml:space="preserve">MACE rates ranged from approximately </w:t>
      </w:r>
      <w:r>
        <w:rPr>
          <w:b/>
          <w:bCs/>
        </w:rPr>
        <w:t>0.9% to 1.9%</w:t>
      </w:r>
      <w:r>
        <w:t xml:space="preserve"> </w:t>
      </w:r>
    </w:p>
    <w:p w14:paraId="1C78DB23" w14:textId="77777777" w:rsidR="004A6E1A" w:rsidRDefault="004A6E1A" w:rsidP="004A6E1A">
      <w:pPr>
        <w:numPr>
          <w:ilvl w:val="0"/>
          <w:numId w:val="10"/>
        </w:numPr>
        <w:jc w:val="both"/>
      </w:pPr>
      <w:r>
        <w:t xml:space="preserve">Borderline scores (HEART = 3) demonstrated higher risk in some studies </w:t>
      </w:r>
    </w:p>
    <w:p w14:paraId="637B7F64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EDACS / EDACS-ADP</w:t>
      </w:r>
    </w:p>
    <w:p w14:paraId="13D30994" w14:textId="77777777" w:rsidR="004A6E1A" w:rsidRDefault="004A6E1A" w:rsidP="004A6E1A">
      <w:pPr>
        <w:numPr>
          <w:ilvl w:val="0"/>
          <w:numId w:val="11"/>
        </w:numPr>
        <w:jc w:val="both"/>
      </w:pPr>
      <w:r>
        <w:lastRenderedPageBreak/>
        <w:t xml:space="preserve">MACE rates ranged from approximately </w:t>
      </w:r>
      <w:r>
        <w:rPr>
          <w:b/>
          <w:bCs/>
        </w:rPr>
        <w:t>0.3% to 1.2%</w:t>
      </w:r>
      <w:r>
        <w:t xml:space="preserve"> </w:t>
      </w:r>
    </w:p>
    <w:p w14:paraId="22233BF9" w14:textId="77777777" w:rsidR="004A6E1A" w:rsidRDefault="004A6E1A" w:rsidP="004A6E1A">
      <w:pPr>
        <w:numPr>
          <w:ilvl w:val="0"/>
          <w:numId w:val="11"/>
        </w:numPr>
        <w:jc w:val="both"/>
      </w:pPr>
      <w:r>
        <w:t xml:space="preserve">Demonstrated higher sensitivity but broader low-risk classification </w:t>
      </w:r>
    </w:p>
    <w:p w14:paraId="3CC084B1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TIMI Score</w:t>
      </w:r>
    </w:p>
    <w:p w14:paraId="40AF4DD9" w14:textId="77777777" w:rsidR="004A6E1A" w:rsidRDefault="004A6E1A" w:rsidP="004A6E1A">
      <w:pPr>
        <w:numPr>
          <w:ilvl w:val="0"/>
          <w:numId w:val="12"/>
        </w:numPr>
        <w:jc w:val="both"/>
      </w:pPr>
      <w:r>
        <w:t xml:space="preserve">Less reliable for identifying truly low-risk patients </w:t>
      </w:r>
    </w:p>
    <w:p w14:paraId="204A459E" w14:textId="77777777" w:rsidR="004A6E1A" w:rsidRDefault="004A6E1A" w:rsidP="004A6E1A">
      <w:pPr>
        <w:numPr>
          <w:ilvl w:val="0"/>
          <w:numId w:val="12"/>
        </w:numPr>
        <w:jc w:val="both"/>
      </w:pPr>
      <w:r>
        <w:t xml:space="preserve">Higher miss rates compared to HEART and EDACS </w:t>
      </w:r>
    </w:p>
    <w:p w14:paraId="5C5D7253" w14:textId="0813E10C" w:rsidR="004A6E1A" w:rsidRDefault="004A6E1A" w:rsidP="004A6E1A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0F4E87F1" wp14:editId="08A6F50E">
                <wp:extent cx="5969000" cy="39370"/>
                <wp:effectExtent l="9525" t="9525" r="12700" b="8255"/>
                <wp:docPr id="13059986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39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8CF406" w14:textId="77777777" w:rsidR="004A6E1A" w:rsidRDefault="004A6E1A" w:rsidP="004A6E1A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E87F1" id="Rectangle 2" o:spid="_x0000_s1033" style="width:470pt;height: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/5oFwIAACwEAAAOAAAAZHJzL2Uyb0RvYy54bWysU1Fv0zAQfkfiP1h+p0k7ttGo6TR1DCGN&#10;gTT4AY7tJBaOz5zdJuXXc3a7roIHJEQerJx9/u6+7z6vbqbBsp3GYMDVfD4rOdNOgjKuq/m3r/dv&#10;3nEWonBKWHC65nsd+M369avV6Cu9gB6s0sgIxIVq9DXvY/RVUQTZ60GEGXjt6LAFHESkELtCoRgJ&#10;fbDFoiyvihFQeQSpQ6Ddu8MhX2f8ttUyfm7boCOzNafeYl4xr01ai/VKVB0K3xt5bEP8QxeDMI6K&#10;nqDuRBRsi+YPqMFIhABtnEkYCmhbI3XmQGzm5W9snnrhdeZC4gR/kin8P1j5uHvyXzC1HvwDyO+B&#10;Odj0wnX6FhHGXgtF5eZJqGL0oTpdSEGgq6wZP4Gi0YpthKzB1OKQAIkdm7LU+5PUeopM0ubl8mpZ&#10;ljQRSWcXy4vrPIpCVM+XPYb4QcPA0k/NkSaZwcXuIcTUjKieU1ItB/fG2jxN69hIHS+uCT7zAmtU&#10;Os0Bds3GItuJZIj8ZWpE/zwNYetURksCvHeKxb0njo5MzBN8GDizmixPPzkvCmP/nkddW3dUMomX&#10;fBqqODUTM6rm1wkr7TSg9iQtwsGw9MDopwf8ScXJrFT2x1YgtWI/OhrPcv52cUnuPg/wPGjOA+Ek&#10;QdVcRuTsEGzi4U1sPZqup1rzLJ2DWxpqa7LgL30dCZAl8xyOzyd5/jzOWS+PfP0LAAD//wMAUEsD&#10;BBQABgAIAAAAIQBctWTE2QAAAAMBAAAPAAAAZHJzL2Rvd25yZXYueG1sTI9BS8NAEIXvgv9hGcFL&#10;sRuDRI3ZFFG8KBZsSs/b7JgEs7MhO2mjv97Ri14ePN7w3jfFava9OuAYu0AGLpcJKKQ6uI4aA9vq&#10;6eIGVGRLzvaB0MAnRliVpyeFzV040hseNtwoKaGYWwMt85BrHesWvY3LMCBJ9h5Gb1ns2Gg32qOU&#10;+16nSZJpbzuShdYO+NBi/bGZvIHnnaavF1w/chXr69c0LrJqMRlzfjbf34FinPnvGH7wBR1KYdqH&#10;iVxUvQF5hH9VsturROzeQJaCLgv9n738BgAA//8DAFBLAQItABQABgAIAAAAIQC2gziS/gAAAOEB&#10;AAATAAAAAAAAAAAAAAAAAAAAAABbQ29udGVudF9UeXBlc10ueG1sUEsBAi0AFAAGAAgAAAAhADj9&#10;If/WAAAAlAEAAAsAAAAAAAAAAAAAAAAALwEAAF9yZWxzLy5yZWxzUEsBAi0AFAAGAAgAAAAhAEbn&#10;/mgXAgAALAQAAA4AAAAAAAAAAAAAAAAALgIAAGRycy9lMm9Eb2MueG1sUEsBAi0AFAAGAAgAAAAh&#10;AFy1ZMTZAAAAAwEAAA8AAAAAAAAAAAAAAAAAcQQAAGRycy9kb3ducmV2LnhtbFBLBQYAAAAABAAE&#10;APMAAAB3BQAAAAA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18CF406" w14:textId="77777777" w:rsidR="004A6E1A" w:rsidRDefault="004A6E1A" w:rsidP="004A6E1A"/>
                  </w:txbxContent>
                </v:textbox>
                <w10:anchorlock/>
              </v:rect>
            </w:pict>
          </mc:Fallback>
        </mc:AlternateContent>
      </w:r>
    </w:p>
    <w:p w14:paraId="07F7AF46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Appendix 9. Analytical Approach</w:t>
      </w:r>
    </w:p>
    <w:p w14:paraId="440BD118" w14:textId="77777777" w:rsidR="004A6E1A" w:rsidRDefault="004A6E1A" w:rsidP="004A6E1A">
      <w:pPr>
        <w:jc w:val="both"/>
      </w:pPr>
      <w:r>
        <w:t xml:space="preserve">Due to heterogeneity in study designs, definitions of low-risk populations, and outcome reporting, a </w:t>
      </w:r>
      <w:r>
        <w:rPr>
          <w:b/>
          <w:bCs/>
        </w:rPr>
        <w:t>narrative synthesis approach</w:t>
      </w:r>
      <w:r>
        <w:t xml:space="preserve"> was employed. Meta-analysis was not conducted due to:</w:t>
      </w:r>
    </w:p>
    <w:p w14:paraId="14615632" w14:textId="77777777" w:rsidR="004A6E1A" w:rsidRDefault="004A6E1A" w:rsidP="004A6E1A">
      <w:pPr>
        <w:numPr>
          <w:ilvl w:val="0"/>
          <w:numId w:val="13"/>
        </w:numPr>
        <w:jc w:val="both"/>
      </w:pPr>
      <w:r>
        <w:t xml:space="preserve">Variability in MACE definitions </w:t>
      </w:r>
    </w:p>
    <w:p w14:paraId="753472C9" w14:textId="77777777" w:rsidR="004A6E1A" w:rsidRDefault="004A6E1A" w:rsidP="004A6E1A">
      <w:pPr>
        <w:numPr>
          <w:ilvl w:val="0"/>
          <w:numId w:val="13"/>
        </w:numPr>
        <w:jc w:val="both"/>
      </w:pPr>
      <w:r>
        <w:t xml:space="preserve">Differences in risk tool thresholds </w:t>
      </w:r>
    </w:p>
    <w:p w14:paraId="782472D1" w14:textId="77777777" w:rsidR="004A6E1A" w:rsidRDefault="004A6E1A" w:rsidP="004A6E1A">
      <w:pPr>
        <w:numPr>
          <w:ilvl w:val="0"/>
          <w:numId w:val="13"/>
        </w:numPr>
        <w:jc w:val="both"/>
      </w:pPr>
      <w:r>
        <w:t xml:space="preserve">Inconsistent reporting of outcomes </w:t>
      </w:r>
    </w:p>
    <w:p w14:paraId="2955A80D" w14:textId="77777777" w:rsidR="004A6E1A" w:rsidRDefault="004A6E1A" w:rsidP="004A6E1A">
      <w:pPr>
        <w:jc w:val="both"/>
      </w:pPr>
      <w:r>
        <w:t>Findings were stratified by risk stratification tool to allow structured comparison.</w:t>
      </w:r>
    </w:p>
    <w:p w14:paraId="561CB265" w14:textId="06E3B34C" w:rsidR="004A6E1A" w:rsidRDefault="004A6E1A" w:rsidP="004A6E1A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52C1D61B" wp14:editId="7480A916">
                <wp:extent cx="5969000" cy="39370"/>
                <wp:effectExtent l="9525" t="9525" r="12700" b="8255"/>
                <wp:docPr id="200605017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39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B5AF85" w14:textId="77777777" w:rsidR="004A6E1A" w:rsidRDefault="004A6E1A" w:rsidP="004A6E1A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C1D61B" id="Rectangle 1" o:spid="_x0000_s1034" style="width:470pt;height: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/0GAIAACwEAAAOAAAAZHJzL2Uyb0RvYy54bWysU9uO2yAQfa/Uf0C8N3ay3UusOKtVtltV&#10;2l6kbT8AA7ZRMUMHEjv9+g4km43ah0pV/YA8MJyZc+awup0Gy3YagwFX8/ms5Ew7Ccq4rubfvj68&#10;ueEsROGUsOB0zfc68Nv161er0Vd6AT1YpZERiAvV6Gvex+irogiy14MIM/Da0WELOIhIIXaFQjES&#10;+mCLRVleFSOg8ghSh0C794dDvs74batl/Ny2QUdma069xbxiXpu0FuuVqDoUvjfy2Ib4hy4GYRwV&#10;PUHdiyjYFs0fUIORCAHaOJMwFNC2RurMgdjMy9/YPPXC68yFxAn+JFP4f7Dy0+7Jf8HUevCPIL8H&#10;5mDTC9fpO0QYey0UlZsnoYrRh+p0IQWBrrJm/AiKRiu2EbIGU4tDAiR2bMpS709S6ykySZuXy6tl&#10;WdJEJJ1dLC+u8ygKUT1f9hjiew0DSz81R5pkBhe7xxBTM6J6Tkm1HDwYa/M0rWMjdby4JvjMC6xR&#10;6TQH2DUbi2wnkiHyl6kR/fM0hK1TGS0J8M4pFveeODoyMU/wYeDMarI8/eS8KIz9ex51bd1RySRe&#10;8mmo4tRMzKia3ySstNOA2pO0CAfD0gOjnx7wJxUns1LZH1uB1Ir94Gg8y/nbxSW5+zzA86A5D4ST&#10;BFVzGZGzQ7CJhzex9Wi6nmrNs3QO7miorcmCv/R1JECWzHM4Pp/k+fM4Z7088vUvAAAA//8DAFBL&#10;AwQUAAYACAAAACEAXLVkxNkAAAADAQAADwAAAGRycy9kb3ducmV2LnhtbEyPQUvDQBCF74L/YRnB&#10;S7Ebg0SN2RRRvCgWbErP2+yYBLOzITtpo7/e0YteHjze8N43xWr2vTrgGLtABi6XCSikOriOGgPb&#10;6uniBlRkS872gdDAJ0ZYlacnhc1dONIbHjbcKCmhmFsDLfOQax3rFr2NyzAgSfYeRm9Z7NhoN9qj&#10;lPtep0mSaW87koXWDvjQYv2xmbyB552mrxdcP3IV6+vXNC6yajEZc34239+BYpz57xh+8AUdSmHa&#10;h4lcVL0BeYR/VbLbq0Ts3kCWgi4L/Z+9/AYAAP//AwBQSwECLQAUAAYACAAAACEAtoM4kv4AAADh&#10;AQAAEwAAAAAAAAAAAAAAAAAAAAAAW0NvbnRlbnRfVHlwZXNdLnhtbFBLAQItABQABgAIAAAAIQA4&#10;/SH/1gAAAJQBAAALAAAAAAAAAAAAAAAAAC8BAABfcmVscy8ucmVsc1BLAQItABQABgAIAAAAIQDu&#10;sr/0GAIAACwEAAAOAAAAAAAAAAAAAAAAAC4CAABkcnMvZTJvRG9jLnhtbFBLAQItABQABgAIAAAA&#10;IQBctWTE2QAAAAMBAAAPAAAAAAAAAAAAAAAAAHIEAABkcnMvZG93bnJldi54bWxQSwUGAAAAAAQA&#10;BADzAAAAeAUAAAAA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9B5AF85" w14:textId="77777777" w:rsidR="004A6E1A" w:rsidRDefault="004A6E1A" w:rsidP="004A6E1A"/>
                  </w:txbxContent>
                </v:textbox>
                <w10:anchorlock/>
              </v:rect>
            </w:pict>
          </mc:Fallback>
        </mc:AlternateContent>
      </w:r>
    </w:p>
    <w:p w14:paraId="25F4A4F5" w14:textId="77777777" w:rsidR="004A6E1A" w:rsidRDefault="004A6E1A" w:rsidP="004A6E1A">
      <w:pPr>
        <w:jc w:val="both"/>
        <w:rPr>
          <w:b/>
          <w:bCs/>
        </w:rPr>
      </w:pPr>
      <w:r>
        <w:rPr>
          <w:b/>
          <w:bCs/>
        </w:rPr>
        <w:t>Appendix 10. Study Limitations Identified Across Included Studies</w:t>
      </w:r>
    </w:p>
    <w:p w14:paraId="356923CB" w14:textId="77777777" w:rsidR="004A6E1A" w:rsidRDefault="004A6E1A" w:rsidP="004A6E1A">
      <w:pPr>
        <w:jc w:val="both"/>
      </w:pPr>
      <w:r>
        <w:t>Common limitations across studies included:</w:t>
      </w:r>
    </w:p>
    <w:p w14:paraId="1D8F05F4" w14:textId="77777777" w:rsidR="004A6E1A" w:rsidRDefault="004A6E1A" w:rsidP="004A6E1A">
      <w:pPr>
        <w:numPr>
          <w:ilvl w:val="0"/>
          <w:numId w:val="14"/>
        </w:numPr>
        <w:jc w:val="both"/>
      </w:pPr>
      <w:r>
        <w:t xml:space="preserve">Heterogeneity in outcome definitions </w:t>
      </w:r>
    </w:p>
    <w:p w14:paraId="12E42800" w14:textId="77777777" w:rsidR="004A6E1A" w:rsidRDefault="004A6E1A" w:rsidP="004A6E1A">
      <w:pPr>
        <w:numPr>
          <w:ilvl w:val="0"/>
          <w:numId w:val="14"/>
        </w:numPr>
        <w:jc w:val="both"/>
      </w:pPr>
      <w:r>
        <w:t xml:space="preserve">Variability in troponin assay sensitivity </w:t>
      </w:r>
    </w:p>
    <w:p w14:paraId="55DF50FB" w14:textId="77777777" w:rsidR="004A6E1A" w:rsidRDefault="004A6E1A" w:rsidP="004A6E1A">
      <w:pPr>
        <w:numPr>
          <w:ilvl w:val="0"/>
          <w:numId w:val="14"/>
        </w:numPr>
        <w:jc w:val="both"/>
      </w:pPr>
      <w:r>
        <w:t xml:space="preserve">Predominance of high-income country settings </w:t>
      </w:r>
    </w:p>
    <w:p w14:paraId="733283DF" w14:textId="77777777" w:rsidR="004A6E1A" w:rsidRDefault="004A6E1A" w:rsidP="004A6E1A">
      <w:pPr>
        <w:numPr>
          <w:ilvl w:val="0"/>
          <w:numId w:val="14"/>
        </w:numPr>
        <w:jc w:val="both"/>
      </w:pPr>
      <w:r>
        <w:t xml:space="preserve">Limited reporting of patient-centered outcomes </w:t>
      </w:r>
    </w:p>
    <w:p w14:paraId="73FA0848" w14:textId="77777777" w:rsidR="004A6E1A" w:rsidRDefault="004A6E1A" w:rsidP="004A6E1A">
      <w:pPr>
        <w:numPr>
          <w:ilvl w:val="0"/>
          <w:numId w:val="14"/>
        </w:numPr>
        <w:jc w:val="both"/>
      </w:pPr>
      <w:r>
        <w:t xml:space="preserve">Potential publication bias </w:t>
      </w:r>
    </w:p>
    <w:p w14:paraId="5A1C9F2D" w14:textId="77777777" w:rsidR="004A6E1A" w:rsidRDefault="004A6E1A" w:rsidP="004A6E1A">
      <w:pPr>
        <w:jc w:val="both"/>
      </w:pPr>
      <w:r>
        <w:t>These factors were considered in interpreting the findings.</w:t>
      </w:r>
    </w:p>
    <w:p w14:paraId="17136647" w14:textId="77777777" w:rsidR="004A6E1A" w:rsidRDefault="004A6E1A" w:rsidP="004A6E1A">
      <w:pPr>
        <w:spacing w:line="480" w:lineRule="auto"/>
        <w:jc w:val="both"/>
      </w:pPr>
    </w:p>
    <w:p w14:paraId="2F2EB7C6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5209"/>
    <w:multiLevelType w:val="multilevel"/>
    <w:tmpl w:val="C76044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6211BF1"/>
    <w:multiLevelType w:val="multilevel"/>
    <w:tmpl w:val="4B3A4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B6A5869"/>
    <w:multiLevelType w:val="multilevel"/>
    <w:tmpl w:val="1E482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EF93532"/>
    <w:multiLevelType w:val="multilevel"/>
    <w:tmpl w:val="021A0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F4366E8"/>
    <w:multiLevelType w:val="multilevel"/>
    <w:tmpl w:val="4F62D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33E1EA6"/>
    <w:multiLevelType w:val="multilevel"/>
    <w:tmpl w:val="E250D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B0739B5"/>
    <w:multiLevelType w:val="multilevel"/>
    <w:tmpl w:val="2DC2D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0F129C0"/>
    <w:multiLevelType w:val="multilevel"/>
    <w:tmpl w:val="AE2E9C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58E3DA4"/>
    <w:multiLevelType w:val="multilevel"/>
    <w:tmpl w:val="F482B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DD0196A"/>
    <w:multiLevelType w:val="multilevel"/>
    <w:tmpl w:val="7C346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4E075D5"/>
    <w:multiLevelType w:val="multilevel"/>
    <w:tmpl w:val="7750D8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50344C1"/>
    <w:multiLevelType w:val="multilevel"/>
    <w:tmpl w:val="A358E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AE60B7B"/>
    <w:multiLevelType w:val="multilevel"/>
    <w:tmpl w:val="2F264E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BB51D1E"/>
    <w:multiLevelType w:val="multilevel"/>
    <w:tmpl w:val="84841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3901017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1836496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877182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2421340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5182418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90414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2446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809895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740494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8751473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6804807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783018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1450063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230074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1A"/>
    <w:rsid w:val="004A6E1A"/>
    <w:rsid w:val="00767E38"/>
    <w:rsid w:val="00866F7D"/>
    <w:rsid w:val="00CB5108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E870B"/>
  <w15:chartTrackingRefBased/>
  <w15:docId w15:val="{91092E2B-25E9-4D12-9A83-AEA6492F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1A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E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E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E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E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2026-04-20T09:22:00Z</dcterms:created>
  <dcterms:modified xsi:type="dcterms:W3CDTF">2026-04-20T09:22:00Z</dcterms:modified>
</cp:coreProperties>
</file>