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39B68" w14:textId="77777777" w:rsidR="00D41A11" w:rsidRDefault="00D41A11" w:rsidP="009F5672">
      <w:pPr>
        <w:pStyle w:val="Heading1"/>
        <w:jc w:val="center"/>
        <w:rPr>
          <w:rFonts w:ascii="Times New Roman" w:hAnsi="Times New Roman" w:cs="Times New Roman"/>
          <w:color w:val="auto"/>
          <w:sz w:val="24"/>
          <w:szCs w:val="24"/>
        </w:rPr>
      </w:pPr>
      <w:r w:rsidRPr="00D41A11">
        <w:rPr>
          <w:rFonts w:ascii="Times New Roman" w:hAnsi="Times New Roman" w:cs="Times New Roman"/>
          <w:color w:val="auto"/>
          <w:sz w:val="24"/>
          <w:szCs w:val="24"/>
        </w:rPr>
        <w:t>Supplementary Materials for Human-Centered GenAI Feedback Design in Higher Education: A Multisite Experiment on Direct, Reflective, and Hybrid Approaches to Scientific Argumentation</w:t>
      </w:r>
    </w:p>
    <w:p w14:paraId="7DAA5011" w14:textId="77A85A78"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t>1. Supplementary Overview</w:t>
      </w:r>
    </w:p>
    <w:p w14:paraId="09CE9AF5"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This supplementary document provides the supporting materials referenced in the main manuscript, including the analytic scientific argumentation rubric, the GenAI prompting and interface protocol, fidelity-audit materials, additional analytic notes, and supplementary tables. The document is organized to improve transparency, reproducibility, and internal alignment between the main manuscript and the supporting documentation.</w:t>
      </w:r>
    </w:p>
    <w:p w14:paraId="561B695E"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supplement is structured to mirror the claims made in the main text. Appendix A documents the scientific argumentation rubric and associated scoring guidance. Appendix B documents the GenAI prompting architecture, output constraints, interface procedures, and representative LMS-integrated screens. Appendix C provides the fidelity-audit framework and checklist. Appendix D provides supplementary analytic notes and expanded sensitivity-analysis reporting. Existing Supplementary Tables S1 and S2 are retained without changes to their reported values, and three additional tables (S3–S5) document the sensitivity analyses referenced in the Results section.</w:t>
      </w:r>
    </w:p>
    <w:p w14:paraId="74A6161C" w14:textId="77777777"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t>2. Supplementary Appendix A. Scientific Argumentation Rubric and Scoring Materials</w:t>
      </w:r>
    </w:p>
    <w:p w14:paraId="22AB1DA5"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A1. Rubric overview</w:t>
      </w:r>
    </w:p>
    <w:p w14:paraId="199D04F5"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Students’ drafts were evaluated with a five-dimension analytic scientific argumentation framework adapted for introductory university science writing tasks. To preserve stage comparability, the initial draft was scored on the four content dimensions shared across draft stages—claim quality, evidence relevance and sufficiency, coherence of reasoning, and treatment of limitations or alternative explanations (possible range = 4–16). The revised submission was scored on these same four content dimensions and, in addition, on a strategic-quality-of-revision dimension derived from side-by-side comparison of the initial and revised drafts (possible revised-draft range = 5–20). For the primary revision-gain models, improvement was estimated on the common four-dimension argument score from first draft to final draft; the separate strategic-quality-of-revision dimension was retained to characterize the strategic quality of revision itself and to support supplementary interpretive analyses.</w:t>
      </w:r>
    </w:p>
    <w:p w14:paraId="37D3DF74"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 xml:space="preserve">The framework was designed to privilege disciplinary reasoning over surface-level fluency. Accordingly, high scores required not only coherent prose but also the accurate formulation of claims, relevant and sufficient evidence, explicit reasoning linking evidence to claims, and attention to limitations or alternative explanations. When the strategic-quality-of-revision dimension was scored on revised submissions, raters also evaluated the extent to which changes between drafts were purposeful, substantive, and well integrated across the argument. Raters completed two 2-hour </w:t>
      </w:r>
      <w:r w:rsidRPr="00D41A11">
        <w:rPr>
          <w:rFonts w:ascii="Times New Roman" w:hAnsi="Times New Roman" w:cs="Times New Roman"/>
          <w:sz w:val="24"/>
          <w:szCs w:val="24"/>
        </w:rPr>
        <w:lastRenderedPageBreak/>
        <w:t>calibration sessions using anchor responses from biology, chemistry, and physics prior to scoring study data.</w:t>
      </w:r>
    </w:p>
    <w:p w14:paraId="563044AC"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A2. Rubric dimensions</w:t>
      </w:r>
    </w:p>
    <w:p w14:paraId="14C76B08"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Scoring note. The first four dimensions below were scored for both initial and revised drafts. The fifth dimension, strategic quality of revision, was scored only for revised submissions on the basis of a paired comparison with the student’s initial draft.</w:t>
      </w:r>
    </w:p>
    <w:tbl>
      <w:tblPr>
        <w:tblStyle w:val="TableGrid"/>
        <w:tblW w:w="0" w:type="auto"/>
        <w:jc w:val="center"/>
        <w:tblLook w:val="04A0" w:firstRow="1" w:lastRow="0" w:firstColumn="1" w:lastColumn="0" w:noHBand="0" w:noVBand="1"/>
      </w:tblPr>
      <w:tblGrid>
        <w:gridCol w:w="1930"/>
        <w:gridCol w:w="1930"/>
        <w:gridCol w:w="1930"/>
        <w:gridCol w:w="1930"/>
        <w:gridCol w:w="1930"/>
      </w:tblGrid>
      <w:tr w:rsidR="00D41A11" w:rsidRPr="00D41A11" w14:paraId="487C2327" w14:textId="77777777" w:rsidTr="009F5672">
        <w:trPr>
          <w:jc w:val="center"/>
        </w:trPr>
        <w:tc>
          <w:tcPr>
            <w:tcW w:w="1930" w:type="dxa"/>
            <w:vAlign w:val="center"/>
          </w:tcPr>
          <w:p w14:paraId="4161BEA4"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Dimension</w:t>
            </w:r>
          </w:p>
        </w:tc>
        <w:tc>
          <w:tcPr>
            <w:tcW w:w="1930" w:type="dxa"/>
            <w:vAlign w:val="center"/>
          </w:tcPr>
          <w:p w14:paraId="5DDB5DE9"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Level 1</w:t>
            </w:r>
          </w:p>
        </w:tc>
        <w:tc>
          <w:tcPr>
            <w:tcW w:w="1930" w:type="dxa"/>
            <w:vAlign w:val="center"/>
          </w:tcPr>
          <w:p w14:paraId="43AEA6A9"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Level 2</w:t>
            </w:r>
          </w:p>
        </w:tc>
        <w:tc>
          <w:tcPr>
            <w:tcW w:w="1930" w:type="dxa"/>
            <w:vAlign w:val="center"/>
          </w:tcPr>
          <w:p w14:paraId="1E3C7445"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Level 3</w:t>
            </w:r>
          </w:p>
        </w:tc>
        <w:tc>
          <w:tcPr>
            <w:tcW w:w="1930" w:type="dxa"/>
            <w:vAlign w:val="center"/>
          </w:tcPr>
          <w:p w14:paraId="10452A80"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Level 4</w:t>
            </w:r>
          </w:p>
        </w:tc>
      </w:tr>
      <w:tr w:rsidR="00D41A11" w:rsidRPr="00D41A11" w14:paraId="3C2B69F6" w14:textId="77777777">
        <w:trPr>
          <w:jc w:val="center"/>
        </w:trPr>
        <w:tc>
          <w:tcPr>
            <w:tcW w:w="1930" w:type="dxa"/>
            <w:vAlign w:val="center"/>
          </w:tcPr>
          <w:p w14:paraId="5D5D60E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Claim quality</w:t>
            </w:r>
          </w:p>
        </w:tc>
        <w:tc>
          <w:tcPr>
            <w:tcW w:w="1930" w:type="dxa"/>
            <w:vAlign w:val="center"/>
          </w:tcPr>
          <w:p w14:paraId="625BD15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The response presents no clear scientific claim, or the claim is substantially inaccurate, vague, or inconsistent with the task and evidence.</w:t>
            </w:r>
          </w:p>
        </w:tc>
        <w:tc>
          <w:tcPr>
            <w:tcW w:w="1930" w:type="dxa"/>
            <w:vAlign w:val="center"/>
          </w:tcPr>
          <w:p w14:paraId="777BCD4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 claim is present but is only partially accurate, weakly specified, or insufficiently aligned with the data or problem context.</w:t>
            </w:r>
          </w:p>
        </w:tc>
        <w:tc>
          <w:tcPr>
            <w:tcW w:w="1930" w:type="dxa"/>
            <w:vAlign w:val="center"/>
          </w:tcPr>
          <w:p w14:paraId="637E02B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The response presents a clear and mostly accurate claim that is aligned with the task and generally supported by the available evidence.</w:t>
            </w:r>
          </w:p>
        </w:tc>
        <w:tc>
          <w:tcPr>
            <w:tcW w:w="1930" w:type="dxa"/>
            <w:vAlign w:val="center"/>
          </w:tcPr>
          <w:p w14:paraId="743BFB7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The response presents a precise, well-bounded, and scientifically appropriate claim that is explicitly aligned with the task and qualified where necessary.</w:t>
            </w:r>
          </w:p>
        </w:tc>
      </w:tr>
      <w:tr w:rsidR="00D41A11" w:rsidRPr="00D41A11" w14:paraId="3733A814" w14:textId="77777777">
        <w:trPr>
          <w:jc w:val="center"/>
        </w:trPr>
        <w:tc>
          <w:tcPr>
            <w:tcW w:w="1930" w:type="dxa"/>
            <w:vAlign w:val="center"/>
          </w:tcPr>
          <w:p w14:paraId="688CD8E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Evidence relevance and sufficiency</w:t>
            </w:r>
          </w:p>
        </w:tc>
        <w:tc>
          <w:tcPr>
            <w:tcW w:w="1930" w:type="dxa"/>
            <w:vAlign w:val="center"/>
          </w:tcPr>
          <w:p w14:paraId="7E6A349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Evidence is absent, largely irrelevant, or too limited to support the claim.</w:t>
            </w:r>
          </w:p>
        </w:tc>
        <w:tc>
          <w:tcPr>
            <w:tcW w:w="1930" w:type="dxa"/>
            <w:vAlign w:val="center"/>
          </w:tcPr>
          <w:p w14:paraId="4B71604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Some relevant evidence is used, but important evidence is omitted, weakly selected, or insufficiently developed.</w:t>
            </w:r>
          </w:p>
        </w:tc>
        <w:tc>
          <w:tcPr>
            <w:tcW w:w="1930" w:type="dxa"/>
            <w:vAlign w:val="center"/>
          </w:tcPr>
          <w:p w14:paraId="578827C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Relevant evidence is selected and is generally sufficient to support the claim, although some integration or precision may be limited.</w:t>
            </w:r>
          </w:p>
        </w:tc>
        <w:tc>
          <w:tcPr>
            <w:tcW w:w="1930" w:type="dxa"/>
            <w:vAlign w:val="center"/>
          </w:tcPr>
          <w:p w14:paraId="1D6B449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Evidence is highly relevant, sufficient, and well integrated, with clear selection of the most probative information for the claim.</w:t>
            </w:r>
          </w:p>
        </w:tc>
      </w:tr>
      <w:tr w:rsidR="00D41A11" w:rsidRPr="00D41A11" w14:paraId="1F8D31DA" w14:textId="77777777">
        <w:trPr>
          <w:jc w:val="center"/>
        </w:trPr>
        <w:tc>
          <w:tcPr>
            <w:tcW w:w="1930" w:type="dxa"/>
            <w:vAlign w:val="center"/>
          </w:tcPr>
          <w:p w14:paraId="53C3E2D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Coherence of reasoning</w:t>
            </w:r>
          </w:p>
        </w:tc>
        <w:tc>
          <w:tcPr>
            <w:tcW w:w="1930" w:type="dxa"/>
            <w:vAlign w:val="center"/>
          </w:tcPr>
          <w:p w14:paraId="1CE1B78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Reasoning is absent, erroneous, or disconnected from both the claim and the evidence.</w:t>
            </w:r>
          </w:p>
        </w:tc>
        <w:tc>
          <w:tcPr>
            <w:tcW w:w="1930" w:type="dxa"/>
            <w:vAlign w:val="center"/>
          </w:tcPr>
          <w:p w14:paraId="1A49BD9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Reasoning is present but underdeveloped, partially flawed, or only loosely connects evidence to the claim.</w:t>
            </w:r>
          </w:p>
        </w:tc>
        <w:tc>
          <w:tcPr>
            <w:tcW w:w="1930" w:type="dxa"/>
            <w:vAlign w:val="center"/>
          </w:tcPr>
          <w:p w14:paraId="19F9EDC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Reasoning generally explains how the evidence supports the claim, although some logical steps may remain implicit or incomplete.</w:t>
            </w:r>
          </w:p>
        </w:tc>
        <w:tc>
          <w:tcPr>
            <w:tcW w:w="1930" w:type="dxa"/>
            <w:vAlign w:val="center"/>
          </w:tcPr>
          <w:p w14:paraId="24244C3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Reasoning is explicit, coherent, and scientifically sound, making clear why the selected evidence justifies the claim.</w:t>
            </w:r>
          </w:p>
        </w:tc>
      </w:tr>
      <w:tr w:rsidR="00D41A11" w:rsidRPr="00D41A11" w14:paraId="051BBB8E" w14:textId="77777777">
        <w:trPr>
          <w:jc w:val="center"/>
        </w:trPr>
        <w:tc>
          <w:tcPr>
            <w:tcW w:w="1930" w:type="dxa"/>
            <w:vAlign w:val="center"/>
          </w:tcPr>
          <w:p w14:paraId="06BE377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Treatment of limitations or alternative explanations</w:t>
            </w:r>
          </w:p>
        </w:tc>
        <w:tc>
          <w:tcPr>
            <w:tcW w:w="1930" w:type="dxa"/>
            <w:vAlign w:val="center"/>
          </w:tcPr>
          <w:p w14:paraId="4A6182D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No limitation, uncertainty, or alternative explanation is acknowledged.</w:t>
            </w:r>
          </w:p>
        </w:tc>
        <w:tc>
          <w:tcPr>
            <w:tcW w:w="1930" w:type="dxa"/>
            <w:vAlign w:val="center"/>
          </w:tcPr>
          <w:p w14:paraId="19E5C3C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 xml:space="preserve">A limitation or alternative explanation is mentioned, but treatment is minimal, generic, or disconnected from the </w:t>
            </w:r>
            <w:r w:rsidRPr="00D41A11">
              <w:rPr>
                <w:rFonts w:ascii="Times New Roman" w:hAnsi="Times New Roman" w:cs="Times New Roman"/>
                <w:sz w:val="24"/>
                <w:szCs w:val="24"/>
              </w:rPr>
              <w:lastRenderedPageBreak/>
              <w:t>argument.</w:t>
            </w:r>
          </w:p>
        </w:tc>
        <w:tc>
          <w:tcPr>
            <w:tcW w:w="1930" w:type="dxa"/>
            <w:vAlign w:val="center"/>
          </w:tcPr>
          <w:p w14:paraId="1E93A5C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 xml:space="preserve">At least one plausible limitation, uncertainty, or alternative explanation is acknowledged and related to the </w:t>
            </w:r>
            <w:r w:rsidRPr="00D41A11">
              <w:rPr>
                <w:rFonts w:ascii="Times New Roman" w:hAnsi="Times New Roman" w:cs="Times New Roman"/>
                <w:sz w:val="24"/>
                <w:szCs w:val="24"/>
              </w:rPr>
              <w:lastRenderedPageBreak/>
              <w:t>argument.</w:t>
            </w:r>
          </w:p>
        </w:tc>
        <w:tc>
          <w:tcPr>
            <w:tcW w:w="1930" w:type="dxa"/>
            <w:vAlign w:val="center"/>
          </w:tcPr>
          <w:p w14:paraId="214C3F0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 xml:space="preserve">The response critically addresses uncertainty, limitations, or alternative explanations and explains how </w:t>
            </w:r>
            <w:r w:rsidRPr="00D41A11">
              <w:rPr>
                <w:rFonts w:ascii="Times New Roman" w:hAnsi="Times New Roman" w:cs="Times New Roman"/>
                <w:sz w:val="24"/>
                <w:szCs w:val="24"/>
              </w:rPr>
              <w:lastRenderedPageBreak/>
              <w:t>they strengthen, qualify, or constrain the conclusion.</w:t>
            </w:r>
          </w:p>
        </w:tc>
      </w:tr>
      <w:tr w:rsidR="00A7350A" w:rsidRPr="00D41A11" w14:paraId="0EAD8223" w14:textId="77777777">
        <w:trPr>
          <w:jc w:val="center"/>
        </w:trPr>
        <w:tc>
          <w:tcPr>
            <w:tcW w:w="1930" w:type="dxa"/>
            <w:vAlign w:val="center"/>
          </w:tcPr>
          <w:p w14:paraId="13F6E44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Strategic quality of revision</w:t>
            </w:r>
          </w:p>
        </w:tc>
        <w:tc>
          <w:tcPr>
            <w:tcW w:w="1930" w:type="dxa"/>
            <w:vAlign w:val="center"/>
          </w:tcPr>
          <w:p w14:paraId="01A0E37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is minimal and consists primarily of cosmetic or surface-level changes with little improvement in argument quality.</w:t>
            </w:r>
          </w:p>
        </w:tc>
        <w:tc>
          <w:tcPr>
            <w:tcW w:w="1930" w:type="dxa"/>
            <w:vAlign w:val="center"/>
          </w:tcPr>
          <w:p w14:paraId="144249D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includes some targeted changes, but improvements are uneven and the argument remains only partly strengthened.</w:t>
            </w:r>
          </w:p>
        </w:tc>
        <w:tc>
          <w:tcPr>
            <w:tcW w:w="1930" w:type="dxa"/>
            <w:vAlign w:val="center"/>
          </w:tcPr>
          <w:p w14:paraId="4E182E4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includes substantive improvements to one or more major dimensions of the argument and results in a clearer, stronger response.</w:t>
            </w:r>
          </w:p>
        </w:tc>
        <w:tc>
          <w:tcPr>
            <w:tcW w:w="1930" w:type="dxa"/>
            <w:vAlign w:val="center"/>
          </w:tcPr>
          <w:p w14:paraId="10B519D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is strategic, substantive, and comprehensive, improving the claim, evidence, reasoning, and/or treatment of limitations in a well-integrated way.</w:t>
            </w:r>
          </w:p>
        </w:tc>
      </w:tr>
    </w:tbl>
    <w:p w14:paraId="31662633" w14:textId="77777777" w:rsidR="00A7350A" w:rsidRPr="00D41A11" w:rsidRDefault="00A7350A" w:rsidP="009F5672">
      <w:pPr>
        <w:rPr>
          <w:rFonts w:ascii="Times New Roman" w:hAnsi="Times New Roman" w:cs="Times New Roman"/>
          <w:sz w:val="24"/>
          <w:szCs w:val="24"/>
        </w:rPr>
      </w:pPr>
    </w:p>
    <w:p w14:paraId="36D42FD2"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A3. Scoring notes</w:t>
      </w:r>
    </w:p>
    <w:p w14:paraId="053B5519"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Each dimension was scored independently on the 1–4 scale. First drafts received scores on the four common content dimensions only. Revised submissions received scores on the same four content dimensions and a fifth strategic-quality-of-revision score based on side-by-side comparison with the student’s initial draft. For analyses requiring equivalent pre/post scaling, a common four-dimension subtotal was used at both draft stages; the separate strategic-quality-of-revision score was archived alongside the revised draft and used in adjudication, calibration checks, and supplementary interpretation. Two trained raters independently scored all submissions. When discrepancies exceeded one point on any rubric dimension, scores were resolved through discussion and the adjudicated ratings were used in the analyses.</w:t>
      </w:r>
    </w:p>
    <w:p w14:paraId="503C5056"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same four content dimensions were applied across intervention and transfer tasks, with topic-specific descriptors used to preserve disciplinary appropriateness within biology, chemistry, and physics. The strategic-quality-of-revision dimension was reserved for revised submissions in the intervention cycles because its scoring required direct comparison between a student’s initial and revised drafts. During rater training, emphasis was placed on distinguishing disciplinary adequacy from stylistic polish so that higher scores reflected stronger scientific argumentation rather than merely more fluent writing.</w:t>
      </w:r>
    </w:p>
    <w:p w14:paraId="34E2CC2F"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Revision depth was coded separately from the rubric on a 3-point scale (1 = predominantly surface-level, 2 = mixed, 3 = predominantly substantive). Surface-level changes included wording, grammar, punctuation, and formatting edits that did not alter the argument. Substantive changes included revisions to the claim, the selection or use of evidence, the explanatory reasoning, or the treatment of uncertainty and alternatives. Revision-depth scores were averaged across the three intervention cycles for descriptive and supplementary analyses and were interpreted alongside, rather than as substitutes for, the final-draft strategic-quality-of-revision rating.</w:t>
      </w:r>
    </w:p>
    <w:p w14:paraId="7BBFF1D9"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lastRenderedPageBreak/>
        <w:t>A4. Anchor descriptors and exemplar guidance</w:t>
      </w:r>
    </w:p>
    <w:p w14:paraId="0DAE1CAD"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anchor descriptors used in rater calibration were organized around the contrast between low-, middle-, and high-quality scientific argumentation. The descriptors below summarize the characteristics used to calibrate the scoring of anchor responses across disciplines. The first four descriptor rows apply to all scored texts; the strategic-quality-of-revision row was used only when revised submissions were evaluated alongside the corresponding initial draft.</w:t>
      </w:r>
    </w:p>
    <w:tbl>
      <w:tblPr>
        <w:tblStyle w:val="TableGrid"/>
        <w:tblW w:w="0" w:type="auto"/>
        <w:jc w:val="center"/>
        <w:tblLook w:val="04A0" w:firstRow="1" w:lastRow="0" w:firstColumn="1" w:lastColumn="0" w:noHBand="0" w:noVBand="1"/>
      </w:tblPr>
      <w:tblGrid>
        <w:gridCol w:w="2412"/>
        <w:gridCol w:w="2412"/>
        <w:gridCol w:w="2412"/>
        <w:gridCol w:w="2412"/>
      </w:tblGrid>
      <w:tr w:rsidR="00D41A11" w:rsidRPr="00D41A11" w14:paraId="1739376C" w14:textId="77777777" w:rsidTr="009F5672">
        <w:trPr>
          <w:jc w:val="center"/>
        </w:trPr>
        <w:tc>
          <w:tcPr>
            <w:tcW w:w="2412" w:type="dxa"/>
            <w:vAlign w:val="center"/>
          </w:tcPr>
          <w:p w14:paraId="6B8EE2A6"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Dimension</w:t>
            </w:r>
          </w:p>
        </w:tc>
        <w:tc>
          <w:tcPr>
            <w:tcW w:w="2412" w:type="dxa"/>
            <w:vAlign w:val="center"/>
          </w:tcPr>
          <w:p w14:paraId="6399F749"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Low-anchor characteristics</w:t>
            </w:r>
          </w:p>
        </w:tc>
        <w:tc>
          <w:tcPr>
            <w:tcW w:w="2412" w:type="dxa"/>
            <w:vAlign w:val="center"/>
          </w:tcPr>
          <w:p w14:paraId="24B08476"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Mid-anchor characteristics</w:t>
            </w:r>
          </w:p>
        </w:tc>
        <w:tc>
          <w:tcPr>
            <w:tcW w:w="2412" w:type="dxa"/>
            <w:vAlign w:val="center"/>
          </w:tcPr>
          <w:p w14:paraId="22D66DA6"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High-anchor characteristics</w:t>
            </w:r>
          </w:p>
        </w:tc>
      </w:tr>
      <w:tr w:rsidR="00D41A11" w:rsidRPr="00D41A11" w14:paraId="3AD666E0" w14:textId="77777777">
        <w:trPr>
          <w:jc w:val="center"/>
        </w:trPr>
        <w:tc>
          <w:tcPr>
            <w:tcW w:w="2412" w:type="dxa"/>
            <w:vAlign w:val="center"/>
          </w:tcPr>
          <w:p w14:paraId="090FF3F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Claim quality</w:t>
            </w:r>
          </w:p>
        </w:tc>
        <w:tc>
          <w:tcPr>
            <w:tcW w:w="2412" w:type="dxa"/>
            <w:vAlign w:val="center"/>
          </w:tcPr>
          <w:p w14:paraId="440F1A6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Claim absent, inaccurate, or overly vague; not responsive to the central task demand.</w:t>
            </w:r>
          </w:p>
        </w:tc>
        <w:tc>
          <w:tcPr>
            <w:tcW w:w="2412" w:type="dxa"/>
            <w:vAlign w:val="center"/>
          </w:tcPr>
          <w:p w14:paraId="1273D84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Claim present and partly accurate, but incompletely bounded or insufficiently aligned with evidence.</w:t>
            </w:r>
          </w:p>
        </w:tc>
        <w:tc>
          <w:tcPr>
            <w:tcW w:w="2412" w:type="dxa"/>
            <w:vAlign w:val="center"/>
          </w:tcPr>
          <w:p w14:paraId="013DCC6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Claim explicit, accurate, appropriately qualified, and clearly responsive to the task.</w:t>
            </w:r>
          </w:p>
        </w:tc>
      </w:tr>
      <w:tr w:rsidR="00D41A11" w:rsidRPr="00D41A11" w14:paraId="6E758E81" w14:textId="77777777">
        <w:trPr>
          <w:jc w:val="center"/>
        </w:trPr>
        <w:tc>
          <w:tcPr>
            <w:tcW w:w="2412" w:type="dxa"/>
            <w:vAlign w:val="center"/>
          </w:tcPr>
          <w:p w14:paraId="4E357DB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Evidence relevance and sufficiency</w:t>
            </w:r>
          </w:p>
        </w:tc>
        <w:tc>
          <w:tcPr>
            <w:tcW w:w="2412" w:type="dxa"/>
            <w:vAlign w:val="center"/>
          </w:tcPr>
          <w:p w14:paraId="7524885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Little or irrelevant evidence; reliance on general assertion.</w:t>
            </w:r>
          </w:p>
        </w:tc>
        <w:tc>
          <w:tcPr>
            <w:tcW w:w="2412" w:type="dxa"/>
            <w:vAlign w:val="center"/>
          </w:tcPr>
          <w:p w14:paraId="158FF1B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Some relevant evidence, but incomplete, selectively weak, or insufficiently developed.</w:t>
            </w:r>
          </w:p>
        </w:tc>
        <w:tc>
          <w:tcPr>
            <w:tcW w:w="2412" w:type="dxa"/>
            <w:vAlign w:val="center"/>
          </w:tcPr>
          <w:p w14:paraId="4E38A74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Well-chosen, relevant, and sufficient evidence integrated into the argument.</w:t>
            </w:r>
          </w:p>
        </w:tc>
      </w:tr>
      <w:tr w:rsidR="00D41A11" w:rsidRPr="00D41A11" w14:paraId="6C4F40A2" w14:textId="77777777">
        <w:trPr>
          <w:jc w:val="center"/>
        </w:trPr>
        <w:tc>
          <w:tcPr>
            <w:tcW w:w="2412" w:type="dxa"/>
            <w:vAlign w:val="center"/>
          </w:tcPr>
          <w:p w14:paraId="2EE8CA8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Coherence of reasoning</w:t>
            </w:r>
          </w:p>
        </w:tc>
        <w:tc>
          <w:tcPr>
            <w:tcW w:w="2412" w:type="dxa"/>
            <w:vAlign w:val="center"/>
          </w:tcPr>
          <w:p w14:paraId="33AF350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No mechanism, warrant, or explanatory logic connecting evidence to claim.</w:t>
            </w:r>
          </w:p>
        </w:tc>
        <w:tc>
          <w:tcPr>
            <w:tcW w:w="2412" w:type="dxa"/>
            <w:vAlign w:val="center"/>
          </w:tcPr>
          <w:p w14:paraId="6393058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Some explanatory logic present, but partially implicit or unevenly developed.</w:t>
            </w:r>
          </w:p>
        </w:tc>
        <w:tc>
          <w:tcPr>
            <w:tcW w:w="2412" w:type="dxa"/>
            <w:vAlign w:val="center"/>
          </w:tcPr>
          <w:p w14:paraId="1A488CD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Clear, explicit, and scientifically appropriate explanation of how evidence justifies the claim.</w:t>
            </w:r>
          </w:p>
        </w:tc>
      </w:tr>
      <w:tr w:rsidR="00D41A11" w:rsidRPr="00D41A11" w14:paraId="61EEC3A6" w14:textId="77777777">
        <w:trPr>
          <w:jc w:val="center"/>
        </w:trPr>
        <w:tc>
          <w:tcPr>
            <w:tcW w:w="2412" w:type="dxa"/>
            <w:vAlign w:val="center"/>
          </w:tcPr>
          <w:p w14:paraId="376F79B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Treatment of limitations or alternative explanations</w:t>
            </w:r>
          </w:p>
        </w:tc>
        <w:tc>
          <w:tcPr>
            <w:tcW w:w="2412" w:type="dxa"/>
            <w:vAlign w:val="center"/>
          </w:tcPr>
          <w:p w14:paraId="4A9D4CD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No acknowledgement of uncertainty, limitation, or counterposition.</w:t>
            </w:r>
          </w:p>
        </w:tc>
        <w:tc>
          <w:tcPr>
            <w:tcW w:w="2412" w:type="dxa"/>
            <w:vAlign w:val="center"/>
          </w:tcPr>
          <w:p w14:paraId="0F9A2C3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One uncertainty or alternative is mentioned but treated superficially.</w:t>
            </w:r>
          </w:p>
        </w:tc>
        <w:tc>
          <w:tcPr>
            <w:tcW w:w="2412" w:type="dxa"/>
            <w:vAlign w:val="center"/>
          </w:tcPr>
          <w:p w14:paraId="289E74A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Uncertainty or alternatives are explicitly addressed and used to qualify the conclusion.</w:t>
            </w:r>
          </w:p>
        </w:tc>
      </w:tr>
      <w:tr w:rsidR="00D41A11" w:rsidRPr="00D41A11" w14:paraId="57664FAF" w14:textId="77777777">
        <w:trPr>
          <w:jc w:val="center"/>
        </w:trPr>
        <w:tc>
          <w:tcPr>
            <w:tcW w:w="2412" w:type="dxa"/>
            <w:vAlign w:val="center"/>
          </w:tcPr>
          <w:p w14:paraId="1FD496F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Strategic quality of revision</w:t>
            </w:r>
          </w:p>
        </w:tc>
        <w:tc>
          <w:tcPr>
            <w:tcW w:w="2412" w:type="dxa"/>
            <w:vAlign w:val="center"/>
          </w:tcPr>
          <w:p w14:paraId="39B1400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Mostly cosmetic changes; underlying argument largely unchanged.</w:t>
            </w:r>
          </w:p>
        </w:tc>
        <w:tc>
          <w:tcPr>
            <w:tcW w:w="2412" w:type="dxa"/>
            <w:vAlign w:val="center"/>
          </w:tcPr>
          <w:p w14:paraId="5FF2176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Some substantive changes, but improvements are uneven.</w:t>
            </w:r>
          </w:p>
        </w:tc>
        <w:tc>
          <w:tcPr>
            <w:tcW w:w="2412" w:type="dxa"/>
            <w:vAlign w:val="center"/>
          </w:tcPr>
          <w:p w14:paraId="6578692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is strategic and substantive, strengthening the overall argument across dimensions.</w:t>
            </w:r>
          </w:p>
        </w:tc>
      </w:tr>
    </w:tbl>
    <w:p w14:paraId="0B0BE2F7"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During calibration, raters also reviewed exemplar responses representing each performance band within each science domain. Low anchors typically contained unsupported or weakly specified claims, limited evidence, and little explicit reasoning. Mid-range anchors generally showed partial but incomplete coordination of claim, evidence, and reasoning. High anchors presented precise claims, sufficient evidence, explicit explanatory warrants, and, in revised drafts, clear evidence of substantive improvement. These anchor materials were used during both pre-study calibration sessions and follow-up scoring checks across the intervention period.</w:t>
      </w:r>
    </w:p>
    <w:p w14:paraId="620ED0E8"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lastRenderedPageBreak/>
        <w:t>A5. Illustrative anchor excerpts</w:t>
      </w:r>
    </w:p>
    <w:p w14:paraId="6D713071"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To make the calibration logic more concrete, brief exemplar fragments used during rater training are reproduced below. These fragments were adapted from pilot responses and lightly edited for reporting clarity; they are intended to illustrate the textual features associated with low-, mid-, and high-anchor judgments rather than to function as full student responses.</w:t>
      </w:r>
    </w:p>
    <w:p w14:paraId="2A5C48ED"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Biology. A low-anchor response typically asserted that a treatment “probably increased enzyme activity” without citing any comparative pattern in the data or identifying the relevant control condition. Mid-anchor fragments usually stated a defensible claim and referred to the observed increase in reaction rate, but left the warrant implicit, for example by noting the pattern without explaining why it supported the causal interpretation. High-anchor fragments linked the claim to the strongest observed data pattern, identified the comparison condition, and explicitly explained why the evidence supported the proposed mechanism while also qualifying the conclusion in light of sample or measurement limits.</w:t>
      </w:r>
    </w:p>
    <w:p w14:paraId="316678E6"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Chemistry. Low-anchor chemistry responses often repeated the task prompt and listed isolated observations such as pH change or precipitate formation without integrating them into a coherent claim. Mid-anchor responses usually selected one relevant piece of evidence and proposed a plausible explanation, but did not fully connect stoichiometric or mechanistic reasoning to the conclusion. High-anchor responses coordinated multiple observations, used discipline-appropriate terminology accurately, and explained how the selected evidence constrained alternative interpretations of the reaction pathway or product identification.</w:t>
      </w:r>
    </w:p>
    <w:p w14:paraId="4338F05D"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Physics. Low-anchor physics responses commonly described the graph or trend line but stopped short of articulating a testable claim about the underlying relationship. Mid-anchor responses usually inferred the general relationship correctly and cited a relevant section of the dataset, yet omitted a clear explanation of how the quantitative pattern justified the claim. High-anchor responses stated a bounded claim, drew on the most diagnostic numerical or graphical evidence, and explained the physical reasoning that connected the observed pattern to the underlying principle while acknowledging uncertainty, simplifying assumptions, or plausible sources of error.</w:t>
      </w:r>
    </w:p>
    <w:p w14:paraId="4CC2D601" w14:textId="77777777"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t>3. Supplementary Appendix B. GenAI Prompting and Interface Protocol</w:t>
      </w:r>
    </w:p>
    <w:p w14:paraId="6998D594"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B1. Institutional GenAI interface overview</w:t>
      </w:r>
    </w:p>
    <w:p w14:paraId="27467A37"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AI-supported conditions used a secure, institutionally hosted large language model interface based on OpenAI’s GPT-5.4 pro model, accessed through the universities’ approved application environment and integrated directly into the learning-management system (LMS). The interface was configured to support feedback generation rather than answer production. Students accessed the interface through the assignment page corresponding to their course section and intervention cycle. Interaction logs, time stamps, and feedback views were captured within the LMS while maintaining institutional data-governance requirements.</w:t>
      </w:r>
    </w:p>
    <w:p w14:paraId="55CB5596"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 xml:space="preserve">Access to the GenAI interface was restricted to students in the direct, reflective, and hybrid conditions. Students were instructed not to enter personally identifying information into the system. </w:t>
      </w:r>
      <w:r w:rsidRPr="00D41A11">
        <w:rPr>
          <w:rFonts w:ascii="Times New Roman" w:hAnsi="Times New Roman" w:cs="Times New Roman"/>
          <w:sz w:val="24"/>
          <w:szCs w:val="24"/>
        </w:rPr>
        <w:lastRenderedPageBreak/>
        <w:t>The interface accepted a single draft per task cycle, generated one feedback response per submission, and prevented iterative regeneration within the same cycle. Chat history was reset between cycles to avoid carryover across tasks.</w:t>
      </w:r>
    </w:p>
    <w:p w14:paraId="749F51E0"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B2. Prompt architecture</w:t>
      </w:r>
    </w:p>
    <w:p w14:paraId="1F14FE48" w14:textId="77777777" w:rsidR="00A7350A" w:rsidRPr="00D41A11" w:rsidRDefault="00000000" w:rsidP="009F5672">
      <w:pPr>
        <w:pStyle w:val="Heading3"/>
        <w:rPr>
          <w:rFonts w:ascii="Times New Roman" w:hAnsi="Times New Roman" w:cs="Times New Roman"/>
          <w:color w:val="auto"/>
          <w:sz w:val="24"/>
          <w:szCs w:val="24"/>
        </w:rPr>
      </w:pPr>
      <w:r w:rsidRPr="00D41A11">
        <w:rPr>
          <w:rFonts w:ascii="Times New Roman" w:hAnsi="Times New Roman" w:cs="Times New Roman"/>
          <w:color w:val="auto"/>
          <w:sz w:val="24"/>
          <w:szCs w:val="24"/>
        </w:rPr>
        <w:t>B2.1. Core system prompt</w:t>
      </w:r>
    </w:p>
    <w:p w14:paraId="036BC609"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You are an academic feedback assistant for introductory university science courses. Your task is to provide criterion-referenced feedback on a student's scientific argumentation draft. Evaluate the draft using the following dimensions: (1) claim quality, (2) evidence relevance and sufficiency, (3) coherence of reasoning, (4) treatment of limitations or alternative explanations, and (5) quality of revision potential. Your response must: 1. identify clear strengths in the argument; 2. identify weaknesses or omissions in claim, evidence, reasoning, or treatment of limitations; 3. point out missing, insufficient, or weak evidence where relevant; 4. question unsupported or weakly supported claims; 5. suggest revision moves that the student can implement; and 6. pose one or two follow-up questions intended to deepen the student's reasoning. Do not provide a full rewritten answer. Do not complete the task on the student's behalf. Keep the response constructive, concise, and academically appropriate. Limit the total response to approximately 400 tokens.</w:t>
      </w:r>
    </w:p>
    <w:p w14:paraId="5898EB62" w14:textId="77777777" w:rsidR="00A7350A" w:rsidRPr="00D41A11" w:rsidRDefault="00000000" w:rsidP="009F5672">
      <w:pPr>
        <w:pStyle w:val="Heading3"/>
        <w:rPr>
          <w:rFonts w:ascii="Times New Roman" w:hAnsi="Times New Roman" w:cs="Times New Roman"/>
          <w:color w:val="auto"/>
          <w:sz w:val="24"/>
          <w:szCs w:val="24"/>
        </w:rPr>
      </w:pPr>
      <w:r w:rsidRPr="00D41A11">
        <w:rPr>
          <w:rFonts w:ascii="Times New Roman" w:hAnsi="Times New Roman" w:cs="Times New Roman"/>
          <w:color w:val="auto"/>
          <w:sz w:val="24"/>
          <w:szCs w:val="24"/>
        </w:rPr>
        <w:t>B2.2. Student-facing submission prompt</w:t>
      </w:r>
    </w:p>
    <w:p w14:paraId="7D8AFD91"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Please review the following draft and provide feedback aligned with the scientific argumentation rubric. Focus on strengths, weaknesses, missing or weak evidence, unsupported claims, and concrete revision moves. Do not rewrite the entire answer. End with one or two follow-up questions that would help the student improve the argument.</w:t>
      </w:r>
    </w:p>
    <w:p w14:paraId="582EA440" w14:textId="77777777" w:rsidR="00A7350A" w:rsidRPr="00D41A11" w:rsidRDefault="00000000" w:rsidP="009F5672">
      <w:pPr>
        <w:pStyle w:val="Heading3"/>
        <w:rPr>
          <w:rFonts w:ascii="Times New Roman" w:hAnsi="Times New Roman" w:cs="Times New Roman"/>
          <w:color w:val="auto"/>
          <w:sz w:val="24"/>
          <w:szCs w:val="24"/>
        </w:rPr>
      </w:pPr>
      <w:r w:rsidRPr="00D41A11">
        <w:rPr>
          <w:rFonts w:ascii="Times New Roman" w:hAnsi="Times New Roman" w:cs="Times New Roman"/>
          <w:color w:val="auto"/>
          <w:sz w:val="24"/>
          <w:szCs w:val="24"/>
        </w:rPr>
        <w:t>B2.3. Condition-specific prompt wrapper</w:t>
      </w:r>
    </w:p>
    <w:p w14:paraId="10601FC4"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same core system prompt was used across AI-supported conditions. Condition differences were implemented through sequencing rather than through different core prompts. For direct GenAI-supported feedback, students submitted the draft alone. For reflective and hybrid conditions, the interface first required structured self-evaluation and then passed the student’s self-evaluation fields to the model as contextual information appended after the draft.</w:t>
      </w:r>
    </w:p>
    <w:p w14:paraId="52AF66FD"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Context fields appended in reflective and hybrid conditions:</w:t>
      </w:r>
      <w:r w:rsidRPr="00D41A11">
        <w:rPr>
          <w:rFonts w:ascii="Times New Roman" w:hAnsi="Times New Roman" w:cs="Times New Roman"/>
          <w:sz w:val="24"/>
          <w:szCs w:val="24"/>
        </w:rPr>
        <w:br/>
        <w:t>- Student-identified strongest aspect of the draft</w:t>
      </w:r>
      <w:r w:rsidRPr="00D41A11">
        <w:rPr>
          <w:rFonts w:ascii="Times New Roman" w:hAnsi="Times New Roman" w:cs="Times New Roman"/>
          <w:sz w:val="24"/>
          <w:szCs w:val="24"/>
        </w:rPr>
        <w:br/>
        <w:t>- Student-identified weakest aspect of the draft</w:t>
      </w:r>
      <w:r w:rsidRPr="00D41A11">
        <w:rPr>
          <w:rFonts w:ascii="Times New Roman" w:hAnsi="Times New Roman" w:cs="Times New Roman"/>
          <w:sz w:val="24"/>
          <w:szCs w:val="24"/>
        </w:rPr>
        <w:br/>
        <w:t>- Student-identified uncertainty related to claim, evidence, or reasoning</w:t>
      </w:r>
      <w:r w:rsidRPr="00D41A11">
        <w:rPr>
          <w:rFonts w:ascii="Times New Roman" w:hAnsi="Times New Roman" w:cs="Times New Roman"/>
          <w:sz w:val="24"/>
          <w:szCs w:val="24"/>
        </w:rPr>
        <w:br/>
        <w:t>- Student revision priority</w:t>
      </w:r>
      <w:r w:rsidRPr="00D41A11">
        <w:rPr>
          <w:rFonts w:ascii="Times New Roman" w:hAnsi="Times New Roman" w:cs="Times New Roman"/>
          <w:sz w:val="24"/>
          <w:szCs w:val="24"/>
        </w:rPr>
        <w:br/>
      </w:r>
      <w:r w:rsidRPr="00D41A11">
        <w:rPr>
          <w:rFonts w:ascii="Times New Roman" w:hAnsi="Times New Roman" w:cs="Times New Roman"/>
          <w:sz w:val="24"/>
          <w:szCs w:val="24"/>
        </w:rPr>
        <w:br/>
        <w:t>Instruction to model:</w:t>
      </w:r>
      <w:r w:rsidRPr="00D41A11">
        <w:rPr>
          <w:rFonts w:ascii="Times New Roman" w:hAnsi="Times New Roman" w:cs="Times New Roman"/>
          <w:sz w:val="24"/>
          <w:szCs w:val="24"/>
        </w:rPr>
        <w:br/>
        <w:t>Use the student's self-evaluation as additional context. Compare the draft against the student's own diagnosis where relevant, but still provide independent criterion-referenced feedback.</w:t>
      </w:r>
    </w:p>
    <w:p w14:paraId="2E0EC803"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B3. Output constraints</w:t>
      </w:r>
    </w:p>
    <w:tbl>
      <w:tblPr>
        <w:tblStyle w:val="TableGrid"/>
        <w:tblW w:w="0" w:type="auto"/>
        <w:jc w:val="center"/>
        <w:tblLook w:val="04A0" w:firstRow="1" w:lastRow="0" w:firstColumn="1" w:lastColumn="0" w:noHBand="0" w:noVBand="1"/>
      </w:tblPr>
      <w:tblGrid>
        <w:gridCol w:w="4824"/>
        <w:gridCol w:w="4824"/>
      </w:tblGrid>
      <w:tr w:rsidR="00D41A11" w:rsidRPr="00D41A11" w14:paraId="04D499FF" w14:textId="77777777" w:rsidTr="009F5672">
        <w:trPr>
          <w:jc w:val="center"/>
        </w:trPr>
        <w:tc>
          <w:tcPr>
            <w:tcW w:w="4824" w:type="dxa"/>
            <w:vAlign w:val="center"/>
          </w:tcPr>
          <w:p w14:paraId="081BD53D"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Constraint</w:t>
            </w:r>
          </w:p>
        </w:tc>
        <w:tc>
          <w:tcPr>
            <w:tcW w:w="4824" w:type="dxa"/>
            <w:vAlign w:val="center"/>
          </w:tcPr>
          <w:p w14:paraId="2ED036D7"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Operationalization</w:t>
            </w:r>
          </w:p>
        </w:tc>
      </w:tr>
      <w:tr w:rsidR="00D41A11" w:rsidRPr="00D41A11" w14:paraId="2DE7EFEB" w14:textId="77777777">
        <w:trPr>
          <w:jc w:val="center"/>
        </w:trPr>
        <w:tc>
          <w:tcPr>
            <w:tcW w:w="4824" w:type="dxa"/>
            <w:vAlign w:val="center"/>
          </w:tcPr>
          <w:p w14:paraId="6B246E7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Model family</w:t>
            </w:r>
          </w:p>
        </w:tc>
        <w:tc>
          <w:tcPr>
            <w:tcW w:w="4824" w:type="dxa"/>
            <w:vAlign w:val="center"/>
          </w:tcPr>
          <w:p w14:paraId="6FAF29EA" w14:textId="32BAE46C"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OpenAI GPT-5</w:t>
            </w:r>
            <w:r w:rsidR="009004C3">
              <w:rPr>
                <w:rFonts w:ascii="Times New Roman" w:hAnsi="Times New Roman" w:cs="Times New Roman"/>
                <w:sz w:val="24"/>
                <w:szCs w:val="24"/>
              </w:rPr>
              <w:t xml:space="preserve"> </w:t>
            </w:r>
            <w:r w:rsidRPr="00D41A11">
              <w:rPr>
                <w:rFonts w:ascii="Times New Roman" w:hAnsi="Times New Roman" w:cs="Times New Roman"/>
                <w:sz w:val="24"/>
                <w:szCs w:val="24"/>
              </w:rPr>
              <w:t>model</w:t>
            </w:r>
          </w:p>
        </w:tc>
      </w:tr>
      <w:tr w:rsidR="00D41A11" w:rsidRPr="00D41A11" w14:paraId="43CD5383" w14:textId="77777777">
        <w:trPr>
          <w:jc w:val="center"/>
        </w:trPr>
        <w:tc>
          <w:tcPr>
            <w:tcW w:w="4824" w:type="dxa"/>
            <w:vAlign w:val="center"/>
          </w:tcPr>
          <w:p w14:paraId="35EBD23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Model snapshot date</w:t>
            </w:r>
          </w:p>
        </w:tc>
        <w:tc>
          <w:tcPr>
            <w:tcW w:w="4824" w:type="dxa"/>
            <w:vAlign w:val="center"/>
          </w:tcPr>
          <w:p w14:paraId="32ECDC5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2025-09-15</w:t>
            </w:r>
          </w:p>
        </w:tc>
      </w:tr>
      <w:tr w:rsidR="00D41A11" w:rsidRPr="00D41A11" w14:paraId="772B2973" w14:textId="77777777">
        <w:trPr>
          <w:jc w:val="center"/>
        </w:trPr>
        <w:tc>
          <w:tcPr>
            <w:tcW w:w="4824" w:type="dxa"/>
            <w:vAlign w:val="center"/>
          </w:tcPr>
          <w:p w14:paraId="3709AFF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Temperature</w:t>
            </w:r>
          </w:p>
        </w:tc>
        <w:tc>
          <w:tcPr>
            <w:tcW w:w="4824" w:type="dxa"/>
            <w:vAlign w:val="center"/>
          </w:tcPr>
          <w:p w14:paraId="09B1703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0.20</w:t>
            </w:r>
          </w:p>
        </w:tc>
      </w:tr>
      <w:tr w:rsidR="00D41A11" w:rsidRPr="00D41A11" w14:paraId="69A44AC6" w14:textId="77777777">
        <w:trPr>
          <w:jc w:val="center"/>
        </w:trPr>
        <w:tc>
          <w:tcPr>
            <w:tcW w:w="4824" w:type="dxa"/>
            <w:vAlign w:val="center"/>
          </w:tcPr>
          <w:p w14:paraId="4DE20C7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Top-p</w:t>
            </w:r>
          </w:p>
        </w:tc>
        <w:tc>
          <w:tcPr>
            <w:tcW w:w="4824" w:type="dxa"/>
            <w:vAlign w:val="center"/>
          </w:tcPr>
          <w:p w14:paraId="7404725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1.00</w:t>
            </w:r>
          </w:p>
        </w:tc>
      </w:tr>
      <w:tr w:rsidR="00D41A11" w:rsidRPr="00D41A11" w14:paraId="36B40C61" w14:textId="77777777">
        <w:trPr>
          <w:jc w:val="center"/>
        </w:trPr>
        <w:tc>
          <w:tcPr>
            <w:tcW w:w="4824" w:type="dxa"/>
            <w:vAlign w:val="center"/>
          </w:tcPr>
          <w:p w14:paraId="5ED58AD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Frequency penalty</w:t>
            </w:r>
          </w:p>
        </w:tc>
        <w:tc>
          <w:tcPr>
            <w:tcW w:w="4824" w:type="dxa"/>
            <w:vAlign w:val="center"/>
          </w:tcPr>
          <w:p w14:paraId="413C05B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0.00</w:t>
            </w:r>
          </w:p>
        </w:tc>
      </w:tr>
      <w:tr w:rsidR="00D41A11" w:rsidRPr="00D41A11" w14:paraId="48FA0299" w14:textId="77777777">
        <w:trPr>
          <w:jc w:val="center"/>
        </w:trPr>
        <w:tc>
          <w:tcPr>
            <w:tcW w:w="4824" w:type="dxa"/>
            <w:vAlign w:val="center"/>
          </w:tcPr>
          <w:p w14:paraId="344BC95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Presence penalty</w:t>
            </w:r>
          </w:p>
        </w:tc>
        <w:tc>
          <w:tcPr>
            <w:tcW w:w="4824" w:type="dxa"/>
            <w:vAlign w:val="center"/>
          </w:tcPr>
          <w:p w14:paraId="5A78023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0.00</w:t>
            </w:r>
          </w:p>
        </w:tc>
      </w:tr>
      <w:tr w:rsidR="00D41A11" w:rsidRPr="00D41A11" w14:paraId="1A2058B5" w14:textId="77777777">
        <w:trPr>
          <w:jc w:val="center"/>
        </w:trPr>
        <w:tc>
          <w:tcPr>
            <w:tcW w:w="4824" w:type="dxa"/>
            <w:vAlign w:val="center"/>
          </w:tcPr>
          <w:p w14:paraId="3A4282C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Maximum response length</w:t>
            </w:r>
          </w:p>
        </w:tc>
        <w:tc>
          <w:tcPr>
            <w:tcW w:w="4824" w:type="dxa"/>
            <w:vAlign w:val="center"/>
          </w:tcPr>
          <w:p w14:paraId="249F9B9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400 tokens</w:t>
            </w:r>
          </w:p>
        </w:tc>
      </w:tr>
      <w:tr w:rsidR="00D41A11" w:rsidRPr="00D41A11" w14:paraId="1E91CA4F" w14:textId="77777777">
        <w:trPr>
          <w:jc w:val="center"/>
        </w:trPr>
        <w:tc>
          <w:tcPr>
            <w:tcW w:w="4824" w:type="dxa"/>
            <w:vAlign w:val="center"/>
          </w:tcPr>
          <w:p w14:paraId="65F7C65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Generation policy</w:t>
            </w:r>
          </w:p>
        </w:tc>
        <w:tc>
          <w:tcPr>
            <w:tcW w:w="4824" w:type="dxa"/>
            <w:vAlign w:val="center"/>
          </w:tcPr>
          <w:p w14:paraId="6D81908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Single feedback generation per draft</w:t>
            </w:r>
          </w:p>
        </w:tc>
      </w:tr>
      <w:tr w:rsidR="00D41A11" w:rsidRPr="00D41A11" w14:paraId="782571B4" w14:textId="77777777">
        <w:trPr>
          <w:jc w:val="center"/>
        </w:trPr>
        <w:tc>
          <w:tcPr>
            <w:tcW w:w="4824" w:type="dxa"/>
            <w:vAlign w:val="center"/>
          </w:tcPr>
          <w:p w14:paraId="5A0AEE9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Rewrite restriction</w:t>
            </w:r>
          </w:p>
        </w:tc>
        <w:tc>
          <w:tcPr>
            <w:tcW w:w="4824" w:type="dxa"/>
            <w:vAlign w:val="center"/>
          </w:tcPr>
          <w:p w14:paraId="706F47E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Full-answer rewriting disabled</w:t>
            </w:r>
          </w:p>
        </w:tc>
      </w:tr>
      <w:tr w:rsidR="00D41A11" w:rsidRPr="00D41A11" w14:paraId="2D914D6F" w14:textId="77777777">
        <w:trPr>
          <w:jc w:val="center"/>
        </w:trPr>
        <w:tc>
          <w:tcPr>
            <w:tcW w:w="4824" w:type="dxa"/>
            <w:vAlign w:val="center"/>
          </w:tcPr>
          <w:p w14:paraId="4F88070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Prompt modification</w:t>
            </w:r>
          </w:p>
        </w:tc>
        <w:tc>
          <w:tcPr>
            <w:tcW w:w="4824" w:type="dxa"/>
            <w:vAlign w:val="center"/>
          </w:tcPr>
          <w:p w14:paraId="3083063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Instructor prompt changes disabled during the intervention</w:t>
            </w:r>
          </w:p>
        </w:tc>
      </w:tr>
      <w:tr w:rsidR="00A7350A" w:rsidRPr="00D41A11" w14:paraId="2F781888" w14:textId="77777777">
        <w:trPr>
          <w:jc w:val="center"/>
        </w:trPr>
        <w:tc>
          <w:tcPr>
            <w:tcW w:w="4824" w:type="dxa"/>
            <w:vAlign w:val="center"/>
          </w:tcPr>
          <w:p w14:paraId="3A5467A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Chat memory</w:t>
            </w:r>
          </w:p>
        </w:tc>
        <w:tc>
          <w:tcPr>
            <w:tcW w:w="4824" w:type="dxa"/>
            <w:vAlign w:val="center"/>
          </w:tcPr>
          <w:p w14:paraId="531A353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History reset between task cycles</w:t>
            </w:r>
          </w:p>
        </w:tc>
      </w:tr>
    </w:tbl>
    <w:p w14:paraId="2D51F0ED" w14:textId="77777777" w:rsidR="00A7350A" w:rsidRPr="00D41A11" w:rsidRDefault="00A7350A" w:rsidP="009F5672">
      <w:pPr>
        <w:rPr>
          <w:rFonts w:ascii="Times New Roman" w:hAnsi="Times New Roman" w:cs="Times New Roman"/>
          <w:sz w:val="24"/>
          <w:szCs w:val="24"/>
        </w:rPr>
      </w:pPr>
    </w:p>
    <w:p w14:paraId="3B946D91"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B4. Implementation rules</w:t>
      </w:r>
    </w:p>
    <w:p w14:paraId="483C39BA"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Students in AI-supported conditions could generate feedback only after submitting the draft associated with the assigned task cycle.</w:t>
      </w:r>
    </w:p>
    <w:p w14:paraId="497F7D8B"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Within a given cycle, only one model output could be generated for each submitted draft.</w:t>
      </w:r>
    </w:p>
    <w:p w14:paraId="3B0029B1"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Students could review the generated feedback during revision, but could not regenerate alternative feedback versions for the same draft.</w:t>
      </w:r>
    </w:p>
    <w:p w14:paraId="104C503C"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The model was explicitly instructed to provide criterion-referenced critique, revision suggestions, and follow-up questions rather than replacement text.</w:t>
      </w:r>
    </w:p>
    <w:p w14:paraId="5AAEB49C"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All AI-supported sections used the same core system prompt, rubric anchor structure, and model settings throughout the study.</w:t>
      </w:r>
    </w:p>
    <w:p w14:paraId="7B53A1F4"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Instructors were not permitted to edit prompts or system settings during the intervention period.</w:t>
      </w:r>
    </w:p>
    <w:p w14:paraId="52791350" w14:textId="77777777" w:rsidR="00A7350A" w:rsidRPr="00D41A11" w:rsidRDefault="00000000" w:rsidP="009F5672">
      <w:pPr>
        <w:pStyle w:val="ListBullet"/>
        <w:rPr>
          <w:rFonts w:ascii="Times New Roman" w:hAnsi="Times New Roman" w:cs="Times New Roman"/>
          <w:sz w:val="24"/>
          <w:szCs w:val="24"/>
        </w:rPr>
      </w:pPr>
      <w:r w:rsidRPr="00D41A11">
        <w:rPr>
          <w:rFonts w:ascii="Times New Roman" w:hAnsi="Times New Roman" w:cs="Times New Roman"/>
          <w:sz w:val="24"/>
          <w:szCs w:val="24"/>
        </w:rPr>
        <w:t>Interaction logs recorded draft submission time, feedback generation time, feedback view duration, and subsequent revision activity.</w:t>
      </w:r>
    </w:p>
    <w:p w14:paraId="09E6BFB4"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B5. Interface screenshots</w:t>
      </w:r>
    </w:p>
    <w:p w14:paraId="7455157C"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Figures B1 and B2 reproduce the LMS-integrated GenAI feedback environment used across the AI-supported conditions. Figure B1 illustrates the draft-submission screen with the reflective self-evaluation panel visible. Figure B2 illustrates the criterion-referenced feedback output screen, including strengths, priority revisions, and follow-up questions.</w:t>
      </w:r>
    </w:p>
    <w:p w14:paraId="7F261F9E" w14:textId="77777777" w:rsidR="00A7350A" w:rsidRPr="00D41A11" w:rsidRDefault="00A7350A" w:rsidP="009F5672">
      <w:pPr>
        <w:rPr>
          <w:rFonts w:ascii="Times New Roman" w:hAnsi="Times New Roman" w:cs="Times New Roman"/>
          <w:sz w:val="24"/>
          <w:szCs w:val="24"/>
        </w:rPr>
      </w:pPr>
    </w:p>
    <w:p w14:paraId="7497EE0D" w14:textId="77777777" w:rsidR="00A7350A" w:rsidRPr="00D41A11" w:rsidRDefault="00000000" w:rsidP="009F5672">
      <w:pPr>
        <w:spacing w:before="120" w:after="120"/>
        <w:jc w:val="center"/>
        <w:rPr>
          <w:rFonts w:ascii="Times New Roman" w:hAnsi="Times New Roman" w:cs="Times New Roman"/>
          <w:sz w:val="24"/>
          <w:szCs w:val="24"/>
        </w:rPr>
      </w:pPr>
      <w:r w:rsidRPr="00D41A11">
        <w:rPr>
          <w:rFonts w:ascii="Times New Roman" w:hAnsi="Times New Roman" w:cs="Times New Roman"/>
          <w:noProof/>
          <w:sz w:val="24"/>
          <w:szCs w:val="24"/>
        </w:rPr>
        <w:lastRenderedPageBreak/>
        <w:drawing>
          <wp:inline distT="0" distB="0" distL="0" distR="0" wp14:anchorId="6E5588B2" wp14:editId="626A1191">
            <wp:extent cx="5303520" cy="3409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b1_final.png"/>
                    <pic:cNvPicPr/>
                  </pic:nvPicPr>
                  <pic:blipFill>
                    <a:blip r:embed="rId6"/>
                    <a:stretch>
                      <a:fillRect/>
                    </a:stretch>
                  </pic:blipFill>
                  <pic:spPr>
                    <a:xfrm>
                      <a:off x="0" y="0"/>
                      <a:ext cx="5303520" cy="3409406"/>
                    </a:xfrm>
                    <a:prstGeom prst="rect">
                      <a:avLst/>
                    </a:prstGeom>
                  </pic:spPr>
                </pic:pic>
              </a:graphicData>
            </a:graphic>
          </wp:inline>
        </w:drawing>
      </w:r>
    </w:p>
    <w:p w14:paraId="03945A18" w14:textId="77777777" w:rsidR="00A7350A" w:rsidRPr="00D41A11" w:rsidRDefault="00000000" w:rsidP="009F5672">
      <w:pPr>
        <w:jc w:val="center"/>
        <w:rPr>
          <w:rFonts w:ascii="Times New Roman" w:hAnsi="Times New Roman" w:cs="Times New Roman"/>
          <w:sz w:val="24"/>
          <w:szCs w:val="24"/>
        </w:rPr>
      </w:pPr>
      <w:r w:rsidRPr="00D41A11">
        <w:rPr>
          <w:rFonts w:ascii="Times New Roman" w:hAnsi="Times New Roman" w:cs="Times New Roman"/>
          <w:sz w:val="24"/>
          <w:szCs w:val="24"/>
        </w:rPr>
        <w:t>Figure B1. LMS-integrated draft submission and reflective self-evaluation screen used in the AI-supported conditions.</w:t>
      </w:r>
    </w:p>
    <w:p w14:paraId="6D50F773" w14:textId="77777777" w:rsidR="00A7350A" w:rsidRPr="00D41A11" w:rsidRDefault="00A7350A" w:rsidP="009F5672">
      <w:pPr>
        <w:rPr>
          <w:rFonts w:ascii="Times New Roman" w:hAnsi="Times New Roman" w:cs="Times New Roman"/>
          <w:sz w:val="24"/>
          <w:szCs w:val="24"/>
        </w:rPr>
      </w:pPr>
    </w:p>
    <w:p w14:paraId="5631E179" w14:textId="77777777" w:rsidR="00A7350A" w:rsidRPr="00D41A11" w:rsidRDefault="00000000" w:rsidP="009F5672">
      <w:pPr>
        <w:spacing w:before="120" w:after="120"/>
        <w:jc w:val="center"/>
        <w:rPr>
          <w:rFonts w:ascii="Times New Roman" w:hAnsi="Times New Roman" w:cs="Times New Roman"/>
          <w:sz w:val="24"/>
          <w:szCs w:val="24"/>
        </w:rPr>
      </w:pPr>
      <w:r w:rsidRPr="00D41A11">
        <w:rPr>
          <w:rFonts w:ascii="Times New Roman" w:hAnsi="Times New Roman" w:cs="Times New Roman"/>
          <w:noProof/>
          <w:sz w:val="24"/>
          <w:szCs w:val="24"/>
        </w:rPr>
        <w:drawing>
          <wp:inline distT="0" distB="0" distL="0" distR="0" wp14:anchorId="1A30E017" wp14:editId="601181DC">
            <wp:extent cx="5303520" cy="3409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b2_final.png"/>
                    <pic:cNvPicPr/>
                  </pic:nvPicPr>
                  <pic:blipFill>
                    <a:blip r:embed="rId7"/>
                    <a:stretch>
                      <a:fillRect/>
                    </a:stretch>
                  </pic:blipFill>
                  <pic:spPr>
                    <a:xfrm>
                      <a:off x="0" y="0"/>
                      <a:ext cx="5303520" cy="3409406"/>
                    </a:xfrm>
                    <a:prstGeom prst="rect">
                      <a:avLst/>
                    </a:prstGeom>
                  </pic:spPr>
                </pic:pic>
              </a:graphicData>
            </a:graphic>
          </wp:inline>
        </w:drawing>
      </w:r>
    </w:p>
    <w:p w14:paraId="52A3D1F9" w14:textId="77777777" w:rsidR="00A7350A" w:rsidRPr="00D41A11" w:rsidRDefault="00000000" w:rsidP="009F5672">
      <w:pPr>
        <w:jc w:val="center"/>
        <w:rPr>
          <w:rFonts w:ascii="Times New Roman" w:hAnsi="Times New Roman" w:cs="Times New Roman"/>
          <w:sz w:val="24"/>
          <w:szCs w:val="24"/>
        </w:rPr>
      </w:pPr>
      <w:r w:rsidRPr="00D41A11">
        <w:rPr>
          <w:rFonts w:ascii="Times New Roman" w:hAnsi="Times New Roman" w:cs="Times New Roman"/>
          <w:sz w:val="24"/>
          <w:szCs w:val="24"/>
        </w:rPr>
        <w:t>Figure B2. Criterion-referenced GenAI feedback output screen showing strengths, priority revisions, and follow-up questions.</w:t>
      </w:r>
    </w:p>
    <w:p w14:paraId="71BB1053" w14:textId="77777777" w:rsidR="00A7350A" w:rsidRPr="00D41A11" w:rsidRDefault="00A7350A" w:rsidP="009F5672">
      <w:pPr>
        <w:rPr>
          <w:rFonts w:ascii="Times New Roman" w:hAnsi="Times New Roman" w:cs="Times New Roman"/>
          <w:sz w:val="24"/>
          <w:szCs w:val="24"/>
        </w:rPr>
      </w:pPr>
    </w:p>
    <w:p w14:paraId="306E3C4F" w14:textId="77777777"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lastRenderedPageBreak/>
        <w:t>4. Supplementary Appendix C. Fidelity Audit Materials</w:t>
      </w:r>
    </w:p>
    <w:p w14:paraId="100C7BCB"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C1. Audit checklist structure</w:t>
      </w:r>
    </w:p>
    <w:p w14:paraId="49F5CD19"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Implementation fidelity was assessed using a case-based checklist applied to a stratified random audit sample of 176 student cases (15.0% of the final analytic sample). The audit framework covered four domains: sequence integrity, timing compliance, access restrictions, and completion of condition-specific activities. Each item was scored dichotomously (0 = criterion not met, 1 = criterion met). For each case, a fidelity proportion was calculated by dividing the number of completed items by the number of applicable items for that condition.</w:t>
      </w:r>
    </w:p>
    <w:tbl>
      <w:tblPr>
        <w:tblStyle w:val="TableGrid"/>
        <w:tblW w:w="0" w:type="auto"/>
        <w:jc w:val="center"/>
        <w:tblLook w:val="04A0" w:firstRow="1" w:lastRow="0" w:firstColumn="1" w:lastColumn="0" w:noHBand="0" w:noVBand="1"/>
      </w:tblPr>
      <w:tblGrid>
        <w:gridCol w:w="2412"/>
        <w:gridCol w:w="2412"/>
        <w:gridCol w:w="2412"/>
        <w:gridCol w:w="2412"/>
      </w:tblGrid>
      <w:tr w:rsidR="00D41A11" w:rsidRPr="00D41A11" w14:paraId="1BAAA3F6" w14:textId="77777777" w:rsidTr="009F5672">
        <w:trPr>
          <w:jc w:val="center"/>
        </w:trPr>
        <w:tc>
          <w:tcPr>
            <w:tcW w:w="2412" w:type="dxa"/>
            <w:vAlign w:val="center"/>
          </w:tcPr>
          <w:p w14:paraId="75CA1451"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Checklist item</w:t>
            </w:r>
          </w:p>
        </w:tc>
        <w:tc>
          <w:tcPr>
            <w:tcW w:w="2412" w:type="dxa"/>
            <w:vAlign w:val="center"/>
          </w:tcPr>
          <w:p w14:paraId="647A5844"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Domain</w:t>
            </w:r>
          </w:p>
        </w:tc>
        <w:tc>
          <w:tcPr>
            <w:tcW w:w="2412" w:type="dxa"/>
            <w:vAlign w:val="center"/>
          </w:tcPr>
          <w:p w14:paraId="449917D2"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Applicable condition(s)</w:t>
            </w:r>
          </w:p>
        </w:tc>
        <w:tc>
          <w:tcPr>
            <w:tcW w:w="2412" w:type="dxa"/>
            <w:vAlign w:val="center"/>
          </w:tcPr>
          <w:p w14:paraId="4033BB71"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Scoring rule</w:t>
            </w:r>
          </w:p>
        </w:tc>
      </w:tr>
      <w:tr w:rsidR="00D41A11" w:rsidRPr="00D41A11" w14:paraId="6E7087DC" w14:textId="77777777" w:rsidTr="009F5672">
        <w:trPr>
          <w:jc w:val="center"/>
        </w:trPr>
        <w:tc>
          <w:tcPr>
            <w:tcW w:w="2412" w:type="dxa"/>
            <w:vAlign w:val="center"/>
          </w:tcPr>
          <w:p w14:paraId="7C60D9E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Initial draft submitted within the assigned cycle window</w:t>
            </w:r>
          </w:p>
        </w:tc>
        <w:tc>
          <w:tcPr>
            <w:tcW w:w="2412" w:type="dxa"/>
            <w:vAlign w:val="center"/>
          </w:tcPr>
          <w:p w14:paraId="2A943BF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Timing compliance</w:t>
            </w:r>
          </w:p>
        </w:tc>
        <w:tc>
          <w:tcPr>
            <w:tcW w:w="2412" w:type="dxa"/>
            <w:vAlign w:val="center"/>
          </w:tcPr>
          <w:p w14:paraId="13CD9D3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All conditions</w:t>
            </w:r>
          </w:p>
        </w:tc>
        <w:tc>
          <w:tcPr>
            <w:tcW w:w="2412" w:type="dxa"/>
            <w:vAlign w:val="center"/>
          </w:tcPr>
          <w:p w14:paraId="5214438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submitted within cycle window; 0 = otherwise</w:t>
            </w:r>
          </w:p>
        </w:tc>
      </w:tr>
      <w:tr w:rsidR="00D41A11" w:rsidRPr="00D41A11" w14:paraId="6B91BE88" w14:textId="77777777" w:rsidTr="009F5672">
        <w:trPr>
          <w:jc w:val="center"/>
        </w:trPr>
        <w:tc>
          <w:tcPr>
            <w:tcW w:w="2412" w:type="dxa"/>
            <w:vAlign w:val="center"/>
          </w:tcPr>
          <w:p w14:paraId="6E18E4A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Assigned feedback sequence completed in the correct order</w:t>
            </w:r>
          </w:p>
        </w:tc>
        <w:tc>
          <w:tcPr>
            <w:tcW w:w="2412" w:type="dxa"/>
            <w:vAlign w:val="center"/>
          </w:tcPr>
          <w:p w14:paraId="4C07C8E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Sequence integrity</w:t>
            </w:r>
          </w:p>
        </w:tc>
        <w:tc>
          <w:tcPr>
            <w:tcW w:w="2412" w:type="dxa"/>
            <w:vAlign w:val="center"/>
          </w:tcPr>
          <w:p w14:paraId="61B4479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All conditions</w:t>
            </w:r>
          </w:p>
        </w:tc>
        <w:tc>
          <w:tcPr>
            <w:tcW w:w="2412" w:type="dxa"/>
            <w:vAlign w:val="center"/>
          </w:tcPr>
          <w:p w14:paraId="5C2AA89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correct order documented; 0 = order violation</w:t>
            </w:r>
          </w:p>
        </w:tc>
      </w:tr>
      <w:tr w:rsidR="00D41A11" w:rsidRPr="00D41A11" w14:paraId="2D2D72BC" w14:textId="77777777" w:rsidTr="009F5672">
        <w:trPr>
          <w:jc w:val="center"/>
        </w:trPr>
        <w:tc>
          <w:tcPr>
            <w:tcW w:w="2412" w:type="dxa"/>
            <w:vAlign w:val="center"/>
          </w:tcPr>
          <w:p w14:paraId="51474AE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Structured self-evaluation completed before AI feedback</w:t>
            </w:r>
          </w:p>
        </w:tc>
        <w:tc>
          <w:tcPr>
            <w:tcW w:w="2412" w:type="dxa"/>
            <w:vAlign w:val="center"/>
          </w:tcPr>
          <w:p w14:paraId="3711AEE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Sequence integrity</w:t>
            </w:r>
          </w:p>
        </w:tc>
        <w:tc>
          <w:tcPr>
            <w:tcW w:w="2412" w:type="dxa"/>
            <w:vAlign w:val="center"/>
          </w:tcPr>
          <w:p w14:paraId="3C6EA63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Hybrid</w:t>
            </w:r>
          </w:p>
        </w:tc>
        <w:tc>
          <w:tcPr>
            <w:tcW w:w="2412" w:type="dxa"/>
            <w:vAlign w:val="center"/>
          </w:tcPr>
          <w:p w14:paraId="7BEC23F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all self-evaluation fields completed before feedback generation; 0 = otherwise</w:t>
            </w:r>
          </w:p>
        </w:tc>
      </w:tr>
      <w:tr w:rsidR="00D41A11" w:rsidRPr="00D41A11" w14:paraId="025DA1C5" w14:textId="77777777" w:rsidTr="009F5672">
        <w:trPr>
          <w:jc w:val="center"/>
        </w:trPr>
        <w:tc>
          <w:tcPr>
            <w:tcW w:w="2412" w:type="dxa"/>
            <w:vAlign w:val="center"/>
          </w:tcPr>
          <w:p w14:paraId="4397574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Two peer-feedback forms submitted</w:t>
            </w:r>
          </w:p>
        </w:tc>
        <w:tc>
          <w:tcPr>
            <w:tcW w:w="2412" w:type="dxa"/>
            <w:vAlign w:val="center"/>
          </w:tcPr>
          <w:p w14:paraId="1FFB6B5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Completion of condition-specific activities</w:t>
            </w:r>
          </w:p>
        </w:tc>
        <w:tc>
          <w:tcPr>
            <w:tcW w:w="2412" w:type="dxa"/>
            <w:vAlign w:val="center"/>
          </w:tcPr>
          <w:p w14:paraId="0B511BA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Peer, Hybrid</w:t>
            </w:r>
          </w:p>
        </w:tc>
        <w:tc>
          <w:tcPr>
            <w:tcW w:w="2412" w:type="dxa"/>
            <w:vAlign w:val="center"/>
          </w:tcPr>
          <w:p w14:paraId="419EC0F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two completed peer forms logged; 0 = otherwise</w:t>
            </w:r>
          </w:p>
        </w:tc>
      </w:tr>
      <w:tr w:rsidR="00D41A11" w:rsidRPr="00D41A11" w14:paraId="0DC9AC84" w14:textId="77777777" w:rsidTr="009F5672">
        <w:trPr>
          <w:jc w:val="center"/>
        </w:trPr>
        <w:tc>
          <w:tcPr>
            <w:tcW w:w="2412" w:type="dxa"/>
            <w:vAlign w:val="center"/>
          </w:tcPr>
          <w:p w14:paraId="5D13B47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AI feedback generated only through the assigned institutional interface</w:t>
            </w:r>
          </w:p>
        </w:tc>
        <w:tc>
          <w:tcPr>
            <w:tcW w:w="2412" w:type="dxa"/>
            <w:vAlign w:val="center"/>
          </w:tcPr>
          <w:p w14:paraId="57FF386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Access restrictions</w:t>
            </w:r>
          </w:p>
        </w:tc>
        <w:tc>
          <w:tcPr>
            <w:tcW w:w="2412" w:type="dxa"/>
            <w:vAlign w:val="center"/>
          </w:tcPr>
          <w:p w14:paraId="752301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 Reflective, Hybrid</w:t>
            </w:r>
          </w:p>
        </w:tc>
        <w:tc>
          <w:tcPr>
            <w:tcW w:w="2412" w:type="dxa"/>
            <w:vAlign w:val="center"/>
          </w:tcPr>
          <w:p w14:paraId="5B0945D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assigned interface only; 0 = otherwise</w:t>
            </w:r>
          </w:p>
        </w:tc>
      </w:tr>
      <w:tr w:rsidR="00D41A11" w:rsidRPr="00D41A11" w14:paraId="461EDF45" w14:textId="77777777" w:rsidTr="009F5672">
        <w:trPr>
          <w:jc w:val="center"/>
        </w:trPr>
        <w:tc>
          <w:tcPr>
            <w:tcW w:w="2412" w:type="dxa"/>
            <w:vAlign w:val="center"/>
          </w:tcPr>
          <w:p w14:paraId="0CEC022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Single-generation rule respected</w:t>
            </w:r>
          </w:p>
        </w:tc>
        <w:tc>
          <w:tcPr>
            <w:tcW w:w="2412" w:type="dxa"/>
            <w:vAlign w:val="center"/>
          </w:tcPr>
          <w:p w14:paraId="551B162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Access restrictions</w:t>
            </w:r>
          </w:p>
        </w:tc>
        <w:tc>
          <w:tcPr>
            <w:tcW w:w="2412" w:type="dxa"/>
            <w:vAlign w:val="center"/>
          </w:tcPr>
          <w:p w14:paraId="0B2D2E9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 Reflective, Hybrid</w:t>
            </w:r>
          </w:p>
        </w:tc>
        <w:tc>
          <w:tcPr>
            <w:tcW w:w="2412" w:type="dxa"/>
            <w:vAlign w:val="center"/>
          </w:tcPr>
          <w:p w14:paraId="5F61CDB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one generation logged; 0 = multiple generations</w:t>
            </w:r>
          </w:p>
        </w:tc>
      </w:tr>
      <w:tr w:rsidR="00D41A11" w:rsidRPr="00D41A11" w14:paraId="5240AD85" w14:textId="77777777" w:rsidTr="009F5672">
        <w:trPr>
          <w:jc w:val="center"/>
        </w:trPr>
        <w:tc>
          <w:tcPr>
            <w:tcW w:w="2412" w:type="dxa"/>
            <w:vAlign w:val="center"/>
          </w:tcPr>
          <w:p w14:paraId="29682D7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Revision memo submitted</w:t>
            </w:r>
          </w:p>
        </w:tc>
        <w:tc>
          <w:tcPr>
            <w:tcW w:w="2412" w:type="dxa"/>
            <w:vAlign w:val="center"/>
          </w:tcPr>
          <w:p w14:paraId="1CA4E8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Completion of condition-specific activities</w:t>
            </w:r>
          </w:p>
        </w:tc>
        <w:tc>
          <w:tcPr>
            <w:tcW w:w="2412" w:type="dxa"/>
            <w:vAlign w:val="center"/>
          </w:tcPr>
          <w:p w14:paraId="7D68036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w:t>
            </w:r>
          </w:p>
        </w:tc>
        <w:tc>
          <w:tcPr>
            <w:tcW w:w="2412" w:type="dxa"/>
            <w:vAlign w:val="center"/>
          </w:tcPr>
          <w:p w14:paraId="1A588DB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revision memo present; 0 = absent</w:t>
            </w:r>
          </w:p>
        </w:tc>
      </w:tr>
      <w:tr w:rsidR="00D41A11" w:rsidRPr="00D41A11" w14:paraId="1ABF41E3" w14:textId="77777777" w:rsidTr="009F5672">
        <w:trPr>
          <w:jc w:val="center"/>
        </w:trPr>
        <w:tc>
          <w:tcPr>
            <w:tcW w:w="2412" w:type="dxa"/>
            <w:vAlign w:val="center"/>
          </w:tcPr>
          <w:p w14:paraId="164DA89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No access to non-assigned feedback resources</w:t>
            </w:r>
          </w:p>
        </w:tc>
        <w:tc>
          <w:tcPr>
            <w:tcW w:w="2412" w:type="dxa"/>
            <w:vAlign w:val="center"/>
          </w:tcPr>
          <w:p w14:paraId="3C48E06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Access restrictions</w:t>
            </w:r>
          </w:p>
        </w:tc>
        <w:tc>
          <w:tcPr>
            <w:tcW w:w="2412" w:type="dxa"/>
            <w:vAlign w:val="center"/>
          </w:tcPr>
          <w:p w14:paraId="52D5907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All conditions</w:t>
            </w:r>
          </w:p>
        </w:tc>
        <w:tc>
          <w:tcPr>
            <w:tcW w:w="2412" w:type="dxa"/>
            <w:vAlign w:val="center"/>
          </w:tcPr>
          <w:p w14:paraId="6613A57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no logged attempt; 0 = attempted access</w:t>
            </w:r>
          </w:p>
        </w:tc>
      </w:tr>
      <w:tr w:rsidR="00D41A11" w:rsidRPr="00D41A11" w14:paraId="3A6DD846" w14:textId="77777777" w:rsidTr="009F5672">
        <w:trPr>
          <w:jc w:val="center"/>
        </w:trPr>
        <w:tc>
          <w:tcPr>
            <w:tcW w:w="2412" w:type="dxa"/>
            <w:vAlign w:val="center"/>
          </w:tcPr>
          <w:p w14:paraId="364F66C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Final revised draft submitted</w:t>
            </w:r>
          </w:p>
        </w:tc>
        <w:tc>
          <w:tcPr>
            <w:tcW w:w="2412" w:type="dxa"/>
            <w:vAlign w:val="center"/>
          </w:tcPr>
          <w:p w14:paraId="1F26947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Completion of condition-specific activities</w:t>
            </w:r>
          </w:p>
        </w:tc>
        <w:tc>
          <w:tcPr>
            <w:tcW w:w="2412" w:type="dxa"/>
            <w:vAlign w:val="center"/>
          </w:tcPr>
          <w:p w14:paraId="26199D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All conditions</w:t>
            </w:r>
          </w:p>
        </w:tc>
        <w:tc>
          <w:tcPr>
            <w:tcW w:w="2412" w:type="dxa"/>
            <w:vAlign w:val="center"/>
          </w:tcPr>
          <w:p w14:paraId="3FABBC9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final draft present; 0 = absent</w:t>
            </w:r>
          </w:p>
        </w:tc>
      </w:tr>
      <w:tr w:rsidR="009F5672" w:rsidRPr="00D41A11" w14:paraId="27BCFF80" w14:textId="77777777" w:rsidTr="009F5672">
        <w:trPr>
          <w:jc w:val="center"/>
        </w:trPr>
        <w:tc>
          <w:tcPr>
            <w:tcW w:w="2412" w:type="dxa"/>
            <w:vAlign w:val="center"/>
          </w:tcPr>
          <w:p w14:paraId="230EC7D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Platform log record complete and internally consistent</w:t>
            </w:r>
          </w:p>
        </w:tc>
        <w:tc>
          <w:tcPr>
            <w:tcW w:w="2412" w:type="dxa"/>
            <w:vAlign w:val="center"/>
          </w:tcPr>
          <w:p w14:paraId="0915C88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Sequence integrity</w:t>
            </w:r>
          </w:p>
        </w:tc>
        <w:tc>
          <w:tcPr>
            <w:tcW w:w="2412" w:type="dxa"/>
            <w:vAlign w:val="center"/>
          </w:tcPr>
          <w:p w14:paraId="23BB47E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All conditions</w:t>
            </w:r>
          </w:p>
        </w:tc>
        <w:tc>
          <w:tcPr>
            <w:tcW w:w="2412" w:type="dxa"/>
            <w:vAlign w:val="center"/>
          </w:tcPr>
          <w:p w14:paraId="62C12BD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 = no missing audit-critical log field; 0 = otherwise</w:t>
            </w:r>
          </w:p>
        </w:tc>
      </w:tr>
    </w:tbl>
    <w:p w14:paraId="18A2A426" w14:textId="77777777" w:rsidR="00A7350A" w:rsidRPr="00D41A11" w:rsidRDefault="00A7350A" w:rsidP="009F5672">
      <w:pPr>
        <w:rPr>
          <w:rFonts w:ascii="Times New Roman" w:hAnsi="Times New Roman" w:cs="Times New Roman"/>
          <w:sz w:val="24"/>
          <w:szCs w:val="24"/>
        </w:rPr>
      </w:pPr>
    </w:p>
    <w:p w14:paraId="328006B2"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C2. Audit procedures</w:t>
      </w:r>
    </w:p>
    <w:p w14:paraId="748D99AD"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The audit sample was selected using stratified random sampling across institutions, disciplines, and conditions. A minimum of three cases were audited per course section (48 sections × 3 cases = 144 cases), and the remaining 32 cases were allocated proportionally to section size and condition distribution to reach the prespecified target of 176 audited cases. Audit selection was conducted after completion of data collection and before final model estimation.</w:t>
      </w:r>
    </w:p>
    <w:p w14:paraId="774D78D5"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For each audited case, research assistants reviewed the LMS audit trail, condition-specific assignment records, peer-feedback submissions where applicable, AI-generation logs in the AI-supported conditions, and revision memo submissions in the hybrid condition. Audit decisions were recorded in a standardized scoring form and converted into a proportion-of-applicable-steps-completed metric. Site-level fidelity summaries were computed as the mean of the case-level fidelity proportions across audited cases within each institution.</w:t>
      </w:r>
    </w:p>
    <w:tbl>
      <w:tblPr>
        <w:tblStyle w:val="TableGrid"/>
        <w:tblW w:w="0" w:type="auto"/>
        <w:jc w:val="center"/>
        <w:tblLook w:val="04A0" w:firstRow="1" w:lastRow="0" w:firstColumn="1" w:lastColumn="0" w:noHBand="0" w:noVBand="1"/>
      </w:tblPr>
      <w:tblGrid>
        <w:gridCol w:w="3216"/>
        <w:gridCol w:w="3216"/>
        <w:gridCol w:w="3216"/>
      </w:tblGrid>
      <w:tr w:rsidR="00D41A11" w:rsidRPr="00D41A11" w14:paraId="751085AF" w14:textId="77777777" w:rsidTr="009F5672">
        <w:trPr>
          <w:jc w:val="center"/>
        </w:trPr>
        <w:tc>
          <w:tcPr>
            <w:tcW w:w="3216" w:type="dxa"/>
            <w:vAlign w:val="center"/>
          </w:tcPr>
          <w:p w14:paraId="72216E4D"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Institution</w:t>
            </w:r>
          </w:p>
        </w:tc>
        <w:tc>
          <w:tcPr>
            <w:tcW w:w="3216" w:type="dxa"/>
            <w:vAlign w:val="center"/>
          </w:tcPr>
          <w:p w14:paraId="0791619C"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Audited cases (n)</w:t>
            </w:r>
          </w:p>
        </w:tc>
        <w:tc>
          <w:tcPr>
            <w:tcW w:w="3216" w:type="dxa"/>
            <w:vAlign w:val="center"/>
          </w:tcPr>
          <w:p w14:paraId="6F5A44DB"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Mean fidelity proportion</w:t>
            </w:r>
          </w:p>
        </w:tc>
      </w:tr>
      <w:tr w:rsidR="00D41A11" w:rsidRPr="00D41A11" w14:paraId="28C12AD3" w14:textId="77777777">
        <w:trPr>
          <w:jc w:val="center"/>
        </w:trPr>
        <w:tc>
          <w:tcPr>
            <w:tcW w:w="3216" w:type="dxa"/>
            <w:vAlign w:val="center"/>
          </w:tcPr>
          <w:p w14:paraId="15E57BC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University A</w:t>
            </w:r>
          </w:p>
        </w:tc>
        <w:tc>
          <w:tcPr>
            <w:tcW w:w="3216" w:type="dxa"/>
            <w:vAlign w:val="center"/>
          </w:tcPr>
          <w:p w14:paraId="1FCADFE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44</w:t>
            </w:r>
          </w:p>
        </w:tc>
        <w:tc>
          <w:tcPr>
            <w:tcW w:w="3216" w:type="dxa"/>
            <w:vAlign w:val="center"/>
          </w:tcPr>
          <w:p w14:paraId="44FC93D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0.96</w:t>
            </w:r>
          </w:p>
        </w:tc>
      </w:tr>
      <w:tr w:rsidR="00D41A11" w:rsidRPr="00D41A11" w14:paraId="14EDA044" w14:textId="77777777">
        <w:trPr>
          <w:jc w:val="center"/>
        </w:trPr>
        <w:tc>
          <w:tcPr>
            <w:tcW w:w="3216" w:type="dxa"/>
            <w:vAlign w:val="center"/>
          </w:tcPr>
          <w:p w14:paraId="1594BA9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University B</w:t>
            </w:r>
          </w:p>
        </w:tc>
        <w:tc>
          <w:tcPr>
            <w:tcW w:w="3216" w:type="dxa"/>
            <w:vAlign w:val="center"/>
          </w:tcPr>
          <w:p w14:paraId="05C6255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44</w:t>
            </w:r>
          </w:p>
        </w:tc>
        <w:tc>
          <w:tcPr>
            <w:tcW w:w="3216" w:type="dxa"/>
            <w:vAlign w:val="center"/>
          </w:tcPr>
          <w:p w14:paraId="1D9269B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0.95</w:t>
            </w:r>
          </w:p>
        </w:tc>
      </w:tr>
      <w:tr w:rsidR="00D41A11" w:rsidRPr="00D41A11" w14:paraId="3CC2E889" w14:textId="77777777">
        <w:trPr>
          <w:jc w:val="center"/>
        </w:trPr>
        <w:tc>
          <w:tcPr>
            <w:tcW w:w="3216" w:type="dxa"/>
            <w:vAlign w:val="center"/>
          </w:tcPr>
          <w:p w14:paraId="7B2A18E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University C</w:t>
            </w:r>
          </w:p>
        </w:tc>
        <w:tc>
          <w:tcPr>
            <w:tcW w:w="3216" w:type="dxa"/>
            <w:vAlign w:val="center"/>
          </w:tcPr>
          <w:p w14:paraId="190B669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44</w:t>
            </w:r>
          </w:p>
        </w:tc>
        <w:tc>
          <w:tcPr>
            <w:tcW w:w="3216" w:type="dxa"/>
            <w:vAlign w:val="center"/>
          </w:tcPr>
          <w:p w14:paraId="656A5EC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0.96</w:t>
            </w:r>
          </w:p>
        </w:tc>
      </w:tr>
      <w:tr w:rsidR="00A7350A" w:rsidRPr="00D41A11" w14:paraId="610915C9" w14:textId="77777777">
        <w:trPr>
          <w:jc w:val="center"/>
        </w:trPr>
        <w:tc>
          <w:tcPr>
            <w:tcW w:w="3216" w:type="dxa"/>
            <w:vAlign w:val="center"/>
          </w:tcPr>
          <w:p w14:paraId="1C5FAD5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University D</w:t>
            </w:r>
          </w:p>
        </w:tc>
        <w:tc>
          <w:tcPr>
            <w:tcW w:w="3216" w:type="dxa"/>
            <w:vAlign w:val="center"/>
          </w:tcPr>
          <w:p w14:paraId="1D8A50E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44</w:t>
            </w:r>
          </w:p>
        </w:tc>
        <w:tc>
          <w:tcPr>
            <w:tcW w:w="3216" w:type="dxa"/>
            <w:vAlign w:val="center"/>
          </w:tcPr>
          <w:p w14:paraId="5E4D92E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0.96</w:t>
            </w:r>
          </w:p>
        </w:tc>
      </w:tr>
    </w:tbl>
    <w:p w14:paraId="34959B82" w14:textId="77777777" w:rsidR="00A7350A" w:rsidRPr="00D41A11" w:rsidRDefault="00A7350A" w:rsidP="009F5672">
      <w:pPr>
        <w:rPr>
          <w:rFonts w:ascii="Times New Roman" w:hAnsi="Times New Roman" w:cs="Times New Roman"/>
          <w:sz w:val="24"/>
          <w:szCs w:val="24"/>
        </w:rPr>
      </w:pPr>
    </w:p>
    <w:p w14:paraId="6A7B9BBF"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C3. Double-coding and agreement procedures</w:t>
      </w:r>
    </w:p>
    <w:p w14:paraId="2312E034"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All fidelity audits were conducted by trained research assistants who were not involved in course instruction. Before independent auditing began, the assistants completed a 3-hour common training session using twelve practice cases drawn from all four conditions and all three science domains. The training emphasized interpretation of the checklist criteria, use of the written scoring guide, and documentation of ambiguous cases.</w:t>
      </w:r>
    </w:p>
    <w:p w14:paraId="2630015C"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A total of 36 audited cases (20.5% of the full audit sample) were double-coded to assess audit consistency. Agreement on individual checklist items was high (Cohen’s κ = .89). Where discrepancies arose, assistants first documented the source of disagreement and then met with the senior methods coordinator to reach a consensus classification. The consensus-coded record was retained as the final audit record for those cases.</w:t>
      </w:r>
    </w:p>
    <w:p w14:paraId="112AB59F" w14:textId="77777777"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t>5. Supplementary Appendix D. Additional Analytic Notes and Sensitivity Analyses</w:t>
      </w:r>
    </w:p>
    <w:p w14:paraId="2E865221"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D1. Per-protocol analysis note</w:t>
      </w:r>
    </w:p>
    <w:p w14:paraId="72098CC2"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 xml:space="preserve">Per-protocol analyses were estimated using a restricted sample that excluded students who completed fewer than two of the three intervention cycles. This resulted in a per-protocol sample of 1,102 students. The purpose of the analysis was to determine whether the main findings depended heavily on intention-to-treat inclusion of minimally exposed participants. Across primary, secondary, and process outcomes, the overall pattern of results remained substantively unchanged. </w:t>
      </w:r>
      <w:r w:rsidRPr="00D41A11">
        <w:rPr>
          <w:rFonts w:ascii="Times New Roman" w:hAnsi="Times New Roman" w:cs="Times New Roman"/>
          <w:sz w:val="24"/>
          <w:szCs w:val="24"/>
        </w:rPr>
        <w:lastRenderedPageBreak/>
        <w:t>Reflective and hybrid feedback designs continued to outperform direct GenAI-supported feedback on the process variables and on delayed AI-free transfer, and hybrid feedback continued to yield the highest adjusted mean for four-dimension argument-quality gain.</w:t>
      </w:r>
    </w:p>
    <w:p w14:paraId="7369E755"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 xml:space="preserve">D2. Low-fidelity sections exclusion </w:t>
      </w:r>
      <w:proofErr w:type="gramStart"/>
      <w:r w:rsidRPr="00D41A11">
        <w:rPr>
          <w:rFonts w:ascii="Times New Roman" w:hAnsi="Times New Roman" w:cs="Times New Roman"/>
          <w:color w:val="auto"/>
          <w:szCs w:val="24"/>
        </w:rPr>
        <w:t>note</w:t>
      </w:r>
      <w:proofErr w:type="gramEnd"/>
    </w:p>
    <w:p w14:paraId="40DCA7A2"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To evaluate whether the primary findings were sensitive to variation in implementation quality, the primary models were re-estimated after excluding the three sections with the lowest fidelity scores. This exclusion yielded an analytic sample of 1,101 students across 45 sections. Parameter estimates in these sensitivity models differed by no more than 0.04 standardized units from the main intention-to-treat analyses, indicating that the principal findings were not driven by the lowest-fidelity implementations.</w:t>
      </w:r>
    </w:p>
    <w:p w14:paraId="6C17C026"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 xml:space="preserve">D3. Alternative missing-data specification </w:t>
      </w:r>
      <w:proofErr w:type="gramStart"/>
      <w:r w:rsidRPr="00D41A11">
        <w:rPr>
          <w:rFonts w:ascii="Times New Roman" w:hAnsi="Times New Roman" w:cs="Times New Roman"/>
          <w:color w:val="auto"/>
          <w:szCs w:val="24"/>
        </w:rPr>
        <w:t>note</w:t>
      </w:r>
      <w:proofErr w:type="gramEnd"/>
    </w:p>
    <w:p w14:paraId="66336AE3"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Primary analyses used multiple imputation by chained equations with 20 imputations under a missing-at-random assumption. To test the dependence of results on the missing-data strategy, the primary models were re-estimated using full-information maximum likelihood (FIML). The resulting estimates and substantive conclusions were effectively unchanged, supporting the robustness of the findings to the handling of incomplete data.</w:t>
      </w:r>
    </w:p>
    <w:p w14:paraId="5D9874AF"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 xml:space="preserve">D4. Exploratory moderation </w:t>
      </w:r>
      <w:proofErr w:type="gramStart"/>
      <w:r w:rsidRPr="00D41A11">
        <w:rPr>
          <w:rFonts w:ascii="Times New Roman" w:hAnsi="Times New Roman" w:cs="Times New Roman"/>
          <w:color w:val="auto"/>
          <w:szCs w:val="24"/>
        </w:rPr>
        <w:t>note</w:t>
      </w:r>
      <w:proofErr w:type="gramEnd"/>
    </w:p>
    <w:p w14:paraId="3CC13ED5"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 xml:space="preserve">Exploratory moderation models examined whether the effects of feedback condition varied as a function of baseline feedback literacy and science domain. The interaction between condition and baseline feedback literacy was statistically significant for delayed AI-free transfer, </w:t>
      </w:r>
      <w:proofErr w:type="gramStart"/>
      <w:r w:rsidRPr="00D41A11">
        <w:rPr>
          <w:rFonts w:ascii="Times New Roman" w:hAnsi="Times New Roman" w:cs="Times New Roman"/>
          <w:sz w:val="24"/>
          <w:szCs w:val="24"/>
        </w:rPr>
        <w:t>F(</w:t>
      </w:r>
      <w:proofErr w:type="gramEnd"/>
      <w:r w:rsidRPr="00D41A11">
        <w:rPr>
          <w:rFonts w:ascii="Times New Roman" w:hAnsi="Times New Roman" w:cs="Times New Roman"/>
          <w:sz w:val="24"/>
          <w:szCs w:val="24"/>
        </w:rPr>
        <w:t>3, 1158) = 2.83, p = .037, indicating that the disadvantage of direct GenAI-supported feedback relative to the reflective and hybrid designs was more pronounced among students with lower initial feedback literacy. By contrast, the interaction between condition and science domain was not statistically significant for any primary or secondary outcome (all p &gt; .10), indicating that the overall pattern of effects was broadly consistent across biology, chemistry, and physics.</w:t>
      </w:r>
    </w:p>
    <w:p w14:paraId="5C944260" w14:textId="77777777" w:rsidR="00A7350A" w:rsidRPr="00D41A11" w:rsidRDefault="00A7350A" w:rsidP="009F5672">
      <w:pPr>
        <w:rPr>
          <w:rFonts w:ascii="Times New Roman" w:hAnsi="Times New Roman" w:cs="Times New Roman"/>
          <w:sz w:val="24"/>
          <w:szCs w:val="24"/>
        </w:rPr>
      </w:pPr>
    </w:p>
    <w:p w14:paraId="3EC34447" w14:textId="77777777" w:rsidR="00A7350A" w:rsidRPr="00D41A11" w:rsidRDefault="00000000" w:rsidP="009F5672">
      <w:pPr>
        <w:pStyle w:val="Heading1"/>
        <w:rPr>
          <w:rFonts w:ascii="Times New Roman" w:hAnsi="Times New Roman" w:cs="Times New Roman"/>
          <w:color w:val="auto"/>
          <w:sz w:val="24"/>
          <w:szCs w:val="24"/>
        </w:rPr>
      </w:pPr>
      <w:r w:rsidRPr="00D41A11">
        <w:rPr>
          <w:rFonts w:ascii="Times New Roman" w:hAnsi="Times New Roman" w:cs="Times New Roman"/>
          <w:color w:val="auto"/>
          <w:sz w:val="24"/>
          <w:szCs w:val="24"/>
        </w:rPr>
        <w:t>6. Supplementary Tables</w:t>
      </w:r>
    </w:p>
    <w:p w14:paraId="641F24BE" w14:textId="77777777" w:rsidR="00A7350A" w:rsidRPr="00D41A11" w:rsidRDefault="00000000" w:rsidP="009F5672">
      <w:pPr>
        <w:rPr>
          <w:rFonts w:ascii="Times New Roman" w:hAnsi="Times New Roman" w:cs="Times New Roman"/>
          <w:sz w:val="24"/>
          <w:szCs w:val="24"/>
        </w:rPr>
      </w:pPr>
      <w:r w:rsidRPr="00D41A11">
        <w:rPr>
          <w:rFonts w:ascii="Times New Roman" w:hAnsi="Times New Roman" w:cs="Times New Roman"/>
          <w:sz w:val="24"/>
          <w:szCs w:val="24"/>
        </w:rPr>
        <w:t>Reporting note. Unless otherwise indicated, the sensitivity tables prioritize the preregistered theory-driven focal contrasts that treated the direct GenAI-supported feedback condition as the primary comparison category for reflective and hybrid designs. Full pairwise contrast matrices were examined during model estimation but are not reproduced here in order to keep the supplementary tables concise and aligned with the confirmatory analytic plan.</w:t>
      </w:r>
    </w:p>
    <w:p w14:paraId="19D17BC5"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Supplementary Table S1. Section-level random-effect estimates, variance components, and intraclass correlation coefficients for the primary mixed-effects models</w:t>
      </w:r>
    </w:p>
    <w:tbl>
      <w:tblPr>
        <w:tblStyle w:val="TableGrid"/>
        <w:tblW w:w="0" w:type="auto"/>
        <w:jc w:val="center"/>
        <w:tblLook w:val="04A0" w:firstRow="1" w:lastRow="0" w:firstColumn="1" w:lastColumn="0" w:noHBand="0" w:noVBand="1"/>
      </w:tblPr>
      <w:tblGrid>
        <w:gridCol w:w="1930"/>
        <w:gridCol w:w="1930"/>
        <w:gridCol w:w="1930"/>
        <w:gridCol w:w="1930"/>
        <w:gridCol w:w="1930"/>
      </w:tblGrid>
      <w:tr w:rsidR="00D41A11" w:rsidRPr="00D41A11" w14:paraId="738E78CF" w14:textId="77777777" w:rsidTr="009F5672">
        <w:trPr>
          <w:jc w:val="center"/>
        </w:trPr>
        <w:tc>
          <w:tcPr>
            <w:tcW w:w="1930" w:type="dxa"/>
            <w:vAlign w:val="center"/>
          </w:tcPr>
          <w:p w14:paraId="1485F9E1"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Outcome model</w:t>
            </w:r>
          </w:p>
        </w:tc>
        <w:tc>
          <w:tcPr>
            <w:tcW w:w="1930" w:type="dxa"/>
            <w:vAlign w:val="center"/>
          </w:tcPr>
          <w:p w14:paraId="72CFE0E3"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Random intercept SD (section)</w:t>
            </w:r>
          </w:p>
        </w:tc>
        <w:tc>
          <w:tcPr>
            <w:tcW w:w="1930" w:type="dxa"/>
            <w:vAlign w:val="center"/>
          </w:tcPr>
          <w:p w14:paraId="2BF34E7D"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Section-level variance (τ00)</w:t>
            </w:r>
          </w:p>
        </w:tc>
        <w:tc>
          <w:tcPr>
            <w:tcW w:w="1930" w:type="dxa"/>
            <w:vAlign w:val="center"/>
          </w:tcPr>
          <w:p w14:paraId="3016EC26"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Residual variance (σ²)</w:t>
            </w:r>
          </w:p>
        </w:tc>
        <w:tc>
          <w:tcPr>
            <w:tcW w:w="1930" w:type="dxa"/>
            <w:vAlign w:val="center"/>
          </w:tcPr>
          <w:p w14:paraId="7A6E465E"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ICC (section)</w:t>
            </w:r>
          </w:p>
        </w:tc>
      </w:tr>
      <w:tr w:rsidR="00D41A11" w:rsidRPr="00D41A11" w14:paraId="7F9497AC" w14:textId="77777777" w:rsidTr="009F5672">
        <w:trPr>
          <w:jc w:val="center"/>
        </w:trPr>
        <w:tc>
          <w:tcPr>
            <w:tcW w:w="1930" w:type="dxa"/>
            <w:vAlign w:val="center"/>
          </w:tcPr>
          <w:p w14:paraId="3BBD965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 xml:space="preserve">Four-dimension </w:t>
            </w:r>
            <w:r w:rsidRPr="00D41A11">
              <w:rPr>
                <w:rFonts w:ascii="Times New Roman" w:hAnsi="Times New Roman" w:cs="Times New Roman"/>
                <w:sz w:val="24"/>
                <w:szCs w:val="24"/>
              </w:rPr>
              <w:lastRenderedPageBreak/>
              <w:t>argument-quality gain</w:t>
            </w:r>
          </w:p>
        </w:tc>
        <w:tc>
          <w:tcPr>
            <w:tcW w:w="1930" w:type="dxa"/>
            <w:vAlign w:val="center"/>
          </w:tcPr>
          <w:p w14:paraId="733E165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0.46</w:t>
            </w:r>
          </w:p>
        </w:tc>
        <w:tc>
          <w:tcPr>
            <w:tcW w:w="1930" w:type="dxa"/>
            <w:vAlign w:val="center"/>
          </w:tcPr>
          <w:p w14:paraId="2FEB2BE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0.21</w:t>
            </w:r>
          </w:p>
        </w:tc>
        <w:tc>
          <w:tcPr>
            <w:tcW w:w="1930" w:type="dxa"/>
            <w:vAlign w:val="center"/>
          </w:tcPr>
          <w:p w14:paraId="6BFFBD7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2.49</w:t>
            </w:r>
          </w:p>
        </w:tc>
        <w:tc>
          <w:tcPr>
            <w:tcW w:w="1930" w:type="dxa"/>
            <w:vAlign w:val="center"/>
          </w:tcPr>
          <w:p w14:paraId="4D137C4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.078</w:t>
            </w:r>
          </w:p>
        </w:tc>
      </w:tr>
      <w:tr w:rsidR="00D41A11" w:rsidRPr="00D41A11" w14:paraId="260CF0E7" w14:textId="77777777" w:rsidTr="009F5672">
        <w:trPr>
          <w:jc w:val="center"/>
        </w:trPr>
        <w:tc>
          <w:tcPr>
            <w:tcW w:w="1930" w:type="dxa"/>
            <w:vAlign w:val="center"/>
          </w:tcPr>
          <w:p w14:paraId="028B8B7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930" w:type="dxa"/>
            <w:vAlign w:val="center"/>
          </w:tcPr>
          <w:p w14:paraId="3E70F52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0.24</w:t>
            </w:r>
          </w:p>
        </w:tc>
        <w:tc>
          <w:tcPr>
            <w:tcW w:w="1930" w:type="dxa"/>
            <w:vAlign w:val="center"/>
          </w:tcPr>
          <w:p w14:paraId="0E7A564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0.06</w:t>
            </w:r>
          </w:p>
        </w:tc>
        <w:tc>
          <w:tcPr>
            <w:tcW w:w="1930" w:type="dxa"/>
            <w:vAlign w:val="center"/>
          </w:tcPr>
          <w:p w14:paraId="064CC29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0.93</w:t>
            </w:r>
          </w:p>
        </w:tc>
        <w:tc>
          <w:tcPr>
            <w:tcW w:w="1930" w:type="dxa"/>
            <w:vAlign w:val="center"/>
          </w:tcPr>
          <w:p w14:paraId="49D25B7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.061</w:t>
            </w:r>
          </w:p>
        </w:tc>
      </w:tr>
      <w:tr w:rsidR="00D41A11" w:rsidRPr="00D41A11" w14:paraId="59210CF0" w14:textId="77777777" w:rsidTr="009F5672">
        <w:trPr>
          <w:jc w:val="center"/>
        </w:trPr>
        <w:tc>
          <w:tcPr>
            <w:tcW w:w="1930" w:type="dxa"/>
            <w:vAlign w:val="center"/>
          </w:tcPr>
          <w:p w14:paraId="5982989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930" w:type="dxa"/>
            <w:vAlign w:val="center"/>
          </w:tcPr>
          <w:p w14:paraId="0225E94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0.61</w:t>
            </w:r>
          </w:p>
        </w:tc>
        <w:tc>
          <w:tcPr>
            <w:tcW w:w="1930" w:type="dxa"/>
            <w:vAlign w:val="center"/>
          </w:tcPr>
          <w:p w14:paraId="0372F04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0.37</w:t>
            </w:r>
          </w:p>
        </w:tc>
        <w:tc>
          <w:tcPr>
            <w:tcW w:w="1930" w:type="dxa"/>
            <w:vAlign w:val="center"/>
          </w:tcPr>
          <w:p w14:paraId="6B78C96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4.68</w:t>
            </w:r>
          </w:p>
        </w:tc>
        <w:tc>
          <w:tcPr>
            <w:tcW w:w="1930" w:type="dxa"/>
            <w:vAlign w:val="center"/>
          </w:tcPr>
          <w:p w14:paraId="13D4788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.073</w:t>
            </w:r>
          </w:p>
        </w:tc>
      </w:tr>
      <w:tr w:rsidR="00D41A11" w:rsidRPr="00D41A11" w14:paraId="33CFD055" w14:textId="77777777" w:rsidTr="009F5672">
        <w:trPr>
          <w:jc w:val="center"/>
        </w:trPr>
        <w:tc>
          <w:tcPr>
            <w:tcW w:w="1930" w:type="dxa"/>
            <w:vAlign w:val="center"/>
          </w:tcPr>
          <w:p w14:paraId="63FA45F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930" w:type="dxa"/>
            <w:vAlign w:val="center"/>
          </w:tcPr>
          <w:p w14:paraId="135B6C2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0.26</w:t>
            </w:r>
          </w:p>
        </w:tc>
        <w:tc>
          <w:tcPr>
            <w:tcW w:w="1930" w:type="dxa"/>
            <w:vAlign w:val="center"/>
          </w:tcPr>
          <w:p w14:paraId="3550CFF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7846E84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0.96</w:t>
            </w:r>
          </w:p>
        </w:tc>
        <w:tc>
          <w:tcPr>
            <w:tcW w:w="1930" w:type="dxa"/>
            <w:vAlign w:val="center"/>
          </w:tcPr>
          <w:p w14:paraId="5349084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.068</w:t>
            </w:r>
          </w:p>
        </w:tc>
      </w:tr>
      <w:tr w:rsidR="00D41A11" w:rsidRPr="00D41A11" w14:paraId="463E712A" w14:textId="77777777" w:rsidTr="009F5672">
        <w:trPr>
          <w:jc w:val="center"/>
        </w:trPr>
        <w:tc>
          <w:tcPr>
            <w:tcW w:w="1930" w:type="dxa"/>
            <w:vAlign w:val="center"/>
          </w:tcPr>
          <w:p w14:paraId="4678115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Self-regulated learning during revision</w:t>
            </w:r>
          </w:p>
        </w:tc>
        <w:tc>
          <w:tcPr>
            <w:tcW w:w="1930" w:type="dxa"/>
            <w:vAlign w:val="center"/>
          </w:tcPr>
          <w:p w14:paraId="073EF76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930" w:type="dxa"/>
            <w:vAlign w:val="center"/>
          </w:tcPr>
          <w:p w14:paraId="15A4E88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0.06</w:t>
            </w:r>
          </w:p>
        </w:tc>
        <w:tc>
          <w:tcPr>
            <w:tcW w:w="1930" w:type="dxa"/>
            <w:vAlign w:val="center"/>
          </w:tcPr>
          <w:p w14:paraId="7278736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1.03</w:t>
            </w:r>
          </w:p>
        </w:tc>
        <w:tc>
          <w:tcPr>
            <w:tcW w:w="1930" w:type="dxa"/>
            <w:vAlign w:val="center"/>
          </w:tcPr>
          <w:p w14:paraId="11F02EC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.055</w:t>
            </w:r>
          </w:p>
        </w:tc>
      </w:tr>
    </w:tbl>
    <w:p w14:paraId="648823EF"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Note. Values are based on the final mixed-effects models reported in the main text. Institutions were entered as fixed effects; accordingly, no institution-level random-effect variance is reported. Section was modeled as a random intercept in all primary models. For four-dimension argument-quality gain, feedback uptake, and self-regulated learning during revision, outcomes were averaged across the three intervention cycles before modeling. Intraclass correlation coefficients (ICCs) were calculated as τ00 / (τ00 + σ²).</w:t>
      </w:r>
    </w:p>
    <w:p w14:paraId="55D77332"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Supplementary Table S2. Mixed-effects model predicting revision depth across conditions</w:t>
      </w:r>
    </w:p>
    <w:p w14:paraId="456B2A2B"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Panel A. Estimated marginal means by condition</w:t>
      </w:r>
    </w:p>
    <w:tbl>
      <w:tblPr>
        <w:tblStyle w:val="TableGrid"/>
        <w:tblW w:w="0" w:type="auto"/>
        <w:jc w:val="center"/>
        <w:tblLook w:val="04A0" w:firstRow="1" w:lastRow="0" w:firstColumn="1" w:lastColumn="0" w:noHBand="0" w:noVBand="1"/>
      </w:tblPr>
      <w:tblGrid>
        <w:gridCol w:w="2412"/>
        <w:gridCol w:w="2412"/>
        <w:gridCol w:w="2412"/>
        <w:gridCol w:w="2412"/>
      </w:tblGrid>
      <w:tr w:rsidR="00D41A11" w:rsidRPr="00D41A11" w14:paraId="437F55FD" w14:textId="77777777" w:rsidTr="009F5672">
        <w:trPr>
          <w:jc w:val="center"/>
        </w:trPr>
        <w:tc>
          <w:tcPr>
            <w:tcW w:w="2412" w:type="dxa"/>
            <w:vAlign w:val="center"/>
          </w:tcPr>
          <w:p w14:paraId="3B3D87C4"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Condition</w:t>
            </w:r>
          </w:p>
        </w:tc>
        <w:tc>
          <w:tcPr>
            <w:tcW w:w="2412" w:type="dxa"/>
            <w:vAlign w:val="center"/>
          </w:tcPr>
          <w:p w14:paraId="428E435E"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Adjusted M</w:t>
            </w:r>
          </w:p>
        </w:tc>
        <w:tc>
          <w:tcPr>
            <w:tcW w:w="2412" w:type="dxa"/>
            <w:vAlign w:val="center"/>
          </w:tcPr>
          <w:p w14:paraId="66BB4CD4"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SE</w:t>
            </w:r>
          </w:p>
        </w:tc>
        <w:tc>
          <w:tcPr>
            <w:tcW w:w="2412" w:type="dxa"/>
            <w:vAlign w:val="center"/>
          </w:tcPr>
          <w:p w14:paraId="3A7F5F7F"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95% CI</w:t>
            </w:r>
          </w:p>
        </w:tc>
      </w:tr>
      <w:tr w:rsidR="00D41A11" w:rsidRPr="00D41A11" w14:paraId="747BC329" w14:textId="77777777" w:rsidTr="009F5672">
        <w:trPr>
          <w:jc w:val="center"/>
        </w:trPr>
        <w:tc>
          <w:tcPr>
            <w:tcW w:w="2412" w:type="dxa"/>
            <w:vAlign w:val="center"/>
          </w:tcPr>
          <w:p w14:paraId="0712B65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Peer feedback only</w:t>
            </w:r>
          </w:p>
        </w:tc>
        <w:tc>
          <w:tcPr>
            <w:tcW w:w="2412" w:type="dxa"/>
            <w:vAlign w:val="center"/>
          </w:tcPr>
          <w:p w14:paraId="73EAAD0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1.72</w:t>
            </w:r>
          </w:p>
        </w:tc>
        <w:tc>
          <w:tcPr>
            <w:tcW w:w="2412" w:type="dxa"/>
            <w:vAlign w:val="center"/>
          </w:tcPr>
          <w:p w14:paraId="0CFCDBE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0.05</w:t>
            </w:r>
          </w:p>
        </w:tc>
        <w:tc>
          <w:tcPr>
            <w:tcW w:w="2412" w:type="dxa"/>
            <w:vAlign w:val="center"/>
          </w:tcPr>
          <w:p w14:paraId="5B8E130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[1.62, 1.82]</w:t>
            </w:r>
          </w:p>
        </w:tc>
      </w:tr>
      <w:tr w:rsidR="00D41A11" w:rsidRPr="00D41A11" w14:paraId="065BCA5B" w14:textId="77777777" w:rsidTr="009F5672">
        <w:trPr>
          <w:jc w:val="center"/>
        </w:trPr>
        <w:tc>
          <w:tcPr>
            <w:tcW w:w="2412" w:type="dxa"/>
            <w:vAlign w:val="center"/>
          </w:tcPr>
          <w:p w14:paraId="4AFAE5C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 GenAI-supported feedback</w:t>
            </w:r>
          </w:p>
        </w:tc>
        <w:tc>
          <w:tcPr>
            <w:tcW w:w="2412" w:type="dxa"/>
            <w:vAlign w:val="center"/>
          </w:tcPr>
          <w:p w14:paraId="164D835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1.96</w:t>
            </w:r>
          </w:p>
        </w:tc>
        <w:tc>
          <w:tcPr>
            <w:tcW w:w="2412" w:type="dxa"/>
            <w:vAlign w:val="center"/>
          </w:tcPr>
          <w:p w14:paraId="36B58DF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0.05</w:t>
            </w:r>
          </w:p>
        </w:tc>
        <w:tc>
          <w:tcPr>
            <w:tcW w:w="2412" w:type="dxa"/>
            <w:vAlign w:val="center"/>
          </w:tcPr>
          <w:p w14:paraId="6E13BD8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[1.86, 2.06]</w:t>
            </w:r>
          </w:p>
        </w:tc>
      </w:tr>
      <w:tr w:rsidR="00D41A11" w:rsidRPr="00D41A11" w14:paraId="30EFD3BF" w14:textId="77777777" w:rsidTr="009F5672">
        <w:trPr>
          <w:jc w:val="center"/>
        </w:trPr>
        <w:tc>
          <w:tcPr>
            <w:tcW w:w="2412" w:type="dxa"/>
            <w:vAlign w:val="center"/>
          </w:tcPr>
          <w:p w14:paraId="0A6EA98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GenAI-supported feedback</w:t>
            </w:r>
          </w:p>
        </w:tc>
        <w:tc>
          <w:tcPr>
            <w:tcW w:w="2412" w:type="dxa"/>
            <w:vAlign w:val="center"/>
          </w:tcPr>
          <w:p w14:paraId="526B4B4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2.23</w:t>
            </w:r>
          </w:p>
        </w:tc>
        <w:tc>
          <w:tcPr>
            <w:tcW w:w="2412" w:type="dxa"/>
            <w:vAlign w:val="center"/>
          </w:tcPr>
          <w:p w14:paraId="7934DB4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0.05</w:t>
            </w:r>
          </w:p>
        </w:tc>
        <w:tc>
          <w:tcPr>
            <w:tcW w:w="2412" w:type="dxa"/>
            <w:vAlign w:val="center"/>
          </w:tcPr>
          <w:p w14:paraId="7BCE35B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[2.13, 2.33]</w:t>
            </w:r>
          </w:p>
        </w:tc>
      </w:tr>
      <w:tr w:rsidR="00D41A11" w:rsidRPr="00D41A11" w14:paraId="38D8B3A4" w14:textId="77777777" w:rsidTr="009F5672">
        <w:trPr>
          <w:jc w:val="center"/>
        </w:trPr>
        <w:tc>
          <w:tcPr>
            <w:tcW w:w="2412" w:type="dxa"/>
            <w:vAlign w:val="center"/>
          </w:tcPr>
          <w:p w14:paraId="7B9B229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feedback</w:t>
            </w:r>
          </w:p>
        </w:tc>
        <w:tc>
          <w:tcPr>
            <w:tcW w:w="2412" w:type="dxa"/>
            <w:vAlign w:val="center"/>
          </w:tcPr>
          <w:p w14:paraId="098C1E9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2.31</w:t>
            </w:r>
          </w:p>
        </w:tc>
        <w:tc>
          <w:tcPr>
            <w:tcW w:w="2412" w:type="dxa"/>
            <w:vAlign w:val="center"/>
          </w:tcPr>
          <w:p w14:paraId="5F7EE91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0.05</w:t>
            </w:r>
          </w:p>
        </w:tc>
        <w:tc>
          <w:tcPr>
            <w:tcW w:w="2412" w:type="dxa"/>
            <w:vAlign w:val="center"/>
          </w:tcPr>
          <w:p w14:paraId="22BFF2F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[2.21, 2.41]</w:t>
            </w:r>
          </w:p>
        </w:tc>
      </w:tr>
    </w:tbl>
    <w:p w14:paraId="6C70601C"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Panel B. Pairwise contrasts</w:t>
      </w:r>
    </w:p>
    <w:tbl>
      <w:tblPr>
        <w:tblStyle w:val="TableGrid"/>
        <w:tblW w:w="0" w:type="auto"/>
        <w:jc w:val="center"/>
        <w:tblLook w:val="04A0" w:firstRow="1" w:lastRow="0" w:firstColumn="1" w:lastColumn="0" w:noHBand="0" w:noVBand="1"/>
      </w:tblPr>
      <w:tblGrid>
        <w:gridCol w:w="1930"/>
        <w:gridCol w:w="1930"/>
        <w:gridCol w:w="1930"/>
        <w:gridCol w:w="1930"/>
        <w:gridCol w:w="1930"/>
      </w:tblGrid>
      <w:tr w:rsidR="00D41A11" w:rsidRPr="00D41A11" w14:paraId="1CA5C435" w14:textId="77777777" w:rsidTr="009F5672">
        <w:trPr>
          <w:jc w:val="center"/>
        </w:trPr>
        <w:tc>
          <w:tcPr>
            <w:tcW w:w="1930" w:type="dxa"/>
            <w:vAlign w:val="center"/>
          </w:tcPr>
          <w:p w14:paraId="2E240197"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Contrast</w:t>
            </w:r>
          </w:p>
        </w:tc>
        <w:tc>
          <w:tcPr>
            <w:tcW w:w="1930" w:type="dxa"/>
            <w:vAlign w:val="center"/>
          </w:tcPr>
          <w:p w14:paraId="365DDB97"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b</w:t>
            </w:r>
          </w:p>
        </w:tc>
        <w:tc>
          <w:tcPr>
            <w:tcW w:w="1930" w:type="dxa"/>
            <w:vAlign w:val="center"/>
          </w:tcPr>
          <w:p w14:paraId="49BE129C"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SE</w:t>
            </w:r>
          </w:p>
        </w:tc>
        <w:tc>
          <w:tcPr>
            <w:tcW w:w="1930" w:type="dxa"/>
            <w:vAlign w:val="center"/>
          </w:tcPr>
          <w:p w14:paraId="1BDCD3F3"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p</w:t>
            </w:r>
          </w:p>
        </w:tc>
        <w:tc>
          <w:tcPr>
            <w:tcW w:w="1930" w:type="dxa"/>
            <w:vAlign w:val="center"/>
          </w:tcPr>
          <w:p w14:paraId="01BBCCA0"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95% CI for b</w:t>
            </w:r>
          </w:p>
        </w:tc>
      </w:tr>
      <w:tr w:rsidR="00D41A11" w:rsidRPr="00D41A11" w14:paraId="75DF1371" w14:textId="77777777" w:rsidTr="009F5672">
        <w:trPr>
          <w:jc w:val="center"/>
        </w:trPr>
        <w:tc>
          <w:tcPr>
            <w:tcW w:w="1930" w:type="dxa"/>
            <w:vAlign w:val="center"/>
          </w:tcPr>
          <w:p w14:paraId="1E64F3E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 GenAI – Peer</w:t>
            </w:r>
          </w:p>
        </w:tc>
        <w:tc>
          <w:tcPr>
            <w:tcW w:w="1930" w:type="dxa"/>
            <w:vAlign w:val="center"/>
          </w:tcPr>
          <w:p w14:paraId="21EED7A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0.24</w:t>
            </w:r>
          </w:p>
        </w:tc>
        <w:tc>
          <w:tcPr>
            <w:tcW w:w="1930" w:type="dxa"/>
            <w:vAlign w:val="center"/>
          </w:tcPr>
          <w:p w14:paraId="62D4654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093F454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.006</w:t>
            </w:r>
          </w:p>
        </w:tc>
        <w:tc>
          <w:tcPr>
            <w:tcW w:w="1930" w:type="dxa"/>
            <w:vAlign w:val="center"/>
          </w:tcPr>
          <w:p w14:paraId="5B520D8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 0.38]</w:t>
            </w:r>
          </w:p>
        </w:tc>
      </w:tr>
      <w:tr w:rsidR="00D41A11" w:rsidRPr="00D41A11" w14:paraId="7DFFF9CC" w14:textId="77777777" w:rsidTr="009F5672">
        <w:trPr>
          <w:jc w:val="center"/>
        </w:trPr>
        <w:tc>
          <w:tcPr>
            <w:tcW w:w="1930" w:type="dxa"/>
            <w:vAlign w:val="center"/>
          </w:tcPr>
          <w:p w14:paraId="09F9D6D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Peer</w:t>
            </w:r>
          </w:p>
        </w:tc>
        <w:tc>
          <w:tcPr>
            <w:tcW w:w="1930" w:type="dxa"/>
            <w:vAlign w:val="center"/>
          </w:tcPr>
          <w:p w14:paraId="50B44C5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0.51</w:t>
            </w:r>
          </w:p>
        </w:tc>
        <w:tc>
          <w:tcPr>
            <w:tcW w:w="1930" w:type="dxa"/>
            <w:vAlign w:val="center"/>
          </w:tcPr>
          <w:p w14:paraId="2FE0F1E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63AD1E6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930" w:type="dxa"/>
            <w:vAlign w:val="center"/>
          </w:tcPr>
          <w:p w14:paraId="03736BE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[0.37, 0.65]</w:t>
            </w:r>
          </w:p>
        </w:tc>
      </w:tr>
      <w:tr w:rsidR="00D41A11" w:rsidRPr="00D41A11" w14:paraId="58AD2007" w14:textId="77777777" w:rsidTr="009F5672">
        <w:trPr>
          <w:jc w:val="center"/>
        </w:trPr>
        <w:tc>
          <w:tcPr>
            <w:tcW w:w="1930" w:type="dxa"/>
            <w:vAlign w:val="center"/>
          </w:tcPr>
          <w:p w14:paraId="601F08B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Peer</w:t>
            </w:r>
          </w:p>
        </w:tc>
        <w:tc>
          <w:tcPr>
            <w:tcW w:w="1930" w:type="dxa"/>
            <w:vAlign w:val="center"/>
          </w:tcPr>
          <w:p w14:paraId="219EF76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0.59</w:t>
            </w:r>
          </w:p>
        </w:tc>
        <w:tc>
          <w:tcPr>
            <w:tcW w:w="1930" w:type="dxa"/>
            <w:vAlign w:val="center"/>
          </w:tcPr>
          <w:p w14:paraId="6A86F65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56A5A7C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930" w:type="dxa"/>
            <w:vAlign w:val="center"/>
          </w:tcPr>
          <w:p w14:paraId="2C23136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[0.45, 0.73]</w:t>
            </w:r>
          </w:p>
        </w:tc>
      </w:tr>
      <w:tr w:rsidR="00D41A11" w:rsidRPr="00D41A11" w14:paraId="69854CF4" w14:textId="77777777" w:rsidTr="009F5672">
        <w:trPr>
          <w:jc w:val="center"/>
        </w:trPr>
        <w:tc>
          <w:tcPr>
            <w:tcW w:w="1930" w:type="dxa"/>
            <w:vAlign w:val="center"/>
          </w:tcPr>
          <w:p w14:paraId="04B287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Direct GenAI</w:t>
            </w:r>
          </w:p>
        </w:tc>
        <w:tc>
          <w:tcPr>
            <w:tcW w:w="1930" w:type="dxa"/>
            <w:vAlign w:val="center"/>
          </w:tcPr>
          <w:p w14:paraId="5010CCD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0.27</w:t>
            </w:r>
          </w:p>
        </w:tc>
        <w:tc>
          <w:tcPr>
            <w:tcW w:w="1930" w:type="dxa"/>
            <w:vAlign w:val="center"/>
          </w:tcPr>
          <w:p w14:paraId="2F8E45B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00165F5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930" w:type="dxa"/>
            <w:vAlign w:val="center"/>
          </w:tcPr>
          <w:p w14:paraId="75556EB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[0.13, 0.41]</w:t>
            </w:r>
          </w:p>
        </w:tc>
      </w:tr>
      <w:tr w:rsidR="00D41A11" w:rsidRPr="00D41A11" w14:paraId="668B026B" w14:textId="77777777" w:rsidTr="009F5672">
        <w:trPr>
          <w:jc w:val="center"/>
        </w:trPr>
        <w:tc>
          <w:tcPr>
            <w:tcW w:w="1930" w:type="dxa"/>
            <w:vAlign w:val="center"/>
          </w:tcPr>
          <w:p w14:paraId="39E6187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930" w:type="dxa"/>
            <w:vAlign w:val="center"/>
          </w:tcPr>
          <w:p w14:paraId="4B454F5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0.35</w:t>
            </w:r>
          </w:p>
        </w:tc>
        <w:tc>
          <w:tcPr>
            <w:tcW w:w="1930" w:type="dxa"/>
            <w:vAlign w:val="center"/>
          </w:tcPr>
          <w:p w14:paraId="3D00B83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930" w:type="dxa"/>
            <w:vAlign w:val="center"/>
          </w:tcPr>
          <w:p w14:paraId="5FA7A4A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930" w:type="dxa"/>
            <w:vAlign w:val="center"/>
          </w:tcPr>
          <w:p w14:paraId="3D64FEA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[0.19, 0.51]</w:t>
            </w:r>
          </w:p>
        </w:tc>
      </w:tr>
      <w:tr w:rsidR="00D41A11" w:rsidRPr="00D41A11" w14:paraId="230B7046" w14:textId="77777777" w:rsidTr="009F5672">
        <w:trPr>
          <w:jc w:val="center"/>
        </w:trPr>
        <w:tc>
          <w:tcPr>
            <w:tcW w:w="1930" w:type="dxa"/>
            <w:vAlign w:val="center"/>
          </w:tcPr>
          <w:p w14:paraId="7DE8BF5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Reflective GenAI</w:t>
            </w:r>
          </w:p>
        </w:tc>
        <w:tc>
          <w:tcPr>
            <w:tcW w:w="1930" w:type="dxa"/>
            <w:vAlign w:val="center"/>
          </w:tcPr>
          <w:p w14:paraId="6500C80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930" w:type="dxa"/>
            <w:vAlign w:val="center"/>
          </w:tcPr>
          <w:p w14:paraId="6A070F4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930" w:type="dxa"/>
            <w:vAlign w:val="center"/>
          </w:tcPr>
          <w:p w14:paraId="2BE138D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.267</w:t>
            </w:r>
          </w:p>
        </w:tc>
        <w:tc>
          <w:tcPr>
            <w:tcW w:w="1930" w:type="dxa"/>
            <w:vAlign w:val="center"/>
          </w:tcPr>
          <w:p w14:paraId="7A4E25C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[-0.06, 0.22]</w:t>
            </w:r>
          </w:p>
        </w:tc>
      </w:tr>
    </w:tbl>
    <w:p w14:paraId="08DEFD62"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Panel C. Overall model summary</w:t>
      </w:r>
    </w:p>
    <w:tbl>
      <w:tblPr>
        <w:tblStyle w:val="TableGrid"/>
        <w:tblW w:w="0" w:type="auto"/>
        <w:jc w:val="center"/>
        <w:tblLook w:val="04A0" w:firstRow="1" w:lastRow="0" w:firstColumn="1" w:lastColumn="0" w:noHBand="0" w:noVBand="1"/>
      </w:tblPr>
      <w:tblGrid>
        <w:gridCol w:w="3216"/>
        <w:gridCol w:w="3216"/>
        <w:gridCol w:w="3216"/>
      </w:tblGrid>
      <w:tr w:rsidR="00D41A11" w:rsidRPr="00D41A11" w14:paraId="3289D432" w14:textId="77777777" w:rsidTr="009F5672">
        <w:trPr>
          <w:jc w:val="center"/>
        </w:trPr>
        <w:tc>
          <w:tcPr>
            <w:tcW w:w="3216" w:type="dxa"/>
            <w:vAlign w:val="center"/>
          </w:tcPr>
          <w:p w14:paraId="6DAB44CF"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lastRenderedPageBreak/>
              <w:t>Effect</w:t>
            </w:r>
          </w:p>
        </w:tc>
        <w:tc>
          <w:tcPr>
            <w:tcW w:w="3216" w:type="dxa"/>
            <w:vAlign w:val="center"/>
          </w:tcPr>
          <w:p w14:paraId="5E7B997B"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Test statistic</w:t>
            </w:r>
          </w:p>
        </w:tc>
        <w:tc>
          <w:tcPr>
            <w:tcW w:w="3216" w:type="dxa"/>
            <w:vAlign w:val="center"/>
          </w:tcPr>
          <w:p w14:paraId="46BBED42"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p</w:t>
            </w:r>
          </w:p>
        </w:tc>
      </w:tr>
      <w:tr w:rsidR="00D41A11" w:rsidRPr="00D41A11" w14:paraId="4AF31427" w14:textId="77777777">
        <w:trPr>
          <w:jc w:val="center"/>
        </w:trPr>
        <w:tc>
          <w:tcPr>
            <w:tcW w:w="3216" w:type="dxa"/>
            <w:vAlign w:val="center"/>
          </w:tcPr>
          <w:p w14:paraId="6C9E461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condition</w:t>
            </w:r>
          </w:p>
        </w:tc>
        <w:tc>
          <w:tcPr>
            <w:tcW w:w="3216" w:type="dxa"/>
            <w:vAlign w:val="center"/>
          </w:tcPr>
          <w:p w14:paraId="0EF509CD" w14:textId="77777777" w:rsidR="00A7350A" w:rsidRPr="00D41A11" w:rsidRDefault="00000000" w:rsidP="009F5672">
            <w:pPr>
              <w:spacing w:before="40" w:after="40"/>
              <w:rPr>
                <w:rFonts w:ascii="Times New Roman" w:hAnsi="Times New Roman" w:cs="Times New Roman"/>
                <w:sz w:val="24"/>
                <w:szCs w:val="24"/>
              </w:rPr>
            </w:pPr>
            <w:proofErr w:type="gramStart"/>
            <w:r w:rsidRPr="00D41A11">
              <w:rPr>
                <w:rFonts w:ascii="Times New Roman" w:hAnsi="Times New Roman" w:cs="Times New Roman"/>
                <w:sz w:val="24"/>
                <w:szCs w:val="24"/>
              </w:rPr>
              <w:t>F(</w:t>
            </w:r>
            <w:proofErr w:type="gramEnd"/>
            <w:r w:rsidRPr="00D41A11">
              <w:rPr>
                <w:rFonts w:ascii="Times New Roman" w:hAnsi="Times New Roman" w:cs="Times New Roman"/>
                <w:sz w:val="24"/>
                <w:szCs w:val="24"/>
              </w:rPr>
              <w:t>3, 43.1) = 14.62</w:t>
            </w:r>
          </w:p>
        </w:tc>
        <w:tc>
          <w:tcPr>
            <w:tcW w:w="3216" w:type="dxa"/>
            <w:vAlign w:val="center"/>
          </w:tcPr>
          <w:p w14:paraId="6985BEB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r>
    </w:tbl>
    <w:p w14:paraId="6A58FE8C"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Note. Revision depth was coded on a 3-point scale (1 = predominantly surface-level, 2 = mixed, 3 = predominantly substantive) and averaged across the three intervention cycles before modeling. Models were adjusted for prior knowledge, baseline scientific argumentation, prior achievement, feedback literacy, prior GenAI experience, gender, science domain, and institution fixed effects, with section included as a random intercept. Holm-adjusted p values are reported for pairwise contrasts. Higher scores indicate more substantive revision.</w:t>
      </w:r>
    </w:p>
    <w:p w14:paraId="732A2DA7"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Supplementary Table S3. Per-protocol sensitivity analyses</w:t>
      </w:r>
    </w:p>
    <w:tbl>
      <w:tblPr>
        <w:tblStyle w:val="TableGrid"/>
        <w:tblW w:w="0" w:type="auto"/>
        <w:jc w:val="center"/>
        <w:tblLook w:val="04A0" w:firstRow="1" w:lastRow="0" w:firstColumn="1" w:lastColumn="0" w:noHBand="0" w:noVBand="1"/>
      </w:tblPr>
      <w:tblGrid>
        <w:gridCol w:w="1376"/>
        <w:gridCol w:w="1374"/>
        <w:gridCol w:w="1372"/>
        <w:gridCol w:w="1361"/>
        <w:gridCol w:w="1364"/>
        <w:gridCol w:w="1361"/>
        <w:gridCol w:w="1656"/>
      </w:tblGrid>
      <w:tr w:rsidR="00D41A11" w:rsidRPr="00D41A11" w14:paraId="662B7200" w14:textId="77777777" w:rsidTr="009F5672">
        <w:trPr>
          <w:jc w:val="center"/>
        </w:trPr>
        <w:tc>
          <w:tcPr>
            <w:tcW w:w="1378" w:type="dxa"/>
            <w:vAlign w:val="center"/>
          </w:tcPr>
          <w:p w14:paraId="342655FB"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Outcome</w:t>
            </w:r>
          </w:p>
        </w:tc>
        <w:tc>
          <w:tcPr>
            <w:tcW w:w="1378" w:type="dxa"/>
            <w:vAlign w:val="center"/>
          </w:tcPr>
          <w:p w14:paraId="3DBD50D4"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Contrast</w:t>
            </w:r>
          </w:p>
        </w:tc>
        <w:tc>
          <w:tcPr>
            <w:tcW w:w="1378" w:type="dxa"/>
            <w:vAlign w:val="center"/>
          </w:tcPr>
          <w:p w14:paraId="22D2BC45"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Estimate (b)</w:t>
            </w:r>
          </w:p>
        </w:tc>
        <w:tc>
          <w:tcPr>
            <w:tcW w:w="1378" w:type="dxa"/>
            <w:vAlign w:val="center"/>
          </w:tcPr>
          <w:p w14:paraId="098D6216"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SE</w:t>
            </w:r>
          </w:p>
        </w:tc>
        <w:tc>
          <w:tcPr>
            <w:tcW w:w="1378" w:type="dxa"/>
            <w:vAlign w:val="center"/>
          </w:tcPr>
          <w:p w14:paraId="0FF89041"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95% CI</w:t>
            </w:r>
          </w:p>
        </w:tc>
        <w:tc>
          <w:tcPr>
            <w:tcW w:w="1378" w:type="dxa"/>
            <w:vAlign w:val="center"/>
          </w:tcPr>
          <w:p w14:paraId="4DC2D22C"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p</w:t>
            </w:r>
          </w:p>
        </w:tc>
        <w:tc>
          <w:tcPr>
            <w:tcW w:w="1378" w:type="dxa"/>
            <w:vAlign w:val="center"/>
          </w:tcPr>
          <w:p w14:paraId="4605C38A"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Per-protocol interpretation</w:t>
            </w:r>
          </w:p>
        </w:tc>
      </w:tr>
      <w:tr w:rsidR="00D41A11" w:rsidRPr="00D41A11" w14:paraId="227CE7E0" w14:textId="77777777">
        <w:trPr>
          <w:jc w:val="center"/>
        </w:trPr>
        <w:tc>
          <w:tcPr>
            <w:tcW w:w="1378" w:type="dxa"/>
            <w:vAlign w:val="center"/>
          </w:tcPr>
          <w:p w14:paraId="2BC1674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378" w:type="dxa"/>
            <w:vAlign w:val="center"/>
          </w:tcPr>
          <w:p w14:paraId="35A4039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Direct GenAI</w:t>
            </w:r>
          </w:p>
        </w:tc>
        <w:tc>
          <w:tcPr>
            <w:tcW w:w="1378" w:type="dxa"/>
            <w:vAlign w:val="center"/>
          </w:tcPr>
          <w:p w14:paraId="702B31F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0.64</w:t>
            </w:r>
          </w:p>
        </w:tc>
        <w:tc>
          <w:tcPr>
            <w:tcW w:w="1378" w:type="dxa"/>
            <w:vAlign w:val="center"/>
          </w:tcPr>
          <w:p w14:paraId="4428B6B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378" w:type="dxa"/>
            <w:vAlign w:val="center"/>
          </w:tcPr>
          <w:p w14:paraId="68F61FD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[0.31, 0.97]</w:t>
            </w:r>
          </w:p>
        </w:tc>
        <w:tc>
          <w:tcPr>
            <w:tcW w:w="1378" w:type="dxa"/>
            <w:vAlign w:val="center"/>
          </w:tcPr>
          <w:p w14:paraId="453025A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6321CB3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72D84C96" w14:textId="77777777">
        <w:trPr>
          <w:jc w:val="center"/>
        </w:trPr>
        <w:tc>
          <w:tcPr>
            <w:tcW w:w="1378" w:type="dxa"/>
            <w:vAlign w:val="center"/>
          </w:tcPr>
          <w:p w14:paraId="2CD8446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378" w:type="dxa"/>
            <w:vAlign w:val="center"/>
          </w:tcPr>
          <w:p w14:paraId="7FC42C6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23E9671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0.88</w:t>
            </w:r>
          </w:p>
        </w:tc>
        <w:tc>
          <w:tcPr>
            <w:tcW w:w="1378" w:type="dxa"/>
            <w:vAlign w:val="center"/>
          </w:tcPr>
          <w:p w14:paraId="4C24527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378" w:type="dxa"/>
            <w:vAlign w:val="center"/>
          </w:tcPr>
          <w:p w14:paraId="287D78A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[0.55, 1.21]</w:t>
            </w:r>
          </w:p>
        </w:tc>
        <w:tc>
          <w:tcPr>
            <w:tcW w:w="1378" w:type="dxa"/>
            <w:vAlign w:val="center"/>
          </w:tcPr>
          <w:p w14:paraId="708A60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0794CF1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390D93AB" w14:textId="77777777">
        <w:trPr>
          <w:jc w:val="center"/>
        </w:trPr>
        <w:tc>
          <w:tcPr>
            <w:tcW w:w="1378" w:type="dxa"/>
            <w:vAlign w:val="center"/>
          </w:tcPr>
          <w:p w14:paraId="6EFF040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378" w:type="dxa"/>
            <w:vAlign w:val="center"/>
          </w:tcPr>
          <w:p w14:paraId="484ABCB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Direct GenAI</w:t>
            </w:r>
          </w:p>
        </w:tc>
        <w:tc>
          <w:tcPr>
            <w:tcW w:w="1378" w:type="dxa"/>
            <w:vAlign w:val="center"/>
          </w:tcPr>
          <w:p w14:paraId="763589A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0.19</w:t>
            </w:r>
          </w:p>
        </w:tc>
        <w:tc>
          <w:tcPr>
            <w:tcW w:w="1378" w:type="dxa"/>
            <w:vAlign w:val="center"/>
          </w:tcPr>
          <w:p w14:paraId="7EEF6E3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378" w:type="dxa"/>
            <w:vAlign w:val="center"/>
          </w:tcPr>
          <w:p w14:paraId="4265039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 0.39]</w:t>
            </w:r>
          </w:p>
        </w:tc>
        <w:tc>
          <w:tcPr>
            <w:tcW w:w="1378" w:type="dxa"/>
            <w:vAlign w:val="center"/>
          </w:tcPr>
          <w:p w14:paraId="38475AD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.068</w:t>
            </w:r>
          </w:p>
        </w:tc>
        <w:tc>
          <w:tcPr>
            <w:tcW w:w="1378" w:type="dxa"/>
            <w:vAlign w:val="center"/>
          </w:tcPr>
          <w:p w14:paraId="24750A0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Remained marginal/non-significant</w:t>
            </w:r>
          </w:p>
        </w:tc>
      </w:tr>
      <w:tr w:rsidR="00D41A11" w:rsidRPr="00D41A11" w14:paraId="0A27825A" w14:textId="77777777">
        <w:trPr>
          <w:jc w:val="center"/>
        </w:trPr>
        <w:tc>
          <w:tcPr>
            <w:tcW w:w="1378" w:type="dxa"/>
            <w:vAlign w:val="center"/>
          </w:tcPr>
          <w:p w14:paraId="58E6CFA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378" w:type="dxa"/>
            <w:vAlign w:val="center"/>
          </w:tcPr>
          <w:p w14:paraId="29B90CE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3B313F4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0.24</w:t>
            </w:r>
          </w:p>
        </w:tc>
        <w:tc>
          <w:tcPr>
            <w:tcW w:w="1378" w:type="dxa"/>
            <w:vAlign w:val="center"/>
          </w:tcPr>
          <w:p w14:paraId="6B55719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378" w:type="dxa"/>
            <w:vAlign w:val="center"/>
          </w:tcPr>
          <w:p w14:paraId="47F29B4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[0.04, 0.44]</w:t>
            </w:r>
          </w:p>
        </w:tc>
        <w:tc>
          <w:tcPr>
            <w:tcW w:w="1378" w:type="dxa"/>
            <w:vAlign w:val="center"/>
          </w:tcPr>
          <w:p w14:paraId="413C815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378" w:type="dxa"/>
            <w:vAlign w:val="center"/>
          </w:tcPr>
          <w:p w14:paraId="493B7C9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14A448D6" w14:textId="77777777">
        <w:trPr>
          <w:jc w:val="center"/>
        </w:trPr>
        <w:tc>
          <w:tcPr>
            <w:tcW w:w="1378" w:type="dxa"/>
            <w:vAlign w:val="center"/>
          </w:tcPr>
          <w:p w14:paraId="28C073D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378" w:type="dxa"/>
            <w:vAlign w:val="center"/>
          </w:tcPr>
          <w:p w14:paraId="7A28BAF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Direct GenAI</w:t>
            </w:r>
          </w:p>
        </w:tc>
        <w:tc>
          <w:tcPr>
            <w:tcW w:w="1378" w:type="dxa"/>
            <w:vAlign w:val="center"/>
          </w:tcPr>
          <w:p w14:paraId="0799C15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1.12</w:t>
            </w:r>
          </w:p>
        </w:tc>
        <w:tc>
          <w:tcPr>
            <w:tcW w:w="1378" w:type="dxa"/>
            <w:vAlign w:val="center"/>
          </w:tcPr>
          <w:p w14:paraId="309A18C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0.27</w:t>
            </w:r>
          </w:p>
        </w:tc>
        <w:tc>
          <w:tcPr>
            <w:tcW w:w="1378" w:type="dxa"/>
            <w:vAlign w:val="center"/>
          </w:tcPr>
          <w:p w14:paraId="22B4F6F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[0.59, 1.65]</w:t>
            </w:r>
          </w:p>
        </w:tc>
        <w:tc>
          <w:tcPr>
            <w:tcW w:w="1378" w:type="dxa"/>
            <w:vAlign w:val="center"/>
          </w:tcPr>
          <w:p w14:paraId="13731A7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41CA9AE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7D2766CD" w14:textId="77777777">
        <w:trPr>
          <w:jc w:val="center"/>
        </w:trPr>
        <w:tc>
          <w:tcPr>
            <w:tcW w:w="1378" w:type="dxa"/>
            <w:vAlign w:val="center"/>
          </w:tcPr>
          <w:p w14:paraId="7D8AFBD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378" w:type="dxa"/>
            <w:vAlign w:val="center"/>
          </w:tcPr>
          <w:p w14:paraId="57EBD5C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0D75CE9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1.38</w:t>
            </w:r>
          </w:p>
        </w:tc>
        <w:tc>
          <w:tcPr>
            <w:tcW w:w="1378" w:type="dxa"/>
            <w:vAlign w:val="center"/>
          </w:tcPr>
          <w:p w14:paraId="7B83951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0.27</w:t>
            </w:r>
          </w:p>
        </w:tc>
        <w:tc>
          <w:tcPr>
            <w:tcW w:w="1378" w:type="dxa"/>
            <w:vAlign w:val="center"/>
          </w:tcPr>
          <w:p w14:paraId="01FBF84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[0.85, 1.91]</w:t>
            </w:r>
          </w:p>
        </w:tc>
        <w:tc>
          <w:tcPr>
            <w:tcW w:w="1378" w:type="dxa"/>
            <w:vAlign w:val="center"/>
          </w:tcPr>
          <w:p w14:paraId="3A6FF8E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74ABC81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02F185CD" w14:textId="77777777">
        <w:trPr>
          <w:jc w:val="center"/>
        </w:trPr>
        <w:tc>
          <w:tcPr>
            <w:tcW w:w="1378" w:type="dxa"/>
            <w:vAlign w:val="center"/>
          </w:tcPr>
          <w:p w14:paraId="6B9FC7D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378" w:type="dxa"/>
            <w:vAlign w:val="center"/>
          </w:tcPr>
          <w:p w14:paraId="6BC3AA8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GenAI – Direct GenAI</w:t>
            </w:r>
          </w:p>
        </w:tc>
        <w:tc>
          <w:tcPr>
            <w:tcW w:w="1378" w:type="dxa"/>
            <w:vAlign w:val="center"/>
          </w:tcPr>
          <w:p w14:paraId="4C71C1E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378" w:type="dxa"/>
            <w:vAlign w:val="center"/>
          </w:tcPr>
          <w:p w14:paraId="4328920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378" w:type="dxa"/>
            <w:vAlign w:val="center"/>
          </w:tcPr>
          <w:p w14:paraId="06782C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[0.11, 0.39]</w:t>
            </w:r>
          </w:p>
        </w:tc>
        <w:tc>
          <w:tcPr>
            <w:tcW w:w="1378" w:type="dxa"/>
            <w:vAlign w:val="center"/>
          </w:tcPr>
          <w:p w14:paraId="4B5BAF2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175A6C1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75BA057D" w14:textId="77777777">
        <w:trPr>
          <w:jc w:val="center"/>
        </w:trPr>
        <w:tc>
          <w:tcPr>
            <w:tcW w:w="1378" w:type="dxa"/>
            <w:vAlign w:val="center"/>
          </w:tcPr>
          <w:p w14:paraId="06A6BBF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378" w:type="dxa"/>
            <w:vAlign w:val="center"/>
          </w:tcPr>
          <w:p w14:paraId="458629A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46F8051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0.32</w:t>
            </w:r>
          </w:p>
        </w:tc>
        <w:tc>
          <w:tcPr>
            <w:tcW w:w="1378" w:type="dxa"/>
            <w:vAlign w:val="center"/>
          </w:tcPr>
          <w:p w14:paraId="33E7CDF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378" w:type="dxa"/>
            <w:vAlign w:val="center"/>
          </w:tcPr>
          <w:p w14:paraId="5ED6818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[0.18, 0.46]</w:t>
            </w:r>
          </w:p>
        </w:tc>
        <w:tc>
          <w:tcPr>
            <w:tcW w:w="1378" w:type="dxa"/>
            <w:vAlign w:val="center"/>
          </w:tcPr>
          <w:p w14:paraId="66342CB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7AA3B74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3F0FBB27" w14:textId="77777777">
        <w:trPr>
          <w:jc w:val="center"/>
        </w:trPr>
        <w:tc>
          <w:tcPr>
            <w:tcW w:w="1378" w:type="dxa"/>
            <w:vAlign w:val="center"/>
          </w:tcPr>
          <w:p w14:paraId="7C71745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 xml:space="preserve">Self-regulated learning </w:t>
            </w:r>
            <w:r w:rsidRPr="00D41A11">
              <w:rPr>
                <w:rFonts w:ascii="Times New Roman" w:hAnsi="Times New Roman" w:cs="Times New Roman"/>
                <w:sz w:val="24"/>
                <w:szCs w:val="24"/>
              </w:rPr>
              <w:lastRenderedPageBreak/>
              <w:t>during revision</w:t>
            </w:r>
          </w:p>
        </w:tc>
        <w:tc>
          <w:tcPr>
            <w:tcW w:w="1378" w:type="dxa"/>
            <w:vAlign w:val="center"/>
          </w:tcPr>
          <w:p w14:paraId="2788DEA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 xml:space="preserve">Reflective GenAI – Direct </w:t>
            </w:r>
            <w:r w:rsidRPr="00D41A11">
              <w:rPr>
                <w:rFonts w:ascii="Times New Roman" w:hAnsi="Times New Roman" w:cs="Times New Roman"/>
                <w:sz w:val="24"/>
                <w:szCs w:val="24"/>
              </w:rPr>
              <w:lastRenderedPageBreak/>
              <w:t>GenAI</w:t>
            </w:r>
          </w:p>
        </w:tc>
        <w:tc>
          <w:tcPr>
            <w:tcW w:w="1378" w:type="dxa"/>
            <w:vAlign w:val="center"/>
          </w:tcPr>
          <w:p w14:paraId="48D3B88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0.25</w:t>
            </w:r>
          </w:p>
        </w:tc>
        <w:tc>
          <w:tcPr>
            <w:tcW w:w="1378" w:type="dxa"/>
            <w:vAlign w:val="center"/>
          </w:tcPr>
          <w:p w14:paraId="7D5A6AB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378" w:type="dxa"/>
            <w:vAlign w:val="center"/>
          </w:tcPr>
          <w:p w14:paraId="10BD6C6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[0.09, 0.41]</w:t>
            </w:r>
          </w:p>
        </w:tc>
        <w:tc>
          <w:tcPr>
            <w:tcW w:w="1378" w:type="dxa"/>
            <w:vAlign w:val="center"/>
          </w:tcPr>
          <w:p w14:paraId="4DF4E85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47811BA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r w:rsidR="00D41A11" w:rsidRPr="00D41A11" w14:paraId="2CC53B07" w14:textId="77777777">
        <w:trPr>
          <w:jc w:val="center"/>
        </w:trPr>
        <w:tc>
          <w:tcPr>
            <w:tcW w:w="1378" w:type="dxa"/>
            <w:vAlign w:val="center"/>
          </w:tcPr>
          <w:p w14:paraId="598B91F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Self-regulated learning during revision</w:t>
            </w:r>
          </w:p>
        </w:tc>
        <w:tc>
          <w:tcPr>
            <w:tcW w:w="1378" w:type="dxa"/>
            <w:vAlign w:val="center"/>
          </w:tcPr>
          <w:p w14:paraId="5A6AD56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4F894D6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0.34</w:t>
            </w:r>
          </w:p>
        </w:tc>
        <w:tc>
          <w:tcPr>
            <w:tcW w:w="1378" w:type="dxa"/>
            <w:vAlign w:val="center"/>
          </w:tcPr>
          <w:p w14:paraId="616BF7E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378" w:type="dxa"/>
            <w:vAlign w:val="center"/>
          </w:tcPr>
          <w:p w14:paraId="0611762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[0.18, 0.50]</w:t>
            </w:r>
          </w:p>
        </w:tc>
        <w:tc>
          <w:tcPr>
            <w:tcW w:w="1378" w:type="dxa"/>
            <w:vAlign w:val="center"/>
          </w:tcPr>
          <w:p w14:paraId="66EEF3A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&lt; .001</w:t>
            </w:r>
          </w:p>
        </w:tc>
        <w:tc>
          <w:tcPr>
            <w:tcW w:w="1378" w:type="dxa"/>
            <w:vAlign w:val="center"/>
          </w:tcPr>
          <w:p w14:paraId="7806826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Direction and significance unchanged</w:t>
            </w:r>
          </w:p>
        </w:tc>
      </w:tr>
    </w:tbl>
    <w:p w14:paraId="25764965"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Note. Per-protocol analyses excluded students who completed fewer than two of the three intervention cycles (n = 1,102). Estimates are presented for the theory-driven focal contrasts relative to the direct GenAI-supported feedback condition. Across all outcomes, including the primary immediate outcome of four-dimension argument-quality gain, the substantive interpretation of the findings remained unchanged relative to the intention-to-treat analyses.</w:t>
      </w:r>
    </w:p>
    <w:p w14:paraId="45EA76F7"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Supplementary Table S4. Sensitivity analyses excluding low-fidelity sections</w:t>
      </w:r>
    </w:p>
    <w:tbl>
      <w:tblPr>
        <w:tblStyle w:val="TableGrid"/>
        <w:tblW w:w="0" w:type="auto"/>
        <w:jc w:val="center"/>
        <w:tblLook w:val="04A0" w:firstRow="1" w:lastRow="0" w:firstColumn="1" w:lastColumn="0" w:noHBand="0" w:noVBand="1"/>
      </w:tblPr>
      <w:tblGrid>
        <w:gridCol w:w="1372"/>
        <w:gridCol w:w="1363"/>
        <w:gridCol w:w="1351"/>
        <w:gridCol w:w="1359"/>
        <w:gridCol w:w="1366"/>
        <w:gridCol w:w="1370"/>
        <w:gridCol w:w="1683"/>
      </w:tblGrid>
      <w:tr w:rsidR="00D41A11" w:rsidRPr="00D41A11" w14:paraId="5F8F4C4B" w14:textId="77777777" w:rsidTr="009F5672">
        <w:trPr>
          <w:jc w:val="center"/>
        </w:trPr>
        <w:tc>
          <w:tcPr>
            <w:tcW w:w="1378" w:type="dxa"/>
            <w:vAlign w:val="center"/>
          </w:tcPr>
          <w:p w14:paraId="4EE2C250"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Outcome</w:t>
            </w:r>
          </w:p>
        </w:tc>
        <w:tc>
          <w:tcPr>
            <w:tcW w:w="1378" w:type="dxa"/>
            <w:vAlign w:val="center"/>
          </w:tcPr>
          <w:p w14:paraId="6C455612"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Contrast</w:t>
            </w:r>
          </w:p>
        </w:tc>
        <w:tc>
          <w:tcPr>
            <w:tcW w:w="1378" w:type="dxa"/>
            <w:vAlign w:val="center"/>
          </w:tcPr>
          <w:p w14:paraId="3B03D6AB"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ITT estimate (b)</w:t>
            </w:r>
          </w:p>
        </w:tc>
        <w:tc>
          <w:tcPr>
            <w:tcW w:w="1378" w:type="dxa"/>
            <w:vAlign w:val="center"/>
          </w:tcPr>
          <w:p w14:paraId="1D4F27C7"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Low-fidelity exclusion estimate (b)</w:t>
            </w:r>
          </w:p>
        </w:tc>
        <w:tc>
          <w:tcPr>
            <w:tcW w:w="1378" w:type="dxa"/>
            <w:vAlign w:val="center"/>
          </w:tcPr>
          <w:p w14:paraId="00B5C5FA"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Absolute difference</w:t>
            </w:r>
          </w:p>
        </w:tc>
        <w:tc>
          <w:tcPr>
            <w:tcW w:w="1378" w:type="dxa"/>
            <w:vAlign w:val="center"/>
          </w:tcPr>
          <w:p w14:paraId="5878C2A3"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Difference in SD units</w:t>
            </w:r>
          </w:p>
        </w:tc>
        <w:tc>
          <w:tcPr>
            <w:tcW w:w="1378" w:type="dxa"/>
            <w:vAlign w:val="center"/>
          </w:tcPr>
          <w:p w14:paraId="2BCFD79C" w14:textId="77777777" w:rsidR="00A7350A" w:rsidRPr="009F5672" w:rsidRDefault="00000000" w:rsidP="009F5672">
            <w:pPr>
              <w:spacing w:before="40" w:after="40"/>
              <w:jc w:val="center"/>
              <w:rPr>
                <w:rFonts w:ascii="Times New Roman" w:hAnsi="Times New Roman" w:cs="Times New Roman"/>
                <w:b/>
                <w:bCs/>
                <w:sz w:val="24"/>
                <w:szCs w:val="24"/>
              </w:rPr>
            </w:pPr>
            <w:r w:rsidRPr="009F5672">
              <w:rPr>
                <w:rFonts w:ascii="Times New Roman" w:hAnsi="Times New Roman" w:cs="Times New Roman"/>
                <w:b/>
                <w:bCs/>
                <w:sz w:val="24"/>
                <w:szCs w:val="24"/>
              </w:rPr>
              <w:t>Interpretation</w:t>
            </w:r>
          </w:p>
        </w:tc>
      </w:tr>
      <w:tr w:rsidR="00D41A11" w:rsidRPr="00D41A11" w14:paraId="5A3EAAAD" w14:textId="77777777">
        <w:trPr>
          <w:jc w:val="center"/>
        </w:trPr>
        <w:tc>
          <w:tcPr>
            <w:tcW w:w="1378" w:type="dxa"/>
            <w:vAlign w:val="center"/>
          </w:tcPr>
          <w:p w14:paraId="176EC42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378" w:type="dxa"/>
            <w:vAlign w:val="center"/>
          </w:tcPr>
          <w:p w14:paraId="0F68872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3816B63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0.90</w:t>
            </w:r>
          </w:p>
        </w:tc>
        <w:tc>
          <w:tcPr>
            <w:tcW w:w="1378" w:type="dxa"/>
            <w:vAlign w:val="center"/>
          </w:tcPr>
          <w:p w14:paraId="5A59594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0.87</w:t>
            </w:r>
          </w:p>
        </w:tc>
        <w:tc>
          <w:tcPr>
            <w:tcW w:w="1378" w:type="dxa"/>
            <w:vAlign w:val="center"/>
          </w:tcPr>
          <w:p w14:paraId="30C22DC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24637F0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378" w:type="dxa"/>
            <w:vAlign w:val="center"/>
          </w:tcPr>
          <w:p w14:paraId="180D889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44AC1884" w14:textId="77777777">
        <w:trPr>
          <w:jc w:val="center"/>
        </w:trPr>
        <w:tc>
          <w:tcPr>
            <w:tcW w:w="1378" w:type="dxa"/>
            <w:vAlign w:val="center"/>
          </w:tcPr>
          <w:p w14:paraId="31269F2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378" w:type="dxa"/>
            <w:vAlign w:val="center"/>
          </w:tcPr>
          <w:p w14:paraId="31B4F2D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378" w:type="dxa"/>
            <w:vAlign w:val="center"/>
          </w:tcPr>
          <w:p w14:paraId="05D3E64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0.66</w:t>
            </w:r>
          </w:p>
        </w:tc>
        <w:tc>
          <w:tcPr>
            <w:tcW w:w="1378" w:type="dxa"/>
            <w:vAlign w:val="center"/>
          </w:tcPr>
          <w:p w14:paraId="2D3563D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0.64</w:t>
            </w:r>
          </w:p>
        </w:tc>
        <w:tc>
          <w:tcPr>
            <w:tcW w:w="1378" w:type="dxa"/>
            <w:vAlign w:val="center"/>
          </w:tcPr>
          <w:p w14:paraId="7445191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378" w:type="dxa"/>
            <w:vAlign w:val="center"/>
          </w:tcPr>
          <w:p w14:paraId="19E027E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w:t>
            </w:r>
          </w:p>
        </w:tc>
        <w:tc>
          <w:tcPr>
            <w:tcW w:w="1378" w:type="dxa"/>
            <w:vAlign w:val="center"/>
          </w:tcPr>
          <w:p w14:paraId="47668FE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0CE43D9A" w14:textId="77777777">
        <w:trPr>
          <w:jc w:val="center"/>
        </w:trPr>
        <w:tc>
          <w:tcPr>
            <w:tcW w:w="1378" w:type="dxa"/>
            <w:vAlign w:val="center"/>
          </w:tcPr>
          <w:p w14:paraId="19355A3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378" w:type="dxa"/>
            <w:vAlign w:val="center"/>
          </w:tcPr>
          <w:p w14:paraId="2ED3D1A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0F1E679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378" w:type="dxa"/>
            <w:vAlign w:val="center"/>
          </w:tcPr>
          <w:p w14:paraId="1C7975C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0.22</w:t>
            </w:r>
          </w:p>
        </w:tc>
        <w:tc>
          <w:tcPr>
            <w:tcW w:w="1378" w:type="dxa"/>
            <w:vAlign w:val="center"/>
          </w:tcPr>
          <w:p w14:paraId="7AA856A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2710BB6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47F13DF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17713909" w14:textId="77777777">
        <w:trPr>
          <w:jc w:val="center"/>
        </w:trPr>
        <w:tc>
          <w:tcPr>
            <w:tcW w:w="1378" w:type="dxa"/>
            <w:vAlign w:val="center"/>
          </w:tcPr>
          <w:p w14:paraId="2B1BE7E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378" w:type="dxa"/>
            <w:vAlign w:val="center"/>
          </w:tcPr>
          <w:p w14:paraId="689B7FA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378" w:type="dxa"/>
            <w:vAlign w:val="center"/>
          </w:tcPr>
          <w:p w14:paraId="307CE62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0.18</w:t>
            </w:r>
          </w:p>
        </w:tc>
        <w:tc>
          <w:tcPr>
            <w:tcW w:w="1378" w:type="dxa"/>
            <w:vAlign w:val="center"/>
          </w:tcPr>
          <w:p w14:paraId="4295969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0.16</w:t>
            </w:r>
          </w:p>
        </w:tc>
        <w:tc>
          <w:tcPr>
            <w:tcW w:w="1378" w:type="dxa"/>
            <w:vAlign w:val="center"/>
          </w:tcPr>
          <w:p w14:paraId="7FBF22C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378" w:type="dxa"/>
            <w:vAlign w:val="center"/>
          </w:tcPr>
          <w:p w14:paraId="62A70DA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378" w:type="dxa"/>
            <w:vAlign w:val="center"/>
          </w:tcPr>
          <w:p w14:paraId="3DC3B12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692BDF62" w14:textId="77777777">
        <w:trPr>
          <w:jc w:val="center"/>
        </w:trPr>
        <w:tc>
          <w:tcPr>
            <w:tcW w:w="1378" w:type="dxa"/>
            <w:vAlign w:val="center"/>
          </w:tcPr>
          <w:p w14:paraId="6DA5C36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378" w:type="dxa"/>
            <w:vAlign w:val="center"/>
          </w:tcPr>
          <w:p w14:paraId="0B45CB3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0F91C87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1.42</w:t>
            </w:r>
          </w:p>
        </w:tc>
        <w:tc>
          <w:tcPr>
            <w:tcW w:w="1378" w:type="dxa"/>
            <w:vAlign w:val="center"/>
          </w:tcPr>
          <w:p w14:paraId="66C320C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1.38</w:t>
            </w:r>
          </w:p>
        </w:tc>
        <w:tc>
          <w:tcPr>
            <w:tcW w:w="1378" w:type="dxa"/>
            <w:vAlign w:val="center"/>
          </w:tcPr>
          <w:p w14:paraId="66CDD6B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0.04</w:t>
            </w:r>
          </w:p>
        </w:tc>
        <w:tc>
          <w:tcPr>
            <w:tcW w:w="1378" w:type="dxa"/>
            <w:vAlign w:val="center"/>
          </w:tcPr>
          <w:p w14:paraId="01B456C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0.04</w:t>
            </w:r>
          </w:p>
        </w:tc>
        <w:tc>
          <w:tcPr>
            <w:tcW w:w="1378" w:type="dxa"/>
            <w:vAlign w:val="center"/>
          </w:tcPr>
          <w:p w14:paraId="7E71A74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26B76B9B" w14:textId="77777777">
        <w:trPr>
          <w:jc w:val="center"/>
        </w:trPr>
        <w:tc>
          <w:tcPr>
            <w:tcW w:w="1378" w:type="dxa"/>
            <w:vAlign w:val="center"/>
          </w:tcPr>
          <w:p w14:paraId="53259C2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378" w:type="dxa"/>
            <w:vAlign w:val="center"/>
          </w:tcPr>
          <w:p w14:paraId="64E5419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378" w:type="dxa"/>
            <w:vAlign w:val="center"/>
          </w:tcPr>
          <w:p w14:paraId="4A111BA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1.15</w:t>
            </w:r>
          </w:p>
        </w:tc>
        <w:tc>
          <w:tcPr>
            <w:tcW w:w="1378" w:type="dxa"/>
            <w:vAlign w:val="center"/>
          </w:tcPr>
          <w:p w14:paraId="0D5E0C6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1.12</w:t>
            </w:r>
          </w:p>
        </w:tc>
        <w:tc>
          <w:tcPr>
            <w:tcW w:w="1378" w:type="dxa"/>
            <w:vAlign w:val="center"/>
          </w:tcPr>
          <w:p w14:paraId="6C0E197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73F2D7F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46542FB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321077F2" w14:textId="77777777">
        <w:trPr>
          <w:jc w:val="center"/>
        </w:trPr>
        <w:tc>
          <w:tcPr>
            <w:tcW w:w="1378" w:type="dxa"/>
            <w:vAlign w:val="center"/>
          </w:tcPr>
          <w:p w14:paraId="65A7D0E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378" w:type="dxa"/>
            <w:vAlign w:val="center"/>
          </w:tcPr>
          <w:p w14:paraId="7206259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378" w:type="dxa"/>
            <w:vAlign w:val="center"/>
          </w:tcPr>
          <w:p w14:paraId="70DC7BA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0.33</w:t>
            </w:r>
          </w:p>
        </w:tc>
        <w:tc>
          <w:tcPr>
            <w:tcW w:w="1378" w:type="dxa"/>
            <w:vAlign w:val="center"/>
          </w:tcPr>
          <w:p w14:paraId="55817EA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0.30</w:t>
            </w:r>
          </w:p>
        </w:tc>
        <w:tc>
          <w:tcPr>
            <w:tcW w:w="1378" w:type="dxa"/>
            <w:vAlign w:val="center"/>
          </w:tcPr>
          <w:p w14:paraId="63E5A32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7BB166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5FC20A4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r w:rsidR="00D41A11" w:rsidRPr="00D41A11" w14:paraId="79776605" w14:textId="77777777">
        <w:trPr>
          <w:jc w:val="center"/>
        </w:trPr>
        <w:tc>
          <w:tcPr>
            <w:tcW w:w="1378" w:type="dxa"/>
            <w:vAlign w:val="center"/>
          </w:tcPr>
          <w:p w14:paraId="3CD63CF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 xml:space="preserve">Self-regulated learning </w:t>
            </w:r>
            <w:r w:rsidRPr="00D41A11">
              <w:rPr>
                <w:rFonts w:ascii="Times New Roman" w:hAnsi="Times New Roman" w:cs="Times New Roman"/>
                <w:sz w:val="24"/>
                <w:szCs w:val="24"/>
              </w:rPr>
              <w:lastRenderedPageBreak/>
              <w:t>during revision</w:t>
            </w:r>
          </w:p>
        </w:tc>
        <w:tc>
          <w:tcPr>
            <w:tcW w:w="1378" w:type="dxa"/>
            <w:vAlign w:val="center"/>
          </w:tcPr>
          <w:p w14:paraId="01ED45C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 xml:space="preserve">Hybrid – Direct </w:t>
            </w:r>
            <w:r w:rsidRPr="00D41A11">
              <w:rPr>
                <w:rFonts w:ascii="Times New Roman" w:hAnsi="Times New Roman" w:cs="Times New Roman"/>
                <w:sz w:val="24"/>
                <w:szCs w:val="24"/>
              </w:rPr>
              <w:lastRenderedPageBreak/>
              <w:t>GenAI</w:t>
            </w:r>
          </w:p>
        </w:tc>
        <w:tc>
          <w:tcPr>
            <w:tcW w:w="1378" w:type="dxa"/>
            <w:vAlign w:val="center"/>
          </w:tcPr>
          <w:p w14:paraId="069A43F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0.35</w:t>
            </w:r>
          </w:p>
        </w:tc>
        <w:tc>
          <w:tcPr>
            <w:tcW w:w="1378" w:type="dxa"/>
            <w:vAlign w:val="center"/>
          </w:tcPr>
          <w:p w14:paraId="672E842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0.32</w:t>
            </w:r>
          </w:p>
        </w:tc>
        <w:tc>
          <w:tcPr>
            <w:tcW w:w="1378" w:type="dxa"/>
            <w:vAlign w:val="center"/>
          </w:tcPr>
          <w:p w14:paraId="7E90645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046701A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378" w:type="dxa"/>
            <w:vAlign w:val="center"/>
          </w:tcPr>
          <w:p w14:paraId="7EB8252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Difference below 0.04 SD</w:t>
            </w:r>
          </w:p>
        </w:tc>
      </w:tr>
    </w:tbl>
    <w:p w14:paraId="7491C806"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Note. Sensitivity models excluded the three sections with the lowest fidelity scores, resulting in an analytic sample of 1,101 students across 45 sections. Absolute differences between the intention-to-treat and exclusion models were all smaller than 0.04 standardized units, including those for the primary immediate outcome of four-dimension argument-quality gain, consistent with the robustness statement in the main manuscript.</w:t>
      </w:r>
    </w:p>
    <w:p w14:paraId="17B371E9" w14:textId="77777777" w:rsidR="00A7350A" w:rsidRPr="00D41A11" w:rsidRDefault="00000000" w:rsidP="009F5672">
      <w:pPr>
        <w:pStyle w:val="Heading2"/>
        <w:rPr>
          <w:rFonts w:ascii="Times New Roman" w:hAnsi="Times New Roman" w:cs="Times New Roman"/>
          <w:color w:val="auto"/>
          <w:szCs w:val="24"/>
        </w:rPr>
      </w:pPr>
      <w:r w:rsidRPr="00D41A11">
        <w:rPr>
          <w:rFonts w:ascii="Times New Roman" w:hAnsi="Times New Roman" w:cs="Times New Roman"/>
          <w:color w:val="auto"/>
          <w:szCs w:val="24"/>
        </w:rPr>
        <w:t>Supplementary Table S5. Alternative missing-data specification analyses</w:t>
      </w:r>
    </w:p>
    <w:tbl>
      <w:tblPr>
        <w:tblStyle w:val="TableGrid"/>
        <w:tblW w:w="0" w:type="auto"/>
        <w:jc w:val="center"/>
        <w:tblLook w:val="04A0" w:firstRow="1" w:lastRow="0" w:firstColumn="1" w:lastColumn="0" w:noHBand="0" w:noVBand="1"/>
      </w:tblPr>
      <w:tblGrid>
        <w:gridCol w:w="1310"/>
        <w:gridCol w:w="1206"/>
        <w:gridCol w:w="1178"/>
        <w:gridCol w:w="1122"/>
        <w:gridCol w:w="1178"/>
        <w:gridCol w:w="1144"/>
        <w:gridCol w:w="1203"/>
        <w:gridCol w:w="1523"/>
      </w:tblGrid>
      <w:tr w:rsidR="00D41A11" w:rsidRPr="00D41A11" w14:paraId="3D906E51" w14:textId="77777777" w:rsidTr="009F5672">
        <w:trPr>
          <w:jc w:val="center"/>
        </w:trPr>
        <w:tc>
          <w:tcPr>
            <w:tcW w:w="1206" w:type="dxa"/>
            <w:vAlign w:val="center"/>
          </w:tcPr>
          <w:p w14:paraId="5A25C87E"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Outcome</w:t>
            </w:r>
          </w:p>
        </w:tc>
        <w:tc>
          <w:tcPr>
            <w:tcW w:w="1206" w:type="dxa"/>
            <w:vAlign w:val="center"/>
          </w:tcPr>
          <w:p w14:paraId="7689633C"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Contrast</w:t>
            </w:r>
          </w:p>
        </w:tc>
        <w:tc>
          <w:tcPr>
            <w:tcW w:w="1206" w:type="dxa"/>
            <w:vAlign w:val="center"/>
          </w:tcPr>
          <w:p w14:paraId="0FB0F05B"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MI estimate (b)</w:t>
            </w:r>
          </w:p>
        </w:tc>
        <w:tc>
          <w:tcPr>
            <w:tcW w:w="1206" w:type="dxa"/>
            <w:vAlign w:val="center"/>
          </w:tcPr>
          <w:p w14:paraId="12019AC5"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MI SE</w:t>
            </w:r>
          </w:p>
        </w:tc>
        <w:tc>
          <w:tcPr>
            <w:tcW w:w="1206" w:type="dxa"/>
            <w:vAlign w:val="center"/>
          </w:tcPr>
          <w:p w14:paraId="629B2486"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FIML estimate (b)</w:t>
            </w:r>
          </w:p>
        </w:tc>
        <w:tc>
          <w:tcPr>
            <w:tcW w:w="1206" w:type="dxa"/>
            <w:vAlign w:val="center"/>
          </w:tcPr>
          <w:p w14:paraId="74D501EB"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FIML SE</w:t>
            </w:r>
          </w:p>
        </w:tc>
        <w:tc>
          <w:tcPr>
            <w:tcW w:w="1206" w:type="dxa"/>
            <w:vAlign w:val="center"/>
          </w:tcPr>
          <w:p w14:paraId="2AB77B06"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Absolute difference</w:t>
            </w:r>
          </w:p>
        </w:tc>
        <w:tc>
          <w:tcPr>
            <w:tcW w:w="1206" w:type="dxa"/>
            <w:vAlign w:val="center"/>
          </w:tcPr>
          <w:p w14:paraId="5BF76953" w14:textId="77777777" w:rsidR="00A7350A" w:rsidRPr="00D41A11" w:rsidRDefault="00000000" w:rsidP="009F5672">
            <w:pPr>
              <w:spacing w:before="40" w:after="40"/>
              <w:jc w:val="center"/>
              <w:rPr>
                <w:rFonts w:ascii="Times New Roman" w:hAnsi="Times New Roman" w:cs="Times New Roman"/>
                <w:sz w:val="24"/>
                <w:szCs w:val="24"/>
              </w:rPr>
            </w:pPr>
            <w:r w:rsidRPr="00D41A11">
              <w:rPr>
                <w:rFonts w:ascii="Times New Roman" w:hAnsi="Times New Roman" w:cs="Times New Roman"/>
                <w:sz w:val="24"/>
                <w:szCs w:val="24"/>
              </w:rPr>
              <w:t>Interpretation</w:t>
            </w:r>
          </w:p>
        </w:tc>
      </w:tr>
      <w:tr w:rsidR="00D41A11" w:rsidRPr="00D41A11" w14:paraId="518776A0" w14:textId="77777777">
        <w:trPr>
          <w:jc w:val="center"/>
        </w:trPr>
        <w:tc>
          <w:tcPr>
            <w:tcW w:w="1206" w:type="dxa"/>
            <w:vAlign w:val="center"/>
          </w:tcPr>
          <w:p w14:paraId="68E4F91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206" w:type="dxa"/>
            <w:vAlign w:val="center"/>
          </w:tcPr>
          <w:p w14:paraId="33357F4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206" w:type="dxa"/>
            <w:vAlign w:val="center"/>
          </w:tcPr>
          <w:p w14:paraId="266104B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0.66</w:t>
            </w:r>
          </w:p>
        </w:tc>
        <w:tc>
          <w:tcPr>
            <w:tcW w:w="1206" w:type="dxa"/>
            <w:vAlign w:val="center"/>
          </w:tcPr>
          <w:p w14:paraId="72FF8BB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206" w:type="dxa"/>
            <w:vAlign w:val="center"/>
          </w:tcPr>
          <w:p w14:paraId="50A0E3F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0.64</w:t>
            </w:r>
          </w:p>
        </w:tc>
        <w:tc>
          <w:tcPr>
            <w:tcW w:w="1206" w:type="dxa"/>
            <w:vAlign w:val="center"/>
          </w:tcPr>
          <w:p w14:paraId="47577DB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206" w:type="dxa"/>
            <w:vAlign w:val="center"/>
          </w:tcPr>
          <w:p w14:paraId="027F75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206" w:type="dxa"/>
            <w:vAlign w:val="center"/>
          </w:tcPr>
          <w:p w14:paraId="6ED737E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73BB8E48" w14:textId="77777777">
        <w:trPr>
          <w:jc w:val="center"/>
        </w:trPr>
        <w:tc>
          <w:tcPr>
            <w:tcW w:w="1206" w:type="dxa"/>
            <w:vAlign w:val="center"/>
          </w:tcPr>
          <w:p w14:paraId="54DEB86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Four-dimension argument-quality gain</w:t>
            </w:r>
          </w:p>
        </w:tc>
        <w:tc>
          <w:tcPr>
            <w:tcW w:w="1206" w:type="dxa"/>
            <w:vAlign w:val="center"/>
          </w:tcPr>
          <w:p w14:paraId="7F55574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206" w:type="dxa"/>
            <w:vAlign w:val="center"/>
          </w:tcPr>
          <w:p w14:paraId="0802356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0.90</w:t>
            </w:r>
          </w:p>
        </w:tc>
        <w:tc>
          <w:tcPr>
            <w:tcW w:w="1206" w:type="dxa"/>
            <w:vAlign w:val="center"/>
          </w:tcPr>
          <w:p w14:paraId="57C79EF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206" w:type="dxa"/>
            <w:vAlign w:val="center"/>
          </w:tcPr>
          <w:p w14:paraId="202933F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0.88</w:t>
            </w:r>
          </w:p>
        </w:tc>
        <w:tc>
          <w:tcPr>
            <w:tcW w:w="1206" w:type="dxa"/>
            <w:vAlign w:val="center"/>
          </w:tcPr>
          <w:p w14:paraId="67BAFE8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206" w:type="dxa"/>
            <w:vAlign w:val="center"/>
          </w:tcPr>
          <w:p w14:paraId="0BC2F6D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206" w:type="dxa"/>
            <w:vAlign w:val="center"/>
          </w:tcPr>
          <w:p w14:paraId="5184EE6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3BEB8ABE" w14:textId="77777777">
        <w:trPr>
          <w:jc w:val="center"/>
        </w:trPr>
        <w:tc>
          <w:tcPr>
            <w:tcW w:w="1206" w:type="dxa"/>
            <w:vAlign w:val="center"/>
          </w:tcPr>
          <w:p w14:paraId="7D4E535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206" w:type="dxa"/>
            <w:vAlign w:val="center"/>
          </w:tcPr>
          <w:p w14:paraId="40DF51A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206" w:type="dxa"/>
            <w:vAlign w:val="center"/>
          </w:tcPr>
          <w:p w14:paraId="524D08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0.18</w:t>
            </w:r>
          </w:p>
        </w:tc>
        <w:tc>
          <w:tcPr>
            <w:tcW w:w="1206" w:type="dxa"/>
            <w:vAlign w:val="center"/>
          </w:tcPr>
          <w:p w14:paraId="703BC3E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206" w:type="dxa"/>
            <w:vAlign w:val="center"/>
          </w:tcPr>
          <w:p w14:paraId="3FD655B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0.17</w:t>
            </w:r>
          </w:p>
        </w:tc>
        <w:tc>
          <w:tcPr>
            <w:tcW w:w="1206" w:type="dxa"/>
            <w:vAlign w:val="center"/>
          </w:tcPr>
          <w:p w14:paraId="1CA2681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206" w:type="dxa"/>
            <w:vAlign w:val="center"/>
          </w:tcPr>
          <w:p w14:paraId="1D80908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w:t>
            </w:r>
          </w:p>
        </w:tc>
        <w:tc>
          <w:tcPr>
            <w:tcW w:w="1206" w:type="dxa"/>
            <w:vAlign w:val="center"/>
          </w:tcPr>
          <w:p w14:paraId="68345D4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7FFBC561" w14:textId="77777777">
        <w:trPr>
          <w:jc w:val="center"/>
        </w:trPr>
        <w:tc>
          <w:tcPr>
            <w:tcW w:w="1206" w:type="dxa"/>
            <w:vAlign w:val="center"/>
          </w:tcPr>
          <w:p w14:paraId="563670F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Conceptual learning</w:t>
            </w:r>
          </w:p>
        </w:tc>
        <w:tc>
          <w:tcPr>
            <w:tcW w:w="1206" w:type="dxa"/>
            <w:vAlign w:val="center"/>
          </w:tcPr>
          <w:p w14:paraId="01989AB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206" w:type="dxa"/>
            <w:vAlign w:val="center"/>
          </w:tcPr>
          <w:p w14:paraId="5672F5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206" w:type="dxa"/>
            <w:vAlign w:val="center"/>
          </w:tcPr>
          <w:p w14:paraId="1330E160"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206" w:type="dxa"/>
            <w:vAlign w:val="center"/>
          </w:tcPr>
          <w:p w14:paraId="5542EE6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0.24</w:t>
            </w:r>
          </w:p>
        </w:tc>
        <w:tc>
          <w:tcPr>
            <w:tcW w:w="1206" w:type="dxa"/>
            <w:vAlign w:val="center"/>
          </w:tcPr>
          <w:p w14:paraId="03C0A6A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0.10</w:t>
            </w:r>
          </w:p>
        </w:tc>
        <w:tc>
          <w:tcPr>
            <w:tcW w:w="1206" w:type="dxa"/>
            <w:vAlign w:val="center"/>
          </w:tcPr>
          <w:p w14:paraId="10C7431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w:t>
            </w:r>
          </w:p>
        </w:tc>
        <w:tc>
          <w:tcPr>
            <w:tcW w:w="1206" w:type="dxa"/>
            <w:vAlign w:val="center"/>
          </w:tcPr>
          <w:p w14:paraId="4764C58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15C1AD42" w14:textId="77777777">
        <w:trPr>
          <w:jc w:val="center"/>
        </w:trPr>
        <w:tc>
          <w:tcPr>
            <w:tcW w:w="1206" w:type="dxa"/>
            <w:vAlign w:val="center"/>
          </w:tcPr>
          <w:p w14:paraId="78D0108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206" w:type="dxa"/>
            <w:vAlign w:val="center"/>
          </w:tcPr>
          <w:p w14:paraId="6117C3D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206" w:type="dxa"/>
            <w:vAlign w:val="center"/>
          </w:tcPr>
          <w:p w14:paraId="67C202F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1.15</w:t>
            </w:r>
          </w:p>
        </w:tc>
        <w:tc>
          <w:tcPr>
            <w:tcW w:w="1206" w:type="dxa"/>
            <w:vAlign w:val="center"/>
          </w:tcPr>
          <w:p w14:paraId="18F8F6C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0.26</w:t>
            </w:r>
          </w:p>
        </w:tc>
        <w:tc>
          <w:tcPr>
            <w:tcW w:w="1206" w:type="dxa"/>
            <w:vAlign w:val="center"/>
          </w:tcPr>
          <w:p w14:paraId="2221095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1.12</w:t>
            </w:r>
          </w:p>
        </w:tc>
        <w:tc>
          <w:tcPr>
            <w:tcW w:w="1206" w:type="dxa"/>
            <w:vAlign w:val="center"/>
          </w:tcPr>
          <w:p w14:paraId="6870138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0.26</w:t>
            </w:r>
          </w:p>
        </w:tc>
        <w:tc>
          <w:tcPr>
            <w:tcW w:w="1206" w:type="dxa"/>
            <w:vAlign w:val="center"/>
          </w:tcPr>
          <w:p w14:paraId="2EAA732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206" w:type="dxa"/>
            <w:vAlign w:val="center"/>
          </w:tcPr>
          <w:p w14:paraId="5C1110E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7DD02388" w14:textId="77777777">
        <w:trPr>
          <w:jc w:val="center"/>
        </w:trPr>
        <w:tc>
          <w:tcPr>
            <w:tcW w:w="1206" w:type="dxa"/>
            <w:vAlign w:val="center"/>
          </w:tcPr>
          <w:p w14:paraId="422079D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Delayed AI-free transfer</w:t>
            </w:r>
          </w:p>
        </w:tc>
        <w:tc>
          <w:tcPr>
            <w:tcW w:w="1206" w:type="dxa"/>
            <w:vAlign w:val="center"/>
          </w:tcPr>
          <w:p w14:paraId="72EE33A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206" w:type="dxa"/>
            <w:vAlign w:val="center"/>
          </w:tcPr>
          <w:p w14:paraId="3740304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1.42</w:t>
            </w:r>
          </w:p>
        </w:tc>
        <w:tc>
          <w:tcPr>
            <w:tcW w:w="1206" w:type="dxa"/>
            <w:vAlign w:val="center"/>
          </w:tcPr>
          <w:p w14:paraId="3489375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0.27</w:t>
            </w:r>
          </w:p>
        </w:tc>
        <w:tc>
          <w:tcPr>
            <w:tcW w:w="1206" w:type="dxa"/>
            <w:vAlign w:val="center"/>
          </w:tcPr>
          <w:p w14:paraId="0F1DB245"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1.39</w:t>
            </w:r>
          </w:p>
        </w:tc>
        <w:tc>
          <w:tcPr>
            <w:tcW w:w="1206" w:type="dxa"/>
            <w:vAlign w:val="center"/>
          </w:tcPr>
          <w:p w14:paraId="014CBF7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0.27</w:t>
            </w:r>
          </w:p>
        </w:tc>
        <w:tc>
          <w:tcPr>
            <w:tcW w:w="1206" w:type="dxa"/>
            <w:vAlign w:val="center"/>
          </w:tcPr>
          <w:p w14:paraId="785AB74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0.03</w:t>
            </w:r>
          </w:p>
        </w:tc>
        <w:tc>
          <w:tcPr>
            <w:tcW w:w="1206" w:type="dxa"/>
            <w:vAlign w:val="center"/>
          </w:tcPr>
          <w:p w14:paraId="4B36510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5D20426F" w14:textId="77777777">
        <w:trPr>
          <w:jc w:val="center"/>
        </w:trPr>
        <w:tc>
          <w:tcPr>
            <w:tcW w:w="1206" w:type="dxa"/>
            <w:vAlign w:val="center"/>
          </w:tcPr>
          <w:p w14:paraId="34F0010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206" w:type="dxa"/>
            <w:vAlign w:val="center"/>
          </w:tcPr>
          <w:p w14:paraId="7663731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Reflective – Direct GenAI</w:t>
            </w:r>
          </w:p>
        </w:tc>
        <w:tc>
          <w:tcPr>
            <w:tcW w:w="1206" w:type="dxa"/>
            <w:vAlign w:val="center"/>
          </w:tcPr>
          <w:p w14:paraId="6042BFC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0.26</w:t>
            </w:r>
          </w:p>
        </w:tc>
        <w:tc>
          <w:tcPr>
            <w:tcW w:w="1206" w:type="dxa"/>
            <w:vAlign w:val="center"/>
          </w:tcPr>
          <w:p w14:paraId="7BC4E6E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206" w:type="dxa"/>
            <w:vAlign w:val="center"/>
          </w:tcPr>
          <w:p w14:paraId="4BDBE89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206" w:type="dxa"/>
            <w:vAlign w:val="center"/>
          </w:tcPr>
          <w:p w14:paraId="4E75CDD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206" w:type="dxa"/>
            <w:vAlign w:val="center"/>
          </w:tcPr>
          <w:p w14:paraId="18661EF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w:t>
            </w:r>
          </w:p>
        </w:tc>
        <w:tc>
          <w:tcPr>
            <w:tcW w:w="1206" w:type="dxa"/>
            <w:vAlign w:val="center"/>
          </w:tcPr>
          <w:p w14:paraId="20BF11F2"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0702C426" w14:textId="77777777">
        <w:trPr>
          <w:jc w:val="center"/>
        </w:trPr>
        <w:tc>
          <w:tcPr>
            <w:tcW w:w="1206" w:type="dxa"/>
            <w:vAlign w:val="center"/>
          </w:tcPr>
          <w:p w14:paraId="39A18E24"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Feedback uptake</w:t>
            </w:r>
          </w:p>
        </w:tc>
        <w:tc>
          <w:tcPr>
            <w:tcW w:w="1206" w:type="dxa"/>
            <w:vAlign w:val="center"/>
          </w:tcPr>
          <w:p w14:paraId="05D6D18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206" w:type="dxa"/>
            <w:vAlign w:val="center"/>
          </w:tcPr>
          <w:p w14:paraId="1D31B2D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0.33</w:t>
            </w:r>
          </w:p>
        </w:tc>
        <w:tc>
          <w:tcPr>
            <w:tcW w:w="1206" w:type="dxa"/>
            <w:vAlign w:val="center"/>
          </w:tcPr>
          <w:p w14:paraId="16A79B4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206" w:type="dxa"/>
            <w:vAlign w:val="center"/>
          </w:tcPr>
          <w:p w14:paraId="36FDE31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0.31</w:t>
            </w:r>
          </w:p>
        </w:tc>
        <w:tc>
          <w:tcPr>
            <w:tcW w:w="1206" w:type="dxa"/>
            <w:vAlign w:val="center"/>
          </w:tcPr>
          <w:p w14:paraId="44FCD3F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0.07</w:t>
            </w:r>
          </w:p>
        </w:tc>
        <w:tc>
          <w:tcPr>
            <w:tcW w:w="1206" w:type="dxa"/>
            <w:vAlign w:val="center"/>
          </w:tcPr>
          <w:p w14:paraId="325BE3C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206" w:type="dxa"/>
            <w:vAlign w:val="center"/>
          </w:tcPr>
          <w:p w14:paraId="0A3DFC3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2AD5F17D" w14:textId="77777777">
        <w:trPr>
          <w:jc w:val="center"/>
        </w:trPr>
        <w:tc>
          <w:tcPr>
            <w:tcW w:w="1206" w:type="dxa"/>
            <w:vAlign w:val="center"/>
          </w:tcPr>
          <w:p w14:paraId="102B8F5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 xml:space="preserve">Self-regulated learning during </w:t>
            </w:r>
            <w:r w:rsidRPr="00D41A11">
              <w:rPr>
                <w:rFonts w:ascii="Times New Roman" w:hAnsi="Times New Roman" w:cs="Times New Roman"/>
                <w:sz w:val="24"/>
                <w:szCs w:val="24"/>
              </w:rPr>
              <w:lastRenderedPageBreak/>
              <w:t>revision</w:t>
            </w:r>
          </w:p>
        </w:tc>
        <w:tc>
          <w:tcPr>
            <w:tcW w:w="1206" w:type="dxa"/>
            <w:vAlign w:val="center"/>
          </w:tcPr>
          <w:p w14:paraId="7225E207"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lastRenderedPageBreak/>
              <w:t>Reflective – Direct GenAI</w:t>
            </w:r>
          </w:p>
        </w:tc>
        <w:tc>
          <w:tcPr>
            <w:tcW w:w="1206" w:type="dxa"/>
            <w:vAlign w:val="center"/>
          </w:tcPr>
          <w:p w14:paraId="325D0AF3"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0.26</w:t>
            </w:r>
          </w:p>
        </w:tc>
        <w:tc>
          <w:tcPr>
            <w:tcW w:w="1206" w:type="dxa"/>
            <w:vAlign w:val="center"/>
          </w:tcPr>
          <w:p w14:paraId="3679CF0A"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206" w:type="dxa"/>
            <w:vAlign w:val="center"/>
          </w:tcPr>
          <w:p w14:paraId="7A088666"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0.25</w:t>
            </w:r>
          </w:p>
        </w:tc>
        <w:tc>
          <w:tcPr>
            <w:tcW w:w="1206" w:type="dxa"/>
            <w:vAlign w:val="center"/>
          </w:tcPr>
          <w:p w14:paraId="3418FA1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206" w:type="dxa"/>
            <w:vAlign w:val="center"/>
          </w:tcPr>
          <w:p w14:paraId="3D3FABCF"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0.01</w:t>
            </w:r>
          </w:p>
        </w:tc>
        <w:tc>
          <w:tcPr>
            <w:tcW w:w="1206" w:type="dxa"/>
            <w:vAlign w:val="center"/>
          </w:tcPr>
          <w:p w14:paraId="4EAF0169"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r w:rsidR="00D41A11" w:rsidRPr="00D41A11" w14:paraId="1898605F" w14:textId="77777777">
        <w:trPr>
          <w:jc w:val="center"/>
        </w:trPr>
        <w:tc>
          <w:tcPr>
            <w:tcW w:w="1206" w:type="dxa"/>
            <w:vAlign w:val="center"/>
          </w:tcPr>
          <w:p w14:paraId="6C9E01CE"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Self-regulated learning during revision</w:t>
            </w:r>
          </w:p>
        </w:tc>
        <w:tc>
          <w:tcPr>
            <w:tcW w:w="1206" w:type="dxa"/>
            <w:vAlign w:val="center"/>
          </w:tcPr>
          <w:p w14:paraId="04B81AE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Hybrid – Direct GenAI</w:t>
            </w:r>
          </w:p>
        </w:tc>
        <w:tc>
          <w:tcPr>
            <w:tcW w:w="1206" w:type="dxa"/>
            <w:vAlign w:val="center"/>
          </w:tcPr>
          <w:p w14:paraId="25ED968B"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0.35</w:t>
            </w:r>
          </w:p>
        </w:tc>
        <w:tc>
          <w:tcPr>
            <w:tcW w:w="1206" w:type="dxa"/>
            <w:vAlign w:val="center"/>
          </w:tcPr>
          <w:p w14:paraId="26B51EED"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206" w:type="dxa"/>
            <w:vAlign w:val="center"/>
          </w:tcPr>
          <w:p w14:paraId="0D702811"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0.33</w:t>
            </w:r>
          </w:p>
        </w:tc>
        <w:tc>
          <w:tcPr>
            <w:tcW w:w="1206" w:type="dxa"/>
            <w:vAlign w:val="center"/>
          </w:tcPr>
          <w:p w14:paraId="22BDCFF8"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0.08</w:t>
            </w:r>
          </w:p>
        </w:tc>
        <w:tc>
          <w:tcPr>
            <w:tcW w:w="1206" w:type="dxa"/>
            <w:vAlign w:val="center"/>
          </w:tcPr>
          <w:p w14:paraId="66E034F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0.02</w:t>
            </w:r>
          </w:p>
        </w:tc>
        <w:tc>
          <w:tcPr>
            <w:tcW w:w="1206" w:type="dxa"/>
            <w:vAlign w:val="center"/>
          </w:tcPr>
          <w:p w14:paraId="425D83DC" w14:textId="77777777" w:rsidR="00A7350A" w:rsidRPr="00D41A11" w:rsidRDefault="00000000" w:rsidP="009F5672">
            <w:pPr>
              <w:spacing w:before="40" w:after="40"/>
              <w:rPr>
                <w:rFonts w:ascii="Times New Roman" w:hAnsi="Times New Roman" w:cs="Times New Roman"/>
                <w:sz w:val="24"/>
                <w:szCs w:val="24"/>
              </w:rPr>
            </w:pPr>
            <w:r w:rsidRPr="00D41A11">
              <w:rPr>
                <w:rFonts w:ascii="Times New Roman" w:hAnsi="Times New Roman" w:cs="Times New Roman"/>
                <w:sz w:val="24"/>
                <w:szCs w:val="24"/>
              </w:rPr>
              <w:t>Conclusion unchanged</w:t>
            </w:r>
          </w:p>
        </w:tc>
      </w:tr>
    </w:tbl>
    <w:p w14:paraId="28B5E0FF" w14:textId="77777777" w:rsidR="00A7350A" w:rsidRPr="00D41A11" w:rsidRDefault="00000000" w:rsidP="009F5672">
      <w:pPr>
        <w:spacing w:after="120"/>
        <w:rPr>
          <w:rFonts w:ascii="Times New Roman" w:hAnsi="Times New Roman" w:cs="Times New Roman"/>
          <w:sz w:val="24"/>
          <w:szCs w:val="24"/>
        </w:rPr>
      </w:pPr>
      <w:r w:rsidRPr="00D41A11">
        <w:rPr>
          <w:rFonts w:ascii="Times New Roman" w:hAnsi="Times New Roman" w:cs="Times New Roman"/>
          <w:sz w:val="24"/>
          <w:szCs w:val="24"/>
        </w:rPr>
        <w:t>Note. MI = multiple imputation by chained equations; FIML = full-information maximum likelihood. Estimates compare the primary missing-data strategy used in the main analyses with the alternative full-information estimation approach. Substantive conclusions were identical across the two methods for all focal contrasts, including the primary immediate outcome of four-dimension argument-quality gain.</w:t>
      </w:r>
    </w:p>
    <w:p w14:paraId="64857139" w14:textId="77777777" w:rsidR="00A7350A" w:rsidRPr="00D41A11" w:rsidRDefault="00A7350A" w:rsidP="009F5672">
      <w:pPr>
        <w:rPr>
          <w:rFonts w:ascii="Times New Roman" w:hAnsi="Times New Roman" w:cs="Times New Roman"/>
          <w:sz w:val="24"/>
          <w:szCs w:val="24"/>
        </w:rPr>
      </w:pPr>
    </w:p>
    <w:sectPr w:rsidR="00A7350A" w:rsidRPr="00D41A11"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7812311">
    <w:abstractNumId w:val="8"/>
  </w:num>
  <w:num w:numId="2" w16cid:durableId="845903371">
    <w:abstractNumId w:val="6"/>
  </w:num>
  <w:num w:numId="3" w16cid:durableId="26368789">
    <w:abstractNumId w:val="5"/>
  </w:num>
  <w:num w:numId="4" w16cid:durableId="1388070985">
    <w:abstractNumId w:val="4"/>
  </w:num>
  <w:num w:numId="5" w16cid:durableId="47147070">
    <w:abstractNumId w:val="7"/>
  </w:num>
  <w:num w:numId="6" w16cid:durableId="894194846">
    <w:abstractNumId w:val="3"/>
  </w:num>
  <w:num w:numId="7" w16cid:durableId="204679282">
    <w:abstractNumId w:val="2"/>
  </w:num>
  <w:num w:numId="8" w16cid:durableId="1009867252">
    <w:abstractNumId w:val="1"/>
  </w:num>
  <w:num w:numId="9" w16cid:durableId="82359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442F3"/>
    <w:rsid w:val="009004C3"/>
    <w:rsid w:val="009F5672"/>
    <w:rsid w:val="00A7350A"/>
    <w:rsid w:val="00AA1D8D"/>
    <w:rsid w:val="00B47730"/>
    <w:rsid w:val="00CB0664"/>
    <w:rsid w:val="00D41A11"/>
    <w:rsid w:val="00FC693F"/>
    <w:rsid w:val="00FD1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4EAE09"/>
  <w14:defaultImageDpi w14:val="300"/>
  <w15:docId w15:val="{9F90E23F-8E98-44F8-8247-47FC188D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4969</Words>
  <Characters>28328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toshiba</cp:lastModifiedBy>
  <cp:revision>4</cp:revision>
  <dcterms:created xsi:type="dcterms:W3CDTF">2013-12-23T23:15:00Z</dcterms:created>
  <dcterms:modified xsi:type="dcterms:W3CDTF">2026-04-12T19:13:00Z</dcterms:modified>
  <cp:category/>
</cp:coreProperties>
</file>