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8EF40" w14:textId="0F4377B7" w:rsidR="002A19D0" w:rsidRDefault="002A19D0" w:rsidP="008D4AF4">
      <w:pPr>
        <w:rPr>
          <w:rFonts w:ascii="Times New Roman" w:hAnsi="Times New Roman" w:cs="Times New Roman"/>
          <w:b/>
          <w:bCs/>
        </w:rPr>
      </w:pPr>
      <w:r w:rsidRPr="00A032CD">
        <w:rPr>
          <w:rFonts w:ascii="Times New Roman" w:hAnsi="Times New Roman" w:cs="Times New Roman"/>
          <w:b/>
          <w:bCs/>
        </w:rPr>
        <w:t>Supplementary figure 1</w:t>
      </w:r>
    </w:p>
    <w:p w14:paraId="260240C1" w14:textId="069C576C" w:rsidR="002A19D0" w:rsidRDefault="003F14F1" w:rsidP="008D4A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B864C36" wp14:editId="73355ADC">
            <wp:extent cx="5756910" cy="3792855"/>
            <wp:effectExtent l="0" t="0" r="0" b="0"/>
            <wp:docPr id="1360553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0F244" w14:textId="3A431952" w:rsidR="008D4AF4" w:rsidRPr="003F14F1" w:rsidRDefault="008D4AF4" w:rsidP="008D4AF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1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High expression of circLMF1 in glioma correlates with the MES-type GBM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Representative H&amp;E-stained images of human GBM tissues classified as PN-type (P2, P7, P9) or MES-type (M1, M3, M7). Scale bar = 50 </w:t>
      </w:r>
      <w:proofErr w:type="spellStart"/>
      <w:r w:rsidRPr="003F14F1">
        <w:rPr>
          <w:rFonts w:ascii="Times New Roman" w:hAnsi="Times New Roman" w:cs="Times New Roman"/>
          <w:sz w:val="18"/>
          <w:szCs w:val="18"/>
        </w:rPr>
        <w:t>μ</w:t>
      </w:r>
      <w:r w:rsidRPr="003F14F1">
        <w:rPr>
          <w:rFonts w:ascii="Times New Roman" w:hAnsi="Times New Roman" w:cs="Times New Roman" w:hint="eastAsia"/>
          <w:sz w:val="18"/>
          <w:szCs w:val="18"/>
        </w:rPr>
        <w:t>m</w:t>
      </w:r>
      <w:proofErr w:type="spellEnd"/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Flow cytometry-based expression analysis of CD133 and CD44 proteins in PN-type and MES-type GSC lines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Immunofluorescence analysis of CD44 and CD133 expression in GSC lines P2 and M1</w:t>
      </w:r>
      <w:r w:rsidRPr="003F14F1">
        <w:rPr>
          <w:rFonts w:ascii="Times New Roman" w:hAnsi="Times New Roman" w:cs="Times New Roman"/>
          <w:sz w:val="18"/>
          <w:szCs w:val="18"/>
        </w:rPr>
        <w:t>. Scale bar = 50μm.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circLMF1 expression in PN-type GSC lines (P2, P7, P9), MES-type GSC lines (M1, M3, M7), and normal brain tissues.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156744140"/>
      <w:r w:rsidRPr="003F14F1">
        <w:rPr>
          <w:rFonts w:ascii="Times New Roman" w:hAnsi="Times New Roman" w:cs="Times New Roman" w:hint="eastAsia"/>
          <w:sz w:val="18"/>
          <w:szCs w:val="18"/>
        </w:rPr>
        <w:t>qPCR analysis of circLMF1 relative expression in CD44</w:t>
      </w:r>
      <w:r w:rsidRPr="003F14F1">
        <w:rPr>
          <w:rFonts w:ascii="Times New Roman" w:hAnsi="Times New Roman" w:cs="Times New Roman" w:hint="eastAsia"/>
          <w:sz w:val="18"/>
          <w:szCs w:val="18"/>
          <w:vertAlign w:val="superscript"/>
        </w:rPr>
        <w:t>high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 and CD44</w:t>
      </w:r>
      <w:r w:rsidRPr="003F14F1">
        <w:rPr>
          <w:rFonts w:ascii="Times New Roman" w:hAnsi="Times New Roman" w:cs="Times New Roman" w:hint="eastAsia"/>
          <w:sz w:val="18"/>
          <w:szCs w:val="18"/>
          <w:vertAlign w:val="superscript"/>
        </w:rPr>
        <w:t>low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 subpopulations of MES-type GSCs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bookmarkEnd w:id="0"/>
    </w:p>
    <w:p w14:paraId="07011F95" w14:textId="77777777" w:rsidR="008D4AF4" w:rsidRDefault="008D4AF4" w:rsidP="008D4AF4">
      <w:pPr>
        <w:rPr>
          <w:rFonts w:ascii="Times New Roman" w:hAnsi="Times New Roman" w:cs="Times New Roman"/>
        </w:rPr>
      </w:pPr>
    </w:p>
    <w:p w14:paraId="1D518D86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4549F979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59B4D27D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4131F19D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3A24CEEE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3269235F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49CC850A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3BA13202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03EADDA5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61CFF467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09C86A2F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185EDE11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020FE1F9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1E9C0B6D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35959293" w14:textId="77777777" w:rsidR="002A19D0" w:rsidRDefault="002A19D0" w:rsidP="008D4AF4">
      <w:pPr>
        <w:rPr>
          <w:rFonts w:ascii="Times New Roman" w:hAnsi="Times New Roman" w:cs="Times New Roman"/>
        </w:rPr>
      </w:pPr>
    </w:p>
    <w:p w14:paraId="457BBD8A" w14:textId="77777777" w:rsidR="003F14F1" w:rsidRDefault="003F14F1" w:rsidP="008D4AF4">
      <w:pPr>
        <w:rPr>
          <w:rFonts w:ascii="Times New Roman" w:hAnsi="Times New Roman" w:cs="Times New Roman"/>
          <w:b/>
          <w:bCs/>
        </w:rPr>
      </w:pPr>
    </w:p>
    <w:p w14:paraId="3CD98305" w14:textId="08266EF7" w:rsidR="002A19D0" w:rsidRDefault="002A19D0" w:rsidP="008D4AF4">
      <w:pPr>
        <w:rPr>
          <w:rFonts w:ascii="Times New Roman" w:hAnsi="Times New Roman" w:cs="Times New Roman"/>
          <w:b/>
          <w:bCs/>
        </w:rPr>
      </w:pPr>
      <w:r w:rsidRPr="00A032CD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2</w:t>
      </w:r>
    </w:p>
    <w:p w14:paraId="4110F1DB" w14:textId="1A7E1406" w:rsidR="002A19D0" w:rsidRPr="002A19D0" w:rsidRDefault="003F14F1" w:rsidP="008D4A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4D2269E8" wp14:editId="7490D481">
            <wp:extent cx="5756910" cy="8170545"/>
            <wp:effectExtent l="0" t="0" r="0" b="1905"/>
            <wp:docPr id="15549108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F14F" w14:textId="3D67059D" w:rsidR="008D4AF4" w:rsidRPr="003F14F1" w:rsidRDefault="008D4AF4" w:rsidP="008D4AF4">
      <w:pPr>
        <w:rPr>
          <w:rFonts w:ascii="Times New Roman" w:hAnsi="Times New Roman" w:cs="Times New Roman"/>
          <w:sz w:val="18"/>
          <w:szCs w:val="18"/>
        </w:rPr>
      </w:pPr>
      <w:r w:rsidRPr="003F14F1">
        <w:rPr>
          <w:rFonts w:ascii="Times New Roman" w:hAnsi="Times New Roman" w:cs="Times New Roman"/>
          <w:b/>
          <w:bCs/>
          <w:sz w:val="18"/>
          <w:szCs w:val="18"/>
        </w:rPr>
        <w:t>Supplementary figure 2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Regulating circLMF1 impacts proliferation, invasiveness, stemness and PMT of GSCs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qPCR </w:t>
      </w:r>
      <w:r w:rsidRPr="003F14F1">
        <w:rPr>
          <w:rFonts w:ascii="Times New Roman" w:hAnsi="Times New Roman" w:cs="Times New Roman" w:hint="eastAsia"/>
          <w:sz w:val="18"/>
          <w:szCs w:val="18"/>
        </w:rPr>
        <w:lastRenderedPageBreak/>
        <w:t>analysis of circLMF1 expression in M1 and M3 cells transduced with negative control (NC), circLMF1-knockdown vector KD1, or circLMF1-knockdown vector KD2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Cell viability of M1 and M3 cells transduced with NC, circLMF1-KD1 or circLMF1-KD2, assessed by CCK-8 assay at 24, 48, 72, 96, and 120 hours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Representative EdU staining images and corresponding quantitative analysis of M1 and M3 cells transduced with NC, circLMF1-KD1 or circLMF1-KD2</w:t>
      </w:r>
      <w:r w:rsidRPr="003F14F1">
        <w:rPr>
          <w:rFonts w:ascii="Times New Roman" w:hAnsi="Times New Roman" w:cs="Times New Roman"/>
          <w:sz w:val="18"/>
          <w:szCs w:val="18"/>
        </w:rPr>
        <w:t>. Scale bar = 50μm.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f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g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Matrigel-coated Transwell invasion assay and corresponding quantitative analysis of M1 and M3 cells transduced with NC, circLMF1-KD1 or circLMF1-KD2</w:t>
      </w:r>
      <w:r w:rsidRPr="003F14F1">
        <w:rPr>
          <w:rFonts w:ascii="Times New Roman" w:hAnsi="Times New Roman" w:cs="Times New Roman"/>
          <w:sz w:val="18"/>
          <w:szCs w:val="18"/>
        </w:rPr>
        <w:t>. Scale bar = 50μm.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h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i</w:t>
      </w:r>
      <w:proofErr w:type="spellEnd"/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Neurosphere formation assay: representative images and size quantification in M1/M3 cells with NC, circLMF1-KD1 or circLMF1-KD2</w:t>
      </w:r>
      <w:r w:rsidRPr="003F14F1">
        <w:rPr>
          <w:rFonts w:ascii="Times New Roman" w:hAnsi="Times New Roman" w:cs="Times New Roman"/>
          <w:sz w:val="18"/>
          <w:szCs w:val="18"/>
        </w:rPr>
        <w:t>. Scale bar = 50μm.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j, k</w:t>
      </w:r>
      <w:r w:rsidRPr="003F14F1">
        <w:rPr>
          <w:rFonts w:ascii="Times New Roman" w:hAnsi="Times New Roman" w:cs="Times New Roman"/>
          <w:sz w:val="18"/>
          <w:szCs w:val="18"/>
        </w:rPr>
        <w:t xml:space="preserve"> ELDA </w:t>
      </w:r>
      <w:r w:rsidRPr="003F14F1">
        <w:rPr>
          <w:rFonts w:ascii="Times New Roman" w:hAnsi="Times New Roman" w:cs="Times New Roman" w:hint="eastAsia"/>
          <w:sz w:val="18"/>
          <w:szCs w:val="18"/>
        </w:rPr>
        <w:t>of neurosphere-forming frequency in M1/M3 cells transduced with NC, circLMF1-KD1 or circLMF1-KD2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Western blot of stemness, mesenchymal, and </w:t>
      </w:r>
      <w:proofErr w:type="spellStart"/>
      <w:r w:rsidRPr="003F14F1">
        <w:rPr>
          <w:rFonts w:ascii="Times New Roman" w:hAnsi="Times New Roman" w:cs="Times New Roman" w:hint="eastAsia"/>
          <w:sz w:val="18"/>
          <w:szCs w:val="18"/>
        </w:rPr>
        <w:t>proneural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markers in M1/M3 cells transduced with NC, circLMF1-KD1 or circLMF1-KD2</w:t>
      </w:r>
      <w:r w:rsidRPr="003F14F1">
        <w:rPr>
          <w:rFonts w:ascii="Times New Roman" w:hAnsi="Times New Roman" w:cs="Times New Roman"/>
          <w:sz w:val="18"/>
          <w:szCs w:val="18"/>
        </w:rPr>
        <w:t>. All data are shown as the mean ± SD (five independent experiments). *p&lt;0.05; **p&lt;0.01; ***p&lt;0.001; ns, no significance</w:t>
      </w:r>
      <w:r w:rsidRPr="003F14F1">
        <w:rPr>
          <w:rFonts w:ascii="Times New Roman" w:hAnsi="Times New Roman" w:cs="Times New Roman" w:hint="eastAsia"/>
          <w:sz w:val="18"/>
          <w:szCs w:val="18"/>
        </w:rPr>
        <w:t>.</w:t>
      </w:r>
    </w:p>
    <w:p w14:paraId="7B147068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79D6A417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5C801AD5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3A8543B2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28085495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6B7B1F36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79479013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4A26AFEF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BEAA838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6F550E7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4223E6B4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6936591D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24A50BD2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5C693195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75ED5374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30A91999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7908569A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2B716AA7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3C18ECB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28849BC6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207DAE11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525B42C3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233E197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1C343C13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37F231BF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6B918F51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4A385CF7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670F70AB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13182431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18EE286E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C0E2922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18987623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4B669B3" w14:textId="77777777" w:rsidR="003F14F1" w:rsidRDefault="003F14F1" w:rsidP="008D4AF4">
      <w:pPr>
        <w:rPr>
          <w:rFonts w:ascii="Times New Roman" w:hAnsi="Times New Roman" w:cs="Times New Roman"/>
        </w:rPr>
      </w:pPr>
    </w:p>
    <w:p w14:paraId="0B70CD4C" w14:textId="77777777" w:rsidR="003F14F1" w:rsidRDefault="003F14F1" w:rsidP="008D4AF4">
      <w:pPr>
        <w:rPr>
          <w:rFonts w:ascii="Times New Roman" w:hAnsi="Times New Roman" w:cs="Times New Roman" w:hint="eastAsia"/>
          <w:b/>
          <w:bCs/>
        </w:rPr>
      </w:pPr>
    </w:p>
    <w:p w14:paraId="51481AF9" w14:textId="5E9451D6" w:rsidR="002A19D0" w:rsidRDefault="002A19D0" w:rsidP="008D4AF4">
      <w:pPr>
        <w:rPr>
          <w:rFonts w:ascii="Times New Roman" w:hAnsi="Times New Roman" w:cs="Times New Roman"/>
          <w:b/>
          <w:bCs/>
        </w:rPr>
      </w:pPr>
      <w:r w:rsidRPr="00A032CD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3</w:t>
      </w:r>
    </w:p>
    <w:p w14:paraId="5EBD3E96" w14:textId="3DE2FCF0" w:rsidR="002A19D0" w:rsidRDefault="003F14F1" w:rsidP="008D4A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8F9E11" wp14:editId="7D9FBFDF">
            <wp:extent cx="5756910" cy="5855335"/>
            <wp:effectExtent l="0" t="0" r="0" b="0"/>
            <wp:docPr id="19502751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85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0026" w14:textId="2B70E5DE" w:rsidR="008D4AF4" w:rsidRPr="003F14F1" w:rsidRDefault="008D4AF4" w:rsidP="008D4AF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14F1">
        <w:rPr>
          <w:rFonts w:ascii="Times New Roman" w:hAnsi="Times New Roman" w:cs="Times New Roman"/>
          <w:b/>
          <w:bCs/>
          <w:sz w:val="18"/>
          <w:szCs w:val="18"/>
        </w:rPr>
        <w:t>Supplementary figure 3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CircLMF1 binds directly to TFE3 and enhances its protein stability in GSCs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. a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CircLMF1 binds to TFE3 proteins via </w:t>
      </w:r>
      <w:proofErr w:type="spellStart"/>
      <w:r w:rsidRPr="003F14F1">
        <w:rPr>
          <w:rFonts w:ascii="Times New Roman" w:hAnsi="Times New Roman" w:cs="Times New Roman" w:hint="eastAsia"/>
          <w:sz w:val="18"/>
          <w:szCs w:val="18"/>
        </w:rPr>
        <w:t>CatRAPID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prediction.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RNA pull-down assay to display the interaction between circLMF1 and TFE3, RUNX2, and CEBPA respectively in M1 and M3.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RIP assays showing anti-TFE3 treatment leaded to circLMF1 enrichment in P2 and P7 transduced with EV or circLMF1-OE.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 </w:t>
      </w:r>
      <w:r w:rsidRPr="003F14F1">
        <w:rPr>
          <w:rFonts w:ascii="Times New Roman" w:hAnsi="Times New Roman" w:cs="Times New Roman" w:hint="eastAsia"/>
          <w:sz w:val="18"/>
          <w:szCs w:val="18"/>
        </w:rPr>
        <w:t>RNA</w:t>
      </w:r>
      <w:r w:rsidRPr="003F14F1">
        <w:rPr>
          <w:rFonts w:ascii="Times New Roman" w:hAnsi="Times New Roman" w:cs="Times New Roman" w:hint="eastAsia"/>
          <w:sz w:val="18"/>
          <w:szCs w:val="18"/>
        </w:rPr>
        <w:t>–</w:t>
      </w:r>
      <w:r w:rsidRPr="003F14F1">
        <w:rPr>
          <w:rFonts w:ascii="Times New Roman" w:hAnsi="Times New Roman" w:cs="Times New Roman" w:hint="eastAsia"/>
          <w:sz w:val="18"/>
          <w:szCs w:val="18"/>
        </w:rPr>
        <w:t xml:space="preserve">protein interaction between circLMF1 and TFE3 predicted by the </w:t>
      </w:r>
      <w:proofErr w:type="spellStart"/>
      <w:r w:rsidRPr="003F14F1">
        <w:rPr>
          <w:rFonts w:ascii="Times New Roman" w:hAnsi="Times New Roman" w:cs="Times New Roman" w:hint="eastAsia"/>
          <w:sz w:val="18"/>
          <w:szCs w:val="18"/>
        </w:rPr>
        <w:t>CatRAPID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algorithm (top) and the diagrams of Flag-tagged TFE3 truncations (bottom)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g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RIP assays were performed in M1 transfected with the truncated mutant vectors to validate the binding domain of TFE3</w:t>
      </w:r>
      <w:r w:rsidRPr="003F14F1">
        <w:rPr>
          <w:rFonts w:ascii="Times New Roman" w:hAnsi="Times New Roman" w:cs="Times New Roman"/>
          <w:sz w:val="18"/>
          <w:szCs w:val="18"/>
        </w:rPr>
        <w:t xml:space="preserve">.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h-k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qPCR and western blotting assays showing TFE3 mRNA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h,i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and protein expression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j,k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after circLMF1 overexpression and knockdown</w:t>
      </w:r>
      <w:r w:rsidRPr="003F14F1">
        <w:rPr>
          <w:rFonts w:ascii="Times New Roman" w:hAnsi="Times New Roman" w:cs="Times New Roman"/>
          <w:sz w:val="18"/>
          <w:szCs w:val="18"/>
        </w:rPr>
        <w:t xml:space="preserve">.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l, m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The</w:t>
      </w:r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circLMF1 knockdown or overexpressed GSCs were treated with or without MG132 (50 </w:t>
      </w:r>
      <w:proofErr w:type="spellStart"/>
      <w:r w:rsidRPr="003F14F1">
        <w:rPr>
          <w:rFonts w:ascii="Times New Roman" w:hAnsi="Times New Roman" w:cs="Times New Roman"/>
          <w:sz w:val="18"/>
          <w:szCs w:val="18"/>
        </w:rPr>
        <w:t>μM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>) for 6 hours, and TFE3 expression was detected by Western blotting.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n, o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The</w:t>
      </w:r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circLMF1 knockdown or overexpressed GSCs were treated with CHX (50</w:t>
      </w:r>
      <w:r w:rsidRPr="003F14F1">
        <w:rPr>
          <w:rFonts w:ascii="Times New Roman" w:hAnsi="Times New Roman" w:cs="Times New Roman"/>
          <w:sz w:val="18"/>
          <w:szCs w:val="18"/>
        </w:rPr>
        <w:t>μg/</w:t>
      </w:r>
      <w:r w:rsidRPr="003F14F1">
        <w:rPr>
          <w:rFonts w:ascii="Times New Roman" w:hAnsi="Times New Roman" w:cs="Times New Roman" w:hint="eastAsia"/>
          <w:sz w:val="18"/>
          <w:szCs w:val="18"/>
        </w:rPr>
        <w:t>ml) at 0, 2, 4, 8, and 12 hours and the expression of TFE3 protein was detected by western blotting</w:t>
      </w:r>
      <w:r w:rsidRPr="003F14F1">
        <w:rPr>
          <w:rFonts w:ascii="Times New Roman" w:hAnsi="Times New Roman" w:cs="Times New Roman"/>
          <w:sz w:val="18"/>
          <w:szCs w:val="18"/>
        </w:rPr>
        <w:t xml:space="preserve">.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p, q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In vivo ubiquitination assays showed TFE3 ubiquitination levels in GSCs with circLMF1 overexpression or knockdown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3F14F1">
        <w:rPr>
          <w:rFonts w:ascii="Times New Roman" w:hAnsi="Times New Roman" w:cs="Times New Roman"/>
          <w:sz w:val="18"/>
          <w:szCs w:val="18"/>
        </w:rPr>
        <w:t>All data are shown as the mean ± SD (five independent experiments). *p&lt;0.05; **p&lt;0.01; ***p&lt;0.001; ns, no significance.</w:t>
      </w:r>
    </w:p>
    <w:p w14:paraId="6AD13F93" w14:textId="77777777" w:rsidR="002A19D0" w:rsidRDefault="002A19D0" w:rsidP="008D4AF4">
      <w:pPr>
        <w:rPr>
          <w:rFonts w:ascii="Times New Roman" w:hAnsi="Times New Roman" w:cs="Times New Roman"/>
          <w:b/>
          <w:bCs/>
        </w:rPr>
      </w:pPr>
    </w:p>
    <w:p w14:paraId="09C1F92C" w14:textId="154A1A8E" w:rsidR="002A19D0" w:rsidRDefault="002A19D0" w:rsidP="008D4AF4">
      <w:pPr>
        <w:rPr>
          <w:rFonts w:ascii="Times New Roman" w:hAnsi="Times New Roman" w:cs="Times New Roman"/>
        </w:rPr>
      </w:pPr>
      <w:r w:rsidRPr="00A032CD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4</w:t>
      </w:r>
    </w:p>
    <w:p w14:paraId="71113B4F" w14:textId="20F5DAB4" w:rsidR="002A19D0" w:rsidRDefault="003F14F1" w:rsidP="008D4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25AF367" wp14:editId="3EA290F4">
            <wp:extent cx="5751830" cy="7098665"/>
            <wp:effectExtent l="0" t="0" r="1270" b="6985"/>
            <wp:docPr id="7206758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709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6261" w14:textId="5BB4AC58" w:rsidR="008D4AF4" w:rsidRPr="003F14F1" w:rsidRDefault="008D4AF4" w:rsidP="008D4AF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4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CircLMF1 promoted the PMT of GSCs via upregulating MVP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. a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Venn diagram of candidate TFE3 targets associated with PMT.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TFE3 binding motif obtained from the Jaspar database.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984B27" w14:textId="608FCCDB" w:rsidR="008D4AF4" w:rsidRPr="003F14F1" w:rsidRDefault="008D4AF4" w:rsidP="008D4AF4">
      <w:pPr>
        <w:rPr>
          <w:rFonts w:ascii="Times New Roman" w:hAnsi="Times New Roman" w:cs="Times New Roman"/>
          <w:sz w:val="18"/>
          <w:szCs w:val="18"/>
        </w:rPr>
      </w:pP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Shows the two putative TFE3 binding sites and matched mutant sequences in the MVP promoter region for luciferase reporter assays.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d-g </w:t>
      </w:r>
      <w:r w:rsidRPr="003F14F1">
        <w:rPr>
          <w:rFonts w:ascii="Times New Roman" w:hAnsi="Times New Roman" w:cs="Times New Roman" w:hint="eastAsia"/>
          <w:sz w:val="18"/>
          <w:szCs w:val="18"/>
        </w:rPr>
        <w:t>Western blotting and qPCR assays showing MVP protein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d,e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and mRNA expression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f,g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after TFE3 overexpression and knockdown compared to their respective controls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h-k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The</w:t>
      </w:r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luciferase reporter assays revealed luciferase activity driven by the MVP promoter in TFE3-overexpressing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h,i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or TFE3-knockdown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j,k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GSCs compared to their respective controls</w:t>
      </w:r>
      <w:r w:rsidRPr="003F14F1">
        <w:rPr>
          <w:rFonts w:ascii="Times New Roman" w:hAnsi="Times New Roman" w:cs="Times New Roman"/>
          <w:sz w:val="18"/>
          <w:szCs w:val="18"/>
        </w:rPr>
        <w:t xml:space="preserve">.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l-o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F14F1">
        <w:rPr>
          <w:rFonts w:ascii="Times New Roman" w:hAnsi="Times New Roman" w:cs="Times New Roman" w:hint="eastAsia"/>
          <w:sz w:val="18"/>
          <w:szCs w:val="18"/>
        </w:rPr>
        <w:t>ChIP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>-qPCR analysis revealed TFE3-dependent enrichment of the MVP promoter in TFE3-</w:t>
      </w:r>
      <w:r w:rsidRPr="003F14F1">
        <w:rPr>
          <w:rFonts w:ascii="Times New Roman" w:hAnsi="Times New Roman" w:cs="Times New Roman" w:hint="eastAsia"/>
          <w:sz w:val="18"/>
          <w:szCs w:val="18"/>
        </w:rPr>
        <w:lastRenderedPageBreak/>
        <w:t>overexpressing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l,m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or TFE3-knockdown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n,o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GSCs compared to their respective controls</w:t>
      </w:r>
      <w:r w:rsidRPr="003F14F1">
        <w:rPr>
          <w:rFonts w:ascii="Times New Roman" w:hAnsi="Times New Roman" w:cs="Times New Roman"/>
          <w:sz w:val="18"/>
          <w:szCs w:val="18"/>
        </w:rPr>
        <w:t xml:space="preserve">.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p, q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The</w:t>
      </w:r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luciferase reporter assay showed MVP promoter activity in circLMF1-knockdown GSCs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j,k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relative to control.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r, s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F14F1">
        <w:rPr>
          <w:rFonts w:ascii="Times New Roman" w:hAnsi="Times New Roman" w:cs="Times New Roman" w:hint="eastAsia"/>
          <w:sz w:val="18"/>
          <w:szCs w:val="18"/>
        </w:rPr>
        <w:t>ChIP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>-qPCR analysis showed reduced TFE3 binding to the MVP promoter in circLMF1-knockdown GSCs compared to control</w:t>
      </w:r>
      <w:r w:rsidRPr="003F14F1">
        <w:rPr>
          <w:rFonts w:ascii="Times New Roman" w:hAnsi="Times New Roman" w:cs="Times New Roman"/>
          <w:sz w:val="18"/>
          <w:szCs w:val="18"/>
        </w:rPr>
        <w:t>. All data are shown as the mean ± SD (five independent experiments). *p&lt;0.05; **p&lt;0.01; ***p&lt;0.001; ns, no significance</w:t>
      </w:r>
      <w:r w:rsidRPr="003F14F1">
        <w:rPr>
          <w:rFonts w:ascii="Times New Roman" w:hAnsi="Times New Roman" w:cs="Times New Roman" w:hint="eastAsia"/>
          <w:sz w:val="18"/>
          <w:szCs w:val="18"/>
        </w:rPr>
        <w:t>.</w:t>
      </w:r>
    </w:p>
    <w:p w14:paraId="1F04A217" w14:textId="77777777" w:rsidR="008D4AF4" w:rsidRDefault="008D4AF4" w:rsidP="008D4AF4">
      <w:pPr>
        <w:rPr>
          <w:rFonts w:ascii="Times New Roman" w:hAnsi="Times New Roman" w:cs="Times New Roman"/>
        </w:rPr>
      </w:pPr>
    </w:p>
    <w:p w14:paraId="74FC5328" w14:textId="77777777" w:rsidR="002A19D0" w:rsidRDefault="002A19D0" w:rsidP="008D4AF4">
      <w:pPr>
        <w:rPr>
          <w:rFonts w:ascii="Times New Roman" w:hAnsi="Times New Roman" w:cs="Times New Roman"/>
          <w:b/>
          <w:bCs/>
        </w:rPr>
      </w:pPr>
    </w:p>
    <w:p w14:paraId="5DB27BD7" w14:textId="77777777" w:rsidR="002A19D0" w:rsidRDefault="002A19D0" w:rsidP="008D4AF4">
      <w:pPr>
        <w:rPr>
          <w:rFonts w:ascii="Times New Roman" w:hAnsi="Times New Roman" w:cs="Times New Roman"/>
          <w:b/>
          <w:bCs/>
        </w:rPr>
      </w:pPr>
      <w:r w:rsidRPr="00A032CD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5</w:t>
      </w:r>
    </w:p>
    <w:p w14:paraId="53134FE0" w14:textId="1AD2C8D2" w:rsidR="002A19D0" w:rsidRDefault="003F14F1" w:rsidP="008D4A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C0512C0" wp14:editId="0180A0B9">
            <wp:extent cx="5756910" cy="5629275"/>
            <wp:effectExtent l="0" t="0" r="0" b="9525"/>
            <wp:docPr id="3205981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3D536" w14:textId="62A92005" w:rsidR="008D4AF4" w:rsidRPr="003F14F1" w:rsidRDefault="008D4AF4" w:rsidP="00EE259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F14F1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5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CircLMF1 enhances the sensitivity of GSCs to ferroptosis by upregulating ABCC1</w:t>
      </w:r>
      <w:r w:rsidRPr="003F14F1">
        <w:rPr>
          <w:rFonts w:ascii="Times New Roman" w:hAnsi="Times New Roman" w:cs="Times New Roman"/>
          <w:b/>
          <w:bCs/>
          <w:sz w:val="18"/>
          <w:szCs w:val="18"/>
        </w:rPr>
        <w:t>. a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Venn diagram of candidate TFE3 targets associated with ferroptosis.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TFE3 binding motif obtained from the Jaspar database.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sz w:val="18"/>
          <w:szCs w:val="18"/>
        </w:rPr>
        <w:t>Shows the two putative TFE3 binding sites and matched mutant sequences in the ABCC1 promoter region for luciferase reporter assays.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d-g </w:t>
      </w:r>
      <w:r w:rsidRPr="003F14F1">
        <w:rPr>
          <w:rFonts w:ascii="Times New Roman" w:hAnsi="Times New Roman" w:cs="Times New Roman" w:hint="eastAsia"/>
          <w:sz w:val="18"/>
          <w:szCs w:val="18"/>
        </w:rPr>
        <w:t>Western blotting and qPCR assays showing ABCC1 protein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d,e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and mRNA expression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f,g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after TFE3 overexpression and knockdown compared to their respective controls</w:t>
      </w:r>
      <w:r w:rsidRPr="003F14F1">
        <w:rPr>
          <w:rFonts w:ascii="Times New Roman" w:hAnsi="Times New Roman" w:cs="Times New Roman"/>
          <w:sz w:val="18"/>
          <w:szCs w:val="18"/>
        </w:rPr>
        <w:t>.</w:t>
      </w:r>
      <w:r w:rsidR="002A19D0" w:rsidRPr="003F14F1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h-k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The</w:t>
      </w:r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 xml:space="preserve"> luciferase reporter assays revealed luciferase activity driven by the ABCC1 promoter in TFE3-overexpressing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h,i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or TFE3-knockdown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j,k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GSCs compared to their respective controls</w:t>
      </w:r>
      <w:r w:rsidRPr="003F14F1">
        <w:rPr>
          <w:rFonts w:ascii="Times New Roman" w:hAnsi="Times New Roman" w:cs="Times New Roman"/>
          <w:sz w:val="18"/>
          <w:szCs w:val="18"/>
        </w:rPr>
        <w:t xml:space="preserve">. </w:t>
      </w:r>
      <w:r w:rsidRPr="003F14F1">
        <w:rPr>
          <w:rFonts w:ascii="Times New Roman" w:hAnsi="Times New Roman" w:cs="Times New Roman" w:hint="eastAsia"/>
          <w:b/>
          <w:bCs/>
          <w:sz w:val="18"/>
          <w:szCs w:val="18"/>
        </w:rPr>
        <w:t>l-o</w:t>
      </w:r>
      <w:r w:rsidRPr="003F14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F14F1">
        <w:rPr>
          <w:rFonts w:ascii="Times New Roman" w:hAnsi="Times New Roman" w:cs="Times New Roman" w:hint="eastAsia"/>
          <w:sz w:val="18"/>
          <w:szCs w:val="18"/>
        </w:rPr>
        <w:t>ChIP</w:t>
      </w:r>
      <w:proofErr w:type="spellEnd"/>
      <w:r w:rsidRPr="003F14F1">
        <w:rPr>
          <w:rFonts w:ascii="Times New Roman" w:hAnsi="Times New Roman" w:cs="Times New Roman" w:hint="eastAsia"/>
          <w:sz w:val="18"/>
          <w:szCs w:val="18"/>
        </w:rPr>
        <w:t>-qPCR analysis revealed TFE3-dependent enrichment of the ABCC1 promoter in TFE3-overexpressing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l,m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or TFE3-knockdown (</w:t>
      </w:r>
      <w:proofErr w:type="spellStart"/>
      <w:proofErr w:type="gramStart"/>
      <w:r w:rsidRPr="003F14F1">
        <w:rPr>
          <w:rFonts w:ascii="Times New Roman" w:hAnsi="Times New Roman" w:cs="Times New Roman" w:hint="eastAsia"/>
          <w:sz w:val="18"/>
          <w:szCs w:val="18"/>
        </w:rPr>
        <w:t>n,o</w:t>
      </w:r>
      <w:proofErr w:type="spellEnd"/>
      <w:proofErr w:type="gramEnd"/>
      <w:r w:rsidRPr="003F14F1">
        <w:rPr>
          <w:rFonts w:ascii="Times New Roman" w:hAnsi="Times New Roman" w:cs="Times New Roman" w:hint="eastAsia"/>
          <w:sz w:val="18"/>
          <w:szCs w:val="18"/>
        </w:rPr>
        <w:t>) GSCs compared to their respective controls</w:t>
      </w:r>
      <w:r w:rsidRPr="003F14F1">
        <w:rPr>
          <w:rFonts w:ascii="Times New Roman" w:hAnsi="Times New Roman" w:cs="Times New Roman"/>
          <w:sz w:val="18"/>
          <w:szCs w:val="18"/>
        </w:rPr>
        <w:t xml:space="preserve">. All data are shown as the mean ± </w:t>
      </w:r>
      <w:r w:rsidRPr="003F14F1">
        <w:rPr>
          <w:rFonts w:ascii="Times New Roman" w:hAnsi="Times New Roman" w:cs="Times New Roman"/>
          <w:sz w:val="18"/>
          <w:szCs w:val="18"/>
        </w:rPr>
        <w:lastRenderedPageBreak/>
        <w:t>SD (five independent experiments). *p&lt;0.05; **p&lt;0.01; ***p&lt;0.001; ns, no significance</w:t>
      </w:r>
      <w:r w:rsidRPr="003F14F1"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8D4AF4" w:rsidRPr="003F14F1" w:rsidSect="002851E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685A" w14:textId="77777777" w:rsidR="003F7A80" w:rsidRDefault="003F7A80" w:rsidP="00923020">
      <w:pPr>
        <w:rPr>
          <w:rFonts w:hint="eastAsia"/>
        </w:rPr>
      </w:pPr>
      <w:r>
        <w:separator/>
      </w:r>
    </w:p>
  </w:endnote>
  <w:endnote w:type="continuationSeparator" w:id="0">
    <w:p w14:paraId="28B93C3A" w14:textId="77777777" w:rsidR="003F7A80" w:rsidRDefault="003F7A80" w:rsidP="009230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567D9" w14:textId="77777777" w:rsidR="003F7A80" w:rsidRDefault="003F7A80" w:rsidP="00923020">
      <w:pPr>
        <w:rPr>
          <w:rFonts w:hint="eastAsia"/>
        </w:rPr>
      </w:pPr>
      <w:r>
        <w:separator/>
      </w:r>
    </w:p>
  </w:footnote>
  <w:footnote w:type="continuationSeparator" w:id="0">
    <w:p w14:paraId="00810B0E" w14:textId="77777777" w:rsidR="003F7A80" w:rsidRDefault="003F7A80" w:rsidP="009230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396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5z09dx4affase59rdvvzttv2a5fpratvpf&quot;&gt;My EndNote Library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3&lt;/item&gt;&lt;item&gt;44&lt;/item&gt;&lt;item&gt;45&lt;/item&gt;&lt;item&gt;46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/record-ids&gt;&lt;/item&gt;&lt;/Libraries&gt;"/>
  </w:docVars>
  <w:rsids>
    <w:rsidRoot w:val="00364B7A"/>
    <w:rsid w:val="00011799"/>
    <w:rsid w:val="00017318"/>
    <w:rsid w:val="00021035"/>
    <w:rsid w:val="00024699"/>
    <w:rsid w:val="00024A99"/>
    <w:rsid w:val="00027F16"/>
    <w:rsid w:val="00033EBD"/>
    <w:rsid w:val="00037D9E"/>
    <w:rsid w:val="00040984"/>
    <w:rsid w:val="00040BB1"/>
    <w:rsid w:val="0004196F"/>
    <w:rsid w:val="00045C9A"/>
    <w:rsid w:val="00046144"/>
    <w:rsid w:val="0006313E"/>
    <w:rsid w:val="00065FC6"/>
    <w:rsid w:val="0007172F"/>
    <w:rsid w:val="00072918"/>
    <w:rsid w:val="000741C2"/>
    <w:rsid w:val="00076D5C"/>
    <w:rsid w:val="00091632"/>
    <w:rsid w:val="00092940"/>
    <w:rsid w:val="00094548"/>
    <w:rsid w:val="00097B47"/>
    <w:rsid w:val="000A0D68"/>
    <w:rsid w:val="000A1F72"/>
    <w:rsid w:val="000A21BE"/>
    <w:rsid w:val="000A3D45"/>
    <w:rsid w:val="000B5443"/>
    <w:rsid w:val="000C1C72"/>
    <w:rsid w:val="000C7E4F"/>
    <w:rsid w:val="000D00DD"/>
    <w:rsid w:val="000D5DF8"/>
    <w:rsid w:val="000E73A7"/>
    <w:rsid w:val="000E7C7A"/>
    <w:rsid w:val="000F0DDB"/>
    <w:rsid w:val="000F3D45"/>
    <w:rsid w:val="000F4362"/>
    <w:rsid w:val="000F4B2B"/>
    <w:rsid w:val="001057FC"/>
    <w:rsid w:val="00106457"/>
    <w:rsid w:val="00115029"/>
    <w:rsid w:val="00115B98"/>
    <w:rsid w:val="0011754C"/>
    <w:rsid w:val="001233E3"/>
    <w:rsid w:val="00126671"/>
    <w:rsid w:val="00131377"/>
    <w:rsid w:val="00136302"/>
    <w:rsid w:val="001426BE"/>
    <w:rsid w:val="001455A7"/>
    <w:rsid w:val="001602C7"/>
    <w:rsid w:val="001636F7"/>
    <w:rsid w:val="0016383F"/>
    <w:rsid w:val="00165215"/>
    <w:rsid w:val="0016552F"/>
    <w:rsid w:val="00166538"/>
    <w:rsid w:val="0017606B"/>
    <w:rsid w:val="001912FD"/>
    <w:rsid w:val="00191F9D"/>
    <w:rsid w:val="00193DB5"/>
    <w:rsid w:val="001A23B8"/>
    <w:rsid w:val="001A45CB"/>
    <w:rsid w:val="001A52DD"/>
    <w:rsid w:val="001B1E7C"/>
    <w:rsid w:val="001B729B"/>
    <w:rsid w:val="001C0750"/>
    <w:rsid w:val="001C605D"/>
    <w:rsid w:val="001C7917"/>
    <w:rsid w:val="001C79B4"/>
    <w:rsid w:val="001D1D53"/>
    <w:rsid w:val="001D1DEF"/>
    <w:rsid w:val="001D2D7D"/>
    <w:rsid w:val="001E33D8"/>
    <w:rsid w:val="001F1B64"/>
    <w:rsid w:val="0020223E"/>
    <w:rsid w:val="0021253B"/>
    <w:rsid w:val="0021621E"/>
    <w:rsid w:val="00217D04"/>
    <w:rsid w:val="00227C3F"/>
    <w:rsid w:val="0023265C"/>
    <w:rsid w:val="00240D86"/>
    <w:rsid w:val="00242BAF"/>
    <w:rsid w:val="0024337C"/>
    <w:rsid w:val="002438E2"/>
    <w:rsid w:val="00243A91"/>
    <w:rsid w:val="002462C7"/>
    <w:rsid w:val="00250A68"/>
    <w:rsid w:val="00257556"/>
    <w:rsid w:val="00266E33"/>
    <w:rsid w:val="00267528"/>
    <w:rsid w:val="00274FE9"/>
    <w:rsid w:val="0028009B"/>
    <w:rsid w:val="002851EB"/>
    <w:rsid w:val="002915FF"/>
    <w:rsid w:val="002933CB"/>
    <w:rsid w:val="002940A7"/>
    <w:rsid w:val="002A19D0"/>
    <w:rsid w:val="002A51FF"/>
    <w:rsid w:val="002A563C"/>
    <w:rsid w:val="002A5FC1"/>
    <w:rsid w:val="002B05A4"/>
    <w:rsid w:val="002B3350"/>
    <w:rsid w:val="002B544D"/>
    <w:rsid w:val="002C1CE7"/>
    <w:rsid w:val="002C6175"/>
    <w:rsid w:val="002C6727"/>
    <w:rsid w:val="002C711E"/>
    <w:rsid w:val="002C7EF5"/>
    <w:rsid w:val="002D27F3"/>
    <w:rsid w:val="002D49A9"/>
    <w:rsid w:val="002E3174"/>
    <w:rsid w:val="002E6B57"/>
    <w:rsid w:val="002E7891"/>
    <w:rsid w:val="002F3078"/>
    <w:rsid w:val="00302B22"/>
    <w:rsid w:val="00305E5B"/>
    <w:rsid w:val="0030663C"/>
    <w:rsid w:val="00315717"/>
    <w:rsid w:val="00327CCD"/>
    <w:rsid w:val="00333EDC"/>
    <w:rsid w:val="003416C8"/>
    <w:rsid w:val="00341D53"/>
    <w:rsid w:val="003508A3"/>
    <w:rsid w:val="00351C4D"/>
    <w:rsid w:val="0035378B"/>
    <w:rsid w:val="003605DD"/>
    <w:rsid w:val="00360BA3"/>
    <w:rsid w:val="00363063"/>
    <w:rsid w:val="0036482A"/>
    <w:rsid w:val="003649C2"/>
    <w:rsid w:val="00364B7A"/>
    <w:rsid w:val="0037030F"/>
    <w:rsid w:val="00385F4A"/>
    <w:rsid w:val="00387DEC"/>
    <w:rsid w:val="00390A6D"/>
    <w:rsid w:val="0039552E"/>
    <w:rsid w:val="00396C57"/>
    <w:rsid w:val="003A2C5E"/>
    <w:rsid w:val="003A4689"/>
    <w:rsid w:val="003A75F0"/>
    <w:rsid w:val="003B027A"/>
    <w:rsid w:val="003B466E"/>
    <w:rsid w:val="003B4CB0"/>
    <w:rsid w:val="003B5656"/>
    <w:rsid w:val="003B6B9A"/>
    <w:rsid w:val="003C5F78"/>
    <w:rsid w:val="003D0965"/>
    <w:rsid w:val="003D17B6"/>
    <w:rsid w:val="003D6D81"/>
    <w:rsid w:val="003E74CE"/>
    <w:rsid w:val="003F071F"/>
    <w:rsid w:val="003F14F1"/>
    <w:rsid w:val="003F2AEF"/>
    <w:rsid w:val="003F479C"/>
    <w:rsid w:val="003F5202"/>
    <w:rsid w:val="003F7A80"/>
    <w:rsid w:val="00400A81"/>
    <w:rsid w:val="00401901"/>
    <w:rsid w:val="00405907"/>
    <w:rsid w:val="00407B8B"/>
    <w:rsid w:val="00410033"/>
    <w:rsid w:val="004215CE"/>
    <w:rsid w:val="00421CDD"/>
    <w:rsid w:val="004236E6"/>
    <w:rsid w:val="004238FB"/>
    <w:rsid w:val="00423F15"/>
    <w:rsid w:val="00425B7A"/>
    <w:rsid w:val="004301B6"/>
    <w:rsid w:val="00432A5E"/>
    <w:rsid w:val="00435BC7"/>
    <w:rsid w:val="00435E72"/>
    <w:rsid w:val="00442991"/>
    <w:rsid w:val="00443013"/>
    <w:rsid w:val="004437FF"/>
    <w:rsid w:val="004502ED"/>
    <w:rsid w:val="0045128D"/>
    <w:rsid w:val="004528D5"/>
    <w:rsid w:val="00454841"/>
    <w:rsid w:val="0045643D"/>
    <w:rsid w:val="0046040F"/>
    <w:rsid w:val="0046073D"/>
    <w:rsid w:val="00461C5F"/>
    <w:rsid w:val="00463787"/>
    <w:rsid w:val="00464B79"/>
    <w:rsid w:val="00466B5A"/>
    <w:rsid w:val="0047114E"/>
    <w:rsid w:val="004712D9"/>
    <w:rsid w:val="00474A2E"/>
    <w:rsid w:val="004836EF"/>
    <w:rsid w:val="00486642"/>
    <w:rsid w:val="004923B3"/>
    <w:rsid w:val="004956D2"/>
    <w:rsid w:val="00495C4A"/>
    <w:rsid w:val="004A10A3"/>
    <w:rsid w:val="004A3357"/>
    <w:rsid w:val="004A400C"/>
    <w:rsid w:val="004A6514"/>
    <w:rsid w:val="004B1165"/>
    <w:rsid w:val="004C4787"/>
    <w:rsid w:val="004C56B1"/>
    <w:rsid w:val="004C7FD9"/>
    <w:rsid w:val="004D33EA"/>
    <w:rsid w:val="004D75B8"/>
    <w:rsid w:val="004E1523"/>
    <w:rsid w:val="004E1769"/>
    <w:rsid w:val="004E2A45"/>
    <w:rsid w:val="004E66A0"/>
    <w:rsid w:val="005020DC"/>
    <w:rsid w:val="0050333F"/>
    <w:rsid w:val="0050456F"/>
    <w:rsid w:val="00505E56"/>
    <w:rsid w:val="005076F5"/>
    <w:rsid w:val="005103DA"/>
    <w:rsid w:val="005154FC"/>
    <w:rsid w:val="00522FDF"/>
    <w:rsid w:val="005251BA"/>
    <w:rsid w:val="005259A5"/>
    <w:rsid w:val="0053047D"/>
    <w:rsid w:val="00530722"/>
    <w:rsid w:val="00532F81"/>
    <w:rsid w:val="005412C7"/>
    <w:rsid w:val="00541734"/>
    <w:rsid w:val="005433CE"/>
    <w:rsid w:val="005507D5"/>
    <w:rsid w:val="005550E6"/>
    <w:rsid w:val="00555B76"/>
    <w:rsid w:val="00560413"/>
    <w:rsid w:val="00564D8C"/>
    <w:rsid w:val="005653A5"/>
    <w:rsid w:val="00567016"/>
    <w:rsid w:val="00570CAA"/>
    <w:rsid w:val="00581596"/>
    <w:rsid w:val="00584C08"/>
    <w:rsid w:val="00585802"/>
    <w:rsid w:val="00586598"/>
    <w:rsid w:val="00593D41"/>
    <w:rsid w:val="00594E3E"/>
    <w:rsid w:val="00595B6D"/>
    <w:rsid w:val="00596B30"/>
    <w:rsid w:val="00596E92"/>
    <w:rsid w:val="0059763F"/>
    <w:rsid w:val="005A0416"/>
    <w:rsid w:val="005A5AEF"/>
    <w:rsid w:val="005B428F"/>
    <w:rsid w:val="005B67B4"/>
    <w:rsid w:val="005C2BDC"/>
    <w:rsid w:val="005D46D4"/>
    <w:rsid w:val="005D59D2"/>
    <w:rsid w:val="005E2170"/>
    <w:rsid w:val="005E38A6"/>
    <w:rsid w:val="005E5F17"/>
    <w:rsid w:val="005E7A62"/>
    <w:rsid w:val="005E7B18"/>
    <w:rsid w:val="005F4B1B"/>
    <w:rsid w:val="0060442B"/>
    <w:rsid w:val="00604F2D"/>
    <w:rsid w:val="006052E1"/>
    <w:rsid w:val="00616F9B"/>
    <w:rsid w:val="006210ED"/>
    <w:rsid w:val="006212B9"/>
    <w:rsid w:val="0062176B"/>
    <w:rsid w:val="006254F7"/>
    <w:rsid w:val="0063285D"/>
    <w:rsid w:val="006331B7"/>
    <w:rsid w:val="006333DD"/>
    <w:rsid w:val="0063659E"/>
    <w:rsid w:val="00636EE3"/>
    <w:rsid w:val="00637897"/>
    <w:rsid w:val="00641596"/>
    <w:rsid w:val="00642C76"/>
    <w:rsid w:val="00643470"/>
    <w:rsid w:val="006476A9"/>
    <w:rsid w:val="00650FA7"/>
    <w:rsid w:val="00651A4A"/>
    <w:rsid w:val="006523CA"/>
    <w:rsid w:val="00654B16"/>
    <w:rsid w:val="00656CF2"/>
    <w:rsid w:val="00661DDA"/>
    <w:rsid w:val="00663BDD"/>
    <w:rsid w:val="00664881"/>
    <w:rsid w:val="00666DC9"/>
    <w:rsid w:val="00667A59"/>
    <w:rsid w:val="00670F1B"/>
    <w:rsid w:val="00672AD8"/>
    <w:rsid w:val="006734F1"/>
    <w:rsid w:val="00685A67"/>
    <w:rsid w:val="006872A6"/>
    <w:rsid w:val="006B2290"/>
    <w:rsid w:val="006B613D"/>
    <w:rsid w:val="006B6539"/>
    <w:rsid w:val="006C1E30"/>
    <w:rsid w:val="006C4619"/>
    <w:rsid w:val="006D0CDA"/>
    <w:rsid w:val="006D39B2"/>
    <w:rsid w:val="006D4BB4"/>
    <w:rsid w:val="006D523F"/>
    <w:rsid w:val="006D786D"/>
    <w:rsid w:val="006E0B79"/>
    <w:rsid w:val="006E2D02"/>
    <w:rsid w:val="006F1248"/>
    <w:rsid w:val="006F44EB"/>
    <w:rsid w:val="006F577C"/>
    <w:rsid w:val="006F697C"/>
    <w:rsid w:val="00700666"/>
    <w:rsid w:val="00701740"/>
    <w:rsid w:val="0070237F"/>
    <w:rsid w:val="00702C1D"/>
    <w:rsid w:val="00704C72"/>
    <w:rsid w:val="007054A4"/>
    <w:rsid w:val="007056F6"/>
    <w:rsid w:val="00706C60"/>
    <w:rsid w:val="007173FE"/>
    <w:rsid w:val="00723159"/>
    <w:rsid w:val="007331E1"/>
    <w:rsid w:val="007339E6"/>
    <w:rsid w:val="00745CC4"/>
    <w:rsid w:val="00747B5B"/>
    <w:rsid w:val="00750E69"/>
    <w:rsid w:val="00755095"/>
    <w:rsid w:val="00755C6A"/>
    <w:rsid w:val="007562FE"/>
    <w:rsid w:val="00771DB0"/>
    <w:rsid w:val="00772160"/>
    <w:rsid w:val="00773ACF"/>
    <w:rsid w:val="00774523"/>
    <w:rsid w:val="00774C39"/>
    <w:rsid w:val="0078143A"/>
    <w:rsid w:val="00783CDC"/>
    <w:rsid w:val="007878B9"/>
    <w:rsid w:val="00792CFD"/>
    <w:rsid w:val="00795D1C"/>
    <w:rsid w:val="007A5127"/>
    <w:rsid w:val="007A51E4"/>
    <w:rsid w:val="007B107B"/>
    <w:rsid w:val="007B21D4"/>
    <w:rsid w:val="007B3ED7"/>
    <w:rsid w:val="007C4AF5"/>
    <w:rsid w:val="007D23AB"/>
    <w:rsid w:val="007D2437"/>
    <w:rsid w:val="007D3A6F"/>
    <w:rsid w:val="007E5A13"/>
    <w:rsid w:val="007E73CF"/>
    <w:rsid w:val="007F2DB8"/>
    <w:rsid w:val="008026D7"/>
    <w:rsid w:val="00802AB9"/>
    <w:rsid w:val="00802CDF"/>
    <w:rsid w:val="008106B0"/>
    <w:rsid w:val="00817AF0"/>
    <w:rsid w:val="00820517"/>
    <w:rsid w:val="00820C2D"/>
    <w:rsid w:val="008219A9"/>
    <w:rsid w:val="008346AF"/>
    <w:rsid w:val="00834717"/>
    <w:rsid w:val="00835DA8"/>
    <w:rsid w:val="008433A9"/>
    <w:rsid w:val="00844565"/>
    <w:rsid w:val="00845FA2"/>
    <w:rsid w:val="0085261F"/>
    <w:rsid w:val="00852ABB"/>
    <w:rsid w:val="00854820"/>
    <w:rsid w:val="00855721"/>
    <w:rsid w:val="0085574F"/>
    <w:rsid w:val="00863FA3"/>
    <w:rsid w:val="00864ACF"/>
    <w:rsid w:val="00867EBE"/>
    <w:rsid w:val="00870FB3"/>
    <w:rsid w:val="008779EA"/>
    <w:rsid w:val="008806EC"/>
    <w:rsid w:val="00881F64"/>
    <w:rsid w:val="00886AE2"/>
    <w:rsid w:val="00887257"/>
    <w:rsid w:val="0089034F"/>
    <w:rsid w:val="008921B4"/>
    <w:rsid w:val="00893E7F"/>
    <w:rsid w:val="008A1329"/>
    <w:rsid w:val="008B6DEF"/>
    <w:rsid w:val="008B7675"/>
    <w:rsid w:val="008C25DC"/>
    <w:rsid w:val="008C4640"/>
    <w:rsid w:val="008C6BA9"/>
    <w:rsid w:val="008D2467"/>
    <w:rsid w:val="008D30FC"/>
    <w:rsid w:val="008D4AF4"/>
    <w:rsid w:val="008D6F2E"/>
    <w:rsid w:val="008E30D0"/>
    <w:rsid w:val="008E3CF3"/>
    <w:rsid w:val="008E4DF5"/>
    <w:rsid w:val="008E7C60"/>
    <w:rsid w:val="008F1EF4"/>
    <w:rsid w:val="009043B1"/>
    <w:rsid w:val="00913B93"/>
    <w:rsid w:val="00917677"/>
    <w:rsid w:val="00923020"/>
    <w:rsid w:val="00923A0A"/>
    <w:rsid w:val="009261ED"/>
    <w:rsid w:val="00932687"/>
    <w:rsid w:val="009339EE"/>
    <w:rsid w:val="00934DBC"/>
    <w:rsid w:val="00936CB5"/>
    <w:rsid w:val="00940725"/>
    <w:rsid w:val="00941DC2"/>
    <w:rsid w:val="00941E24"/>
    <w:rsid w:val="00943F2E"/>
    <w:rsid w:val="00944413"/>
    <w:rsid w:val="00945EE8"/>
    <w:rsid w:val="00952BF5"/>
    <w:rsid w:val="00953EFC"/>
    <w:rsid w:val="00956D0A"/>
    <w:rsid w:val="009624B8"/>
    <w:rsid w:val="00964151"/>
    <w:rsid w:val="00966953"/>
    <w:rsid w:val="00967FCE"/>
    <w:rsid w:val="009712A1"/>
    <w:rsid w:val="0097677C"/>
    <w:rsid w:val="0098114E"/>
    <w:rsid w:val="00982FBF"/>
    <w:rsid w:val="00985906"/>
    <w:rsid w:val="00985B25"/>
    <w:rsid w:val="00986BAF"/>
    <w:rsid w:val="00992449"/>
    <w:rsid w:val="0099507C"/>
    <w:rsid w:val="00997702"/>
    <w:rsid w:val="009A12D3"/>
    <w:rsid w:val="009A3BF7"/>
    <w:rsid w:val="009A55F4"/>
    <w:rsid w:val="009A5972"/>
    <w:rsid w:val="009B07EA"/>
    <w:rsid w:val="009B1085"/>
    <w:rsid w:val="009B4238"/>
    <w:rsid w:val="009B4577"/>
    <w:rsid w:val="009C0F9B"/>
    <w:rsid w:val="009C7791"/>
    <w:rsid w:val="009D28FD"/>
    <w:rsid w:val="009D3A38"/>
    <w:rsid w:val="009D5ED9"/>
    <w:rsid w:val="009E04AD"/>
    <w:rsid w:val="009E0B70"/>
    <w:rsid w:val="009E2C58"/>
    <w:rsid w:val="009E7573"/>
    <w:rsid w:val="009F685F"/>
    <w:rsid w:val="009F6AED"/>
    <w:rsid w:val="00A02E71"/>
    <w:rsid w:val="00A032CD"/>
    <w:rsid w:val="00A03E6D"/>
    <w:rsid w:val="00A058A5"/>
    <w:rsid w:val="00A113B7"/>
    <w:rsid w:val="00A124C2"/>
    <w:rsid w:val="00A135AD"/>
    <w:rsid w:val="00A13A8C"/>
    <w:rsid w:val="00A327DC"/>
    <w:rsid w:val="00A33124"/>
    <w:rsid w:val="00A37100"/>
    <w:rsid w:val="00A37DFD"/>
    <w:rsid w:val="00A42AAE"/>
    <w:rsid w:val="00A50577"/>
    <w:rsid w:val="00A55325"/>
    <w:rsid w:val="00A644F4"/>
    <w:rsid w:val="00A66010"/>
    <w:rsid w:val="00A679C7"/>
    <w:rsid w:val="00A70DA4"/>
    <w:rsid w:val="00A7437B"/>
    <w:rsid w:val="00A80C10"/>
    <w:rsid w:val="00A84F15"/>
    <w:rsid w:val="00A85F4E"/>
    <w:rsid w:val="00A86882"/>
    <w:rsid w:val="00A9493A"/>
    <w:rsid w:val="00A95376"/>
    <w:rsid w:val="00A96C3B"/>
    <w:rsid w:val="00AA3894"/>
    <w:rsid w:val="00AA6CB3"/>
    <w:rsid w:val="00AB17AE"/>
    <w:rsid w:val="00AC1AA4"/>
    <w:rsid w:val="00AC3A73"/>
    <w:rsid w:val="00AD16E9"/>
    <w:rsid w:val="00AD23F8"/>
    <w:rsid w:val="00AD2BF5"/>
    <w:rsid w:val="00AD5251"/>
    <w:rsid w:val="00AE19C5"/>
    <w:rsid w:val="00AE57FC"/>
    <w:rsid w:val="00AF15C3"/>
    <w:rsid w:val="00AF2325"/>
    <w:rsid w:val="00AF3F5F"/>
    <w:rsid w:val="00AF527F"/>
    <w:rsid w:val="00B00697"/>
    <w:rsid w:val="00B00D74"/>
    <w:rsid w:val="00B02D9B"/>
    <w:rsid w:val="00B03C3B"/>
    <w:rsid w:val="00B06E69"/>
    <w:rsid w:val="00B275F9"/>
    <w:rsid w:val="00B36D4D"/>
    <w:rsid w:val="00B51A05"/>
    <w:rsid w:val="00B62DB2"/>
    <w:rsid w:val="00B644BB"/>
    <w:rsid w:val="00B64EC7"/>
    <w:rsid w:val="00B6528C"/>
    <w:rsid w:val="00B70F01"/>
    <w:rsid w:val="00B71FFA"/>
    <w:rsid w:val="00B7677A"/>
    <w:rsid w:val="00B77D82"/>
    <w:rsid w:val="00B92910"/>
    <w:rsid w:val="00B95055"/>
    <w:rsid w:val="00B95209"/>
    <w:rsid w:val="00B96F91"/>
    <w:rsid w:val="00BA017D"/>
    <w:rsid w:val="00BA121E"/>
    <w:rsid w:val="00BA3340"/>
    <w:rsid w:val="00BB3D10"/>
    <w:rsid w:val="00BB431F"/>
    <w:rsid w:val="00BC1892"/>
    <w:rsid w:val="00BC5595"/>
    <w:rsid w:val="00BC6F6D"/>
    <w:rsid w:val="00BC786F"/>
    <w:rsid w:val="00BD04BB"/>
    <w:rsid w:val="00BD6AEE"/>
    <w:rsid w:val="00BE516F"/>
    <w:rsid w:val="00BE5DC0"/>
    <w:rsid w:val="00BE6DE8"/>
    <w:rsid w:val="00BF1903"/>
    <w:rsid w:val="00BF5BF0"/>
    <w:rsid w:val="00BF5CB3"/>
    <w:rsid w:val="00BF6EDF"/>
    <w:rsid w:val="00C02BBD"/>
    <w:rsid w:val="00C03826"/>
    <w:rsid w:val="00C042C3"/>
    <w:rsid w:val="00C066DF"/>
    <w:rsid w:val="00C10C95"/>
    <w:rsid w:val="00C11F62"/>
    <w:rsid w:val="00C1691F"/>
    <w:rsid w:val="00C20FAD"/>
    <w:rsid w:val="00C22750"/>
    <w:rsid w:val="00C23330"/>
    <w:rsid w:val="00C23998"/>
    <w:rsid w:val="00C24EF5"/>
    <w:rsid w:val="00C30928"/>
    <w:rsid w:val="00C322A6"/>
    <w:rsid w:val="00C35D62"/>
    <w:rsid w:val="00C37AE2"/>
    <w:rsid w:val="00C4132A"/>
    <w:rsid w:val="00C41F8D"/>
    <w:rsid w:val="00C43265"/>
    <w:rsid w:val="00C442AB"/>
    <w:rsid w:val="00C5185B"/>
    <w:rsid w:val="00C5255B"/>
    <w:rsid w:val="00C55D8B"/>
    <w:rsid w:val="00C56848"/>
    <w:rsid w:val="00C60345"/>
    <w:rsid w:val="00C70D06"/>
    <w:rsid w:val="00C71AC5"/>
    <w:rsid w:val="00C72850"/>
    <w:rsid w:val="00C7605F"/>
    <w:rsid w:val="00C7700E"/>
    <w:rsid w:val="00C77096"/>
    <w:rsid w:val="00C824F2"/>
    <w:rsid w:val="00C927C1"/>
    <w:rsid w:val="00C97D67"/>
    <w:rsid w:val="00CA090C"/>
    <w:rsid w:val="00CA2AF3"/>
    <w:rsid w:val="00CA65EA"/>
    <w:rsid w:val="00CB7803"/>
    <w:rsid w:val="00CB7D84"/>
    <w:rsid w:val="00CC2240"/>
    <w:rsid w:val="00CC2A5D"/>
    <w:rsid w:val="00CC3911"/>
    <w:rsid w:val="00CC3974"/>
    <w:rsid w:val="00CC443B"/>
    <w:rsid w:val="00CC76BD"/>
    <w:rsid w:val="00CD6C00"/>
    <w:rsid w:val="00CE0E02"/>
    <w:rsid w:val="00CE1586"/>
    <w:rsid w:val="00CE454E"/>
    <w:rsid w:val="00CE4606"/>
    <w:rsid w:val="00CE6CE9"/>
    <w:rsid w:val="00CF09C6"/>
    <w:rsid w:val="00CF3EEE"/>
    <w:rsid w:val="00CF52B8"/>
    <w:rsid w:val="00D00C7B"/>
    <w:rsid w:val="00D072A8"/>
    <w:rsid w:val="00D12F9E"/>
    <w:rsid w:val="00D13EDC"/>
    <w:rsid w:val="00D15C81"/>
    <w:rsid w:val="00D1674F"/>
    <w:rsid w:val="00D17E59"/>
    <w:rsid w:val="00D20811"/>
    <w:rsid w:val="00D307C0"/>
    <w:rsid w:val="00D36EEB"/>
    <w:rsid w:val="00D44D6B"/>
    <w:rsid w:val="00D52517"/>
    <w:rsid w:val="00D54FB5"/>
    <w:rsid w:val="00D550C5"/>
    <w:rsid w:val="00D72C43"/>
    <w:rsid w:val="00D74125"/>
    <w:rsid w:val="00D7549C"/>
    <w:rsid w:val="00D77406"/>
    <w:rsid w:val="00D85F94"/>
    <w:rsid w:val="00D87413"/>
    <w:rsid w:val="00D87A72"/>
    <w:rsid w:val="00D90519"/>
    <w:rsid w:val="00D93488"/>
    <w:rsid w:val="00D952AB"/>
    <w:rsid w:val="00D95BF1"/>
    <w:rsid w:val="00DA4D28"/>
    <w:rsid w:val="00DA544B"/>
    <w:rsid w:val="00DA7114"/>
    <w:rsid w:val="00DA7B03"/>
    <w:rsid w:val="00DB01C3"/>
    <w:rsid w:val="00DB573F"/>
    <w:rsid w:val="00DB64B1"/>
    <w:rsid w:val="00DC26BE"/>
    <w:rsid w:val="00DC2F5A"/>
    <w:rsid w:val="00DC3E6D"/>
    <w:rsid w:val="00DC5519"/>
    <w:rsid w:val="00DC5B3B"/>
    <w:rsid w:val="00DD2CCC"/>
    <w:rsid w:val="00DD2CE3"/>
    <w:rsid w:val="00DE02CD"/>
    <w:rsid w:val="00DE12DF"/>
    <w:rsid w:val="00DE326D"/>
    <w:rsid w:val="00DE42B7"/>
    <w:rsid w:val="00DE646E"/>
    <w:rsid w:val="00DF5193"/>
    <w:rsid w:val="00DF6C80"/>
    <w:rsid w:val="00E02482"/>
    <w:rsid w:val="00E03434"/>
    <w:rsid w:val="00E07C68"/>
    <w:rsid w:val="00E10622"/>
    <w:rsid w:val="00E13598"/>
    <w:rsid w:val="00E215BB"/>
    <w:rsid w:val="00E2775C"/>
    <w:rsid w:val="00E31AE4"/>
    <w:rsid w:val="00E32852"/>
    <w:rsid w:val="00E330B6"/>
    <w:rsid w:val="00E36308"/>
    <w:rsid w:val="00E41732"/>
    <w:rsid w:val="00E424BA"/>
    <w:rsid w:val="00E46E9B"/>
    <w:rsid w:val="00E47088"/>
    <w:rsid w:val="00E52DF8"/>
    <w:rsid w:val="00E53BBC"/>
    <w:rsid w:val="00E556F1"/>
    <w:rsid w:val="00E57496"/>
    <w:rsid w:val="00E60E14"/>
    <w:rsid w:val="00E67A99"/>
    <w:rsid w:val="00E751DA"/>
    <w:rsid w:val="00E81297"/>
    <w:rsid w:val="00E84B40"/>
    <w:rsid w:val="00E92099"/>
    <w:rsid w:val="00E93AA2"/>
    <w:rsid w:val="00E96EFF"/>
    <w:rsid w:val="00EA681A"/>
    <w:rsid w:val="00EA7D50"/>
    <w:rsid w:val="00EA7F09"/>
    <w:rsid w:val="00EB088C"/>
    <w:rsid w:val="00EB2167"/>
    <w:rsid w:val="00EB36D8"/>
    <w:rsid w:val="00EB6501"/>
    <w:rsid w:val="00EB6530"/>
    <w:rsid w:val="00EC13D6"/>
    <w:rsid w:val="00EC4054"/>
    <w:rsid w:val="00EC791C"/>
    <w:rsid w:val="00EC7B8B"/>
    <w:rsid w:val="00ED2C64"/>
    <w:rsid w:val="00EE259D"/>
    <w:rsid w:val="00EE427C"/>
    <w:rsid w:val="00EF2D9A"/>
    <w:rsid w:val="00EF4A09"/>
    <w:rsid w:val="00F00239"/>
    <w:rsid w:val="00F03EE4"/>
    <w:rsid w:val="00F046D3"/>
    <w:rsid w:val="00F0641F"/>
    <w:rsid w:val="00F07965"/>
    <w:rsid w:val="00F12771"/>
    <w:rsid w:val="00F12ECF"/>
    <w:rsid w:val="00F15ED8"/>
    <w:rsid w:val="00F170C4"/>
    <w:rsid w:val="00F21467"/>
    <w:rsid w:val="00F33610"/>
    <w:rsid w:val="00F36D3F"/>
    <w:rsid w:val="00F36F93"/>
    <w:rsid w:val="00F4354C"/>
    <w:rsid w:val="00F467D9"/>
    <w:rsid w:val="00F4693A"/>
    <w:rsid w:val="00F46BBC"/>
    <w:rsid w:val="00F52994"/>
    <w:rsid w:val="00F5299C"/>
    <w:rsid w:val="00F571B7"/>
    <w:rsid w:val="00F574DE"/>
    <w:rsid w:val="00F62108"/>
    <w:rsid w:val="00F648E9"/>
    <w:rsid w:val="00F7028D"/>
    <w:rsid w:val="00F71B4A"/>
    <w:rsid w:val="00F80527"/>
    <w:rsid w:val="00F8320C"/>
    <w:rsid w:val="00F84F8D"/>
    <w:rsid w:val="00F92667"/>
    <w:rsid w:val="00FA3E56"/>
    <w:rsid w:val="00FA4688"/>
    <w:rsid w:val="00FA5279"/>
    <w:rsid w:val="00FB0870"/>
    <w:rsid w:val="00FB4660"/>
    <w:rsid w:val="00FC003B"/>
    <w:rsid w:val="00FC3273"/>
    <w:rsid w:val="00FC7ACC"/>
    <w:rsid w:val="00FD1ACB"/>
    <w:rsid w:val="00FD5672"/>
    <w:rsid w:val="00FE3C0F"/>
    <w:rsid w:val="00FE665A"/>
    <w:rsid w:val="00FE7CF4"/>
    <w:rsid w:val="00FF00DC"/>
    <w:rsid w:val="00FF5D57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34ED8"/>
  <w15:docId w15:val="{A9F6F064-2F27-4A90-86EA-2E985F06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DC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40D8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0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020"/>
    <w:rPr>
      <w:sz w:val="18"/>
      <w:szCs w:val="18"/>
    </w:rPr>
  </w:style>
  <w:style w:type="paragraph" w:styleId="a7">
    <w:name w:val="Revision"/>
    <w:hidden/>
    <w:uiPriority w:val="99"/>
    <w:semiHidden/>
    <w:rsid w:val="00A679C7"/>
  </w:style>
  <w:style w:type="paragraph" w:customStyle="1" w:styleId="EndNoteBibliographyTitle">
    <w:name w:val="EndNote Bibliography Title"/>
    <w:basedOn w:val="a"/>
    <w:link w:val="EndNoteBibliographyTitleChar"/>
    <w:rsid w:val="00934DB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34DB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934DBC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34DBC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435E72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13137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3137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131377"/>
  </w:style>
  <w:style w:type="paragraph" w:styleId="ac">
    <w:name w:val="annotation subject"/>
    <w:basedOn w:val="aa"/>
    <w:next w:val="aa"/>
    <w:link w:val="ad"/>
    <w:uiPriority w:val="99"/>
    <w:semiHidden/>
    <w:unhideWhenUsed/>
    <w:rsid w:val="0013137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3137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D23F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D23F8"/>
    <w:rPr>
      <w:sz w:val="18"/>
      <w:szCs w:val="18"/>
    </w:rPr>
  </w:style>
  <w:style w:type="character" w:customStyle="1" w:styleId="fontstyle01">
    <w:name w:val="fontstyle01"/>
    <w:basedOn w:val="a0"/>
    <w:rsid w:val="00F71B4A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0">
    <w:name w:val="标题 1 字符"/>
    <w:basedOn w:val="a0"/>
    <w:link w:val="1"/>
    <w:uiPriority w:val="9"/>
    <w:rsid w:val="00240D8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7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32C8-E0E1-48C7-9F0A-9123AC62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7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 Mardan</dc:creator>
  <cp:keywords/>
  <dc:description/>
  <cp:lastModifiedBy>Mansur Mardan</cp:lastModifiedBy>
  <cp:revision>60</cp:revision>
  <dcterms:created xsi:type="dcterms:W3CDTF">2026-02-11T07:28:00Z</dcterms:created>
  <dcterms:modified xsi:type="dcterms:W3CDTF">2026-04-06T22:51:00Z</dcterms:modified>
</cp:coreProperties>
</file>