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Online Resource</w:t>
      </w:r>
    </w:p>
    <w:p>
      <w:pPr>
        <w:spacing w:after="120"/>
      </w:pPr>
      <w:r>
        <w:rPr>
          <w:rFonts w:ascii="Times New Roman" w:cs="Times New Roman" w:eastAsia="Times New Roman" w:hAnsi="Times New Roman"/>
          <w:b/>
          <w:bCs/>
          <w:sz w:val="20"/>
          <w:szCs w:val="20"/>
        </w:rPr>
        <w:t xml:space="preserve">Table S1 </w:t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Demographic, clinical, and neuropsychological characteristics of subjects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dxa" w:w="4000"/>
            <w:tcBorders>
              <w:top w:val="single" w:color="000000" w:sz="1"/>
              <w:left w:val="none" w:sz="0"/>
              <w:bottom w:val="single" w:color="000000" w:sz="1"/>
              <w:right w:val="none" w:sz="0"/>
            </w:tcBorders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Characteristic</w:t>
            </w:r>
          </w:p>
        </w:tc>
        <w:tc>
          <w:tcPr>
            <w:tcW w:type="dxa" w:w="2000"/>
            <w:tcBorders>
              <w:top w:val="single" w:color="000000" w:sz="1"/>
              <w:left w:val="none" w:sz="0"/>
              <w:bottom w:val="single" w:color="000000" w:sz="1"/>
              <w:right w:val="none" w:sz="0"/>
            </w:tcBorders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RRMS (n=52)</w:t>
            </w:r>
          </w:p>
        </w:tc>
        <w:tc>
          <w:tcPr>
            <w:tcW w:type="dxa" w:w="2000"/>
            <w:tcBorders>
              <w:top w:val="single" w:color="000000" w:sz="1"/>
              <w:left w:val="none" w:sz="0"/>
              <w:bottom w:val="single" w:color="000000" w:sz="1"/>
              <w:right w:val="none" w:sz="0"/>
            </w:tcBorders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HC (n=44)</w:t>
            </w:r>
          </w:p>
        </w:tc>
        <w:tc>
          <w:tcPr>
            <w:tcW w:type="dxa" w:w="2000"/>
            <w:tcBorders>
              <w:top w:val="single" w:color="000000" w:sz="1"/>
              <w:left w:val="none" w:sz="0"/>
              <w:bottom w:val="single" w:color="000000" w:sz="1"/>
              <w:right w:val="none" w:sz="0"/>
            </w:tcBorders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p-value</w:t>
            </w:r>
          </w:p>
        </w:tc>
      </w:tr>
      <w:tr>
        <w:tc>
          <w:tcPr>
            <w:tcBorders>
              <w:top w:val="none" w:sz="0"/>
              <w:left w:val="none" w:sz="0"/>
              <w:bottom w:val="none" w:sz="0"/>
              <w:right w:val="none" w:sz="0"/>
            </w:tcBorders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Age (years), mean ± SD</w:t>
            </w:r>
          </w:p>
        </w:tc>
        <w:tc>
          <w:tcPr>
            <w:tcBorders>
              <w:top w:val="none" w:sz="0"/>
              <w:left w:val="none" w:sz="0"/>
              <w:bottom w:val="none" w:sz="0"/>
              <w:right w:val="none" w:sz="0"/>
            </w:tcBorders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39.7 ± 9.8</w:t>
            </w:r>
          </w:p>
        </w:tc>
        <w:tc>
          <w:tcPr>
            <w:tcBorders>
              <w:top w:val="none" w:sz="0"/>
              <w:left w:val="none" w:sz="0"/>
              <w:bottom w:val="none" w:sz="0"/>
              <w:right w:val="none" w:sz="0"/>
            </w:tcBorders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40.3 ± 9.5</w:t>
            </w:r>
          </w:p>
        </w:tc>
        <w:tc>
          <w:tcPr>
            <w:tcBorders>
              <w:top w:val="none" w:sz="0"/>
              <w:left w:val="none" w:sz="0"/>
              <w:bottom w:val="none" w:sz="0"/>
              <w:right w:val="none" w:sz="0"/>
            </w:tcBorders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0.736</w:t>
            </w:r>
          </w:p>
        </w:tc>
      </w:tr>
      <w:tr>
        <w:tc>
          <w:tcPr>
            <w:tcBorders>
              <w:top w:val="none" w:sz="0"/>
              <w:left w:val="none" w:sz="0"/>
              <w:bottom w:val="none" w:sz="0"/>
              <w:right w:val="none" w:sz="0"/>
            </w:tcBorders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Female sex, n (%)</w:t>
            </w:r>
          </w:p>
        </w:tc>
        <w:tc>
          <w:tcPr>
            <w:tcBorders>
              <w:top w:val="none" w:sz="0"/>
              <w:left w:val="none" w:sz="0"/>
              <w:bottom w:val="none" w:sz="0"/>
              <w:right w:val="none" w:sz="0"/>
            </w:tcBorders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42 (80.8%)</w:t>
            </w:r>
          </w:p>
        </w:tc>
        <w:tc>
          <w:tcPr>
            <w:tcBorders>
              <w:top w:val="none" w:sz="0"/>
              <w:left w:val="none" w:sz="0"/>
              <w:bottom w:val="none" w:sz="0"/>
              <w:right w:val="none" w:sz="0"/>
            </w:tcBorders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36 (81.8%)</w:t>
            </w:r>
          </w:p>
        </w:tc>
        <w:tc>
          <w:tcPr>
            <w:tcBorders>
              <w:top w:val="none" w:sz="0"/>
              <w:left w:val="none" w:sz="0"/>
              <w:bottom w:val="none" w:sz="0"/>
              <w:right w:val="none" w:sz="0"/>
            </w:tcBorders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1.000</w:t>
            </w:r>
          </w:p>
        </w:tc>
      </w:tr>
      <w:tr>
        <w:tc>
          <w:tcPr>
            <w:tcBorders>
              <w:top w:val="none" w:sz="0"/>
              <w:left w:val="none" w:sz="0"/>
              <w:bottom w:val="none" w:sz="0"/>
              <w:right w:val="none" w:sz="0"/>
            </w:tcBorders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Education (years), median [IQR]</w:t>
            </w:r>
          </w:p>
        </w:tc>
        <w:tc>
          <w:tcPr>
            <w:tcBorders>
              <w:top w:val="none" w:sz="0"/>
              <w:left w:val="none" w:sz="0"/>
              <w:bottom w:val="none" w:sz="0"/>
              <w:right w:val="none" w:sz="0"/>
            </w:tcBorders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16 [12–17]</w:t>
            </w:r>
          </w:p>
        </w:tc>
        <w:tc>
          <w:tcPr>
            <w:tcBorders>
              <w:top w:val="none" w:sz="0"/>
              <w:left w:val="none" w:sz="0"/>
              <w:bottom w:val="none" w:sz="0"/>
              <w:right w:val="none" w:sz="0"/>
            </w:tcBorders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12 [12–16]</w:t>
            </w:r>
          </w:p>
        </w:tc>
        <w:tc>
          <w:tcPr>
            <w:tcBorders>
              <w:top w:val="none" w:sz="0"/>
              <w:left w:val="none" w:sz="0"/>
              <w:bottom w:val="none" w:sz="0"/>
              <w:right w:val="none" w:sz="0"/>
            </w:tcBorders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0.006</w:t>
            </w:r>
          </w:p>
        </w:tc>
      </w:tr>
      <w:tr>
        <w:tc>
          <w:tcPr>
            <w:tcBorders>
              <w:top w:val="none" w:sz="0"/>
              <w:left w:val="none" w:sz="0"/>
              <w:bottom w:val="none" w:sz="0"/>
              <w:right w:val="none" w:sz="0"/>
            </w:tcBorders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Disease duration (yrs), median [IQR]†</w:t>
            </w:r>
          </w:p>
        </w:tc>
        <w:tc>
          <w:tcPr>
            <w:tcBorders>
              <w:top w:val="none" w:sz="0"/>
              <w:left w:val="none" w:sz="0"/>
              <w:bottom w:val="none" w:sz="0"/>
              <w:right w:val="none" w:sz="0"/>
            </w:tcBorders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5.0 [3.8–10.2]</w:t>
            </w:r>
          </w:p>
        </w:tc>
        <w:tc>
          <w:tcPr>
            <w:tcBorders>
              <w:top w:val="none" w:sz="0"/>
              <w:left w:val="none" w:sz="0"/>
              <w:bottom w:val="none" w:sz="0"/>
              <w:right w:val="none" w:sz="0"/>
            </w:tcBorders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—</w:t>
            </w:r>
          </w:p>
        </w:tc>
        <w:tc>
          <w:tcPr>
            <w:tcBorders>
              <w:top w:val="none" w:sz="0"/>
              <w:left w:val="none" w:sz="0"/>
              <w:bottom w:val="none" w:sz="0"/>
              <w:right w:val="none" w:sz="0"/>
            </w:tcBorders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—</w:t>
            </w:r>
          </w:p>
        </w:tc>
      </w:tr>
      <w:tr>
        <w:tc>
          <w:tcPr>
            <w:tcBorders>
              <w:top w:val="none" w:sz="0"/>
              <w:left w:val="none" w:sz="0"/>
              <w:bottom w:val="none" w:sz="0"/>
              <w:right w:val="none" w:sz="0"/>
            </w:tcBorders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EDSS, median [range]</w:t>
            </w:r>
          </w:p>
        </w:tc>
        <w:tc>
          <w:tcPr>
            <w:tcBorders>
              <w:top w:val="none" w:sz="0"/>
              <w:left w:val="none" w:sz="0"/>
              <w:bottom w:val="none" w:sz="0"/>
              <w:right w:val="none" w:sz="0"/>
            </w:tcBorders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2.0 [0.0–3.0]</w:t>
            </w:r>
          </w:p>
        </w:tc>
        <w:tc>
          <w:tcPr>
            <w:tcBorders>
              <w:top w:val="none" w:sz="0"/>
              <w:left w:val="none" w:sz="0"/>
              <w:bottom w:val="none" w:sz="0"/>
              <w:right w:val="none" w:sz="0"/>
            </w:tcBorders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—</w:t>
            </w:r>
          </w:p>
        </w:tc>
        <w:tc>
          <w:tcPr>
            <w:tcBorders>
              <w:top w:val="none" w:sz="0"/>
              <w:left w:val="none" w:sz="0"/>
              <w:bottom w:val="none" w:sz="0"/>
              <w:right w:val="none" w:sz="0"/>
            </w:tcBorders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—</w:t>
            </w:r>
          </w:p>
        </w:tc>
      </w:tr>
      <w:tr>
        <w:tc>
          <w:tcPr>
            <w:tcBorders>
              <w:top w:val="none" w:sz="0"/>
              <w:left w:val="none" w:sz="0"/>
              <w:bottom w:val="none" w:sz="0"/>
              <w:right w:val="none" w:sz="0"/>
            </w:tcBorders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IFN-β therapy, n (%)</w:t>
            </w:r>
          </w:p>
        </w:tc>
        <w:tc>
          <w:tcPr>
            <w:tcBorders>
              <w:top w:val="none" w:sz="0"/>
              <w:left w:val="none" w:sz="0"/>
              <w:bottom w:val="none" w:sz="0"/>
              <w:right w:val="none" w:sz="0"/>
            </w:tcBorders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52 (100%)</w:t>
            </w:r>
          </w:p>
        </w:tc>
        <w:tc>
          <w:tcPr>
            <w:tcBorders>
              <w:top w:val="none" w:sz="0"/>
              <w:left w:val="none" w:sz="0"/>
              <w:bottom w:val="none" w:sz="0"/>
              <w:right w:val="none" w:sz="0"/>
            </w:tcBorders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—</w:t>
            </w:r>
          </w:p>
        </w:tc>
        <w:tc>
          <w:tcPr>
            <w:tcBorders>
              <w:top w:val="none" w:sz="0"/>
              <w:left w:val="none" w:sz="0"/>
              <w:bottom w:val="none" w:sz="0"/>
              <w:right w:val="none" w:sz="0"/>
            </w:tcBorders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—</w:t>
            </w:r>
          </w:p>
        </w:tc>
      </w:tr>
      <w:tr>
        <w:tc>
          <w:tcPr>
            <w:tcBorders>
              <w:top w:val="none" w:sz="0"/>
              <w:left w:val="none" w:sz="0"/>
              <w:bottom w:val="none" w:sz="0"/>
              <w:right w:val="none" w:sz="0"/>
            </w:tcBorders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SDMT below benchmark (≤ 56), n (%)</w:t>
            </w:r>
          </w:p>
        </w:tc>
        <w:tc>
          <w:tcPr>
            <w:tcBorders>
              <w:top w:val="none" w:sz="0"/>
              <w:left w:val="none" w:sz="0"/>
              <w:bottom w:val="none" w:sz="0"/>
              <w:right w:val="none" w:sz="0"/>
            </w:tcBorders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38 (73.1%)</w:t>
            </w:r>
          </w:p>
        </w:tc>
        <w:tc>
          <w:tcPr>
            <w:tcBorders>
              <w:top w:val="none" w:sz="0"/>
              <w:left w:val="none" w:sz="0"/>
              <w:bottom w:val="none" w:sz="0"/>
              <w:right w:val="none" w:sz="0"/>
            </w:tcBorders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—</w:t>
            </w:r>
          </w:p>
        </w:tc>
        <w:tc>
          <w:tcPr>
            <w:tcBorders>
              <w:top w:val="none" w:sz="0"/>
              <w:left w:val="none" w:sz="0"/>
              <w:bottom w:val="none" w:sz="0"/>
              <w:right w:val="none" w:sz="0"/>
            </w:tcBorders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—</w:t>
            </w:r>
          </w:p>
        </w:tc>
      </w:tr>
      <w:tr>
        <w:tc>
          <w:tcPr>
            <w:tcBorders>
              <w:top w:val="none" w:sz="0"/>
              <w:left w:val="none" w:sz="0"/>
              <w:bottom w:val="none" w:sz="0"/>
              <w:right w:val="none" w:sz="0"/>
            </w:tcBorders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RAVLT impairment (z ≤ −1.5), n (%)</w:t>
            </w:r>
          </w:p>
        </w:tc>
        <w:tc>
          <w:tcPr>
            <w:tcBorders>
              <w:top w:val="none" w:sz="0"/>
              <w:left w:val="none" w:sz="0"/>
              <w:bottom w:val="none" w:sz="0"/>
              <w:right w:val="none" w:sz="0"/>
            </w:tcBorders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14 (26.9%)</w:t>
            </w:r>
          </w:p>
        </w:tc>
        <w:tc>
          <w:tcPr>
            <w:tcBorders>
              <w:top w:val="none" w:sz="0"/>
              <w:left w:val="none" w:sz="0"/>
              <w:bottom w:val="none" w:sz="0"/>
              <w:right w:val="none" w:sz="0"/>
            </w:tcBorders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—</w:t>
            </w:r>
          </w:p>
        </w:tc>
        <w:tc>
          <w:tcPr>
            <w:tcBorders>
              <w:top w:val="none" w:sz="0"/>
              <w:left w:val="none" w:sz="0"/>
              <w:bottom w:val="none" w:sz="0"/>
              <w:right w:val="none" w:sz="0"/>
            </w:tcBorders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—</w:t>
            </w:r>
          </w:p>
        </w:tc>
      </w:tr>
      <w:tr>
        <w:tc>
          <w:tcPr>
            <w:tcBorders>
              <w:top w:val="none" w:sz="0"/>
              <w:left w:val="none" w:sz="0"/>
              <w:bottom w:val="none" w:sz="0"/>
              <w:right w:val="none" w:sz="0"/>
            </w:tcBorders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MoCA, mean ± SD</w:t>
            </w:r>
          </w:p>
        </w:tc>
        <w:tc>
          <w:tcPr>
            <w:tcBorders>
              <w:top w:val="none" w:sz="0"/>
              <w:left w:val="none" w:sz="0"/>
              <w:bottom w:val="none" w:sz="0"/>
              <w:right w:val="none" w:sz="0"/>
            </w:tcBorders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26.9 ± 2.3</w:t>
            </w:r>
          </w:p>
        </w:tc>
        <w:tc>
          <w:tcPr>
            <w:tcBorders>
              <w:top w:val="none" w:sz="0"/>
              <w:left w:val="none" w:sz="0"/>
              <w:bottom w:val="none" w:sz="0"/>
              <w:right w:val="none" w:sz="0"/>
            </w:tcBorders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—</w:t>
            </w:r>
          </w:p>
        </w:tc>
        <w:tc>
          <w:tcPr>
            <w:tcBorders>
              <w:top w:val="none" w:sz="0"/>
              <w:left w:val="none" w:sz="0"/>
              <w:bottom w:val="none" w:sz="0"/>
              <w:right w:val="none" w:sz="0"/>
            </w:tcBorders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—</w:t>
            </w:r>
          </w:p>
        </w:tc>
      </w:tr>
      <w:tr>
        <w:tc>
          <w:tcPr>
            <w:tcBorders>
              <w:top w:val="none" w:sz="0"/>
              <w:left w:val="none" w:sz="0"/>
              <w:bottom w:val="none" w:sz="0"/>
              <w:right w:val="none" w:sz="0"/>
            </w:tcBorders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FIS total, mean ± SD</w:t>
            </w:r>
          </w:p>
        </w:tc>
        <w:tc>
          <w:tcPr>
            <w:tcBorders>
              <w:top w:val="none" w:sz="0"/>
              <w:left w:val="none" w:sz="0"/>
              <w:bottom w:val="none" w:sz="0"/>
              <w:right w:val="none" w:sz="0"/>
            </w:tcBorders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29.3 ± 30.2</w:t>
            </w:r>
          </w:p>
        </w:tc>
        <w:tc>
          <w:tcPr>
            <w:tcBorders>
              <w:top w:val="none" w:sz="0"/>
              <w:left w:val="none" w:sz="0"/>
              <w:bottom w:val="none" w:sz="0"/>
              <w:right w:val="none" w:sz="0"/>
            </w:tcBorders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—</w:t>
            </w:r>
          </w:p>
        </w:tc>
        <w:tc>
          <w:tcPr>
            <w:tcBorders>
              <w:top w:val="none" w:sz="0"/>
              <w:left w:val="none" w:sz="0"/>
              <w:bottom w:val="none" w:sz="0"/>
              <w:right w:val="none" w:sz="0"/>
            </w:tcBorders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—</w:t>
            </w:r>
          </w:p>
        </w:tc>
      </w:tr>
      <w:tr>
        <w:tc>
          <w:tcPr>
            <w:tcBorders>
              <w:top w:val="none" w:sz="0"/>
              <w:left w:val="none" w:sz="0"/>
              <w:bottom w:val="none" w:sz="0"/>
              <w:right w:val="none" w:sz="0"/>
            </w:tcBorders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DASS-21 total, mean ± SD</w:t>
            </w:r>
          </w:p>
        </w:tc>
        <w:tc>
          <w:tcPr>
            <w:tcBorders>
              <w:top w:val="none" w:sz="0"/>
              <w:left w:val="none" w:sz="0"/>
              <w:bottom w:val="none" w:sz="0"/>
              <w:right w:val="none" w:sz="0"/>
            </w:tcBorders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11.9 ± 9.8</w:t>
            </w:r>
          </w:p>
        </w:tc>
        <w:tc>
          <w:tcPr>
            <w:tcBorders>
              <w:top w:val="none" w:sz="0"/>
              <w:left w:val="none" w:sz="0"/>
              <w:bottom w:val="none" w:sz="0"/>
              <w:right w:val="none" w:sz="0"/>
            </w:tcBorders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—</w:t>
            </w:r>
          </w:p>
        </w:tc>
        <w:tc>
          <w:tcPr>
            <w:tcBorders>
              <w:top w:val="none" w:sz="0"/>
              <w:left w:val="none" w:sz="0"/>
              <w:bottom w:val="none" w:sz="0"/>
              <w:right w:val="none" w:sz="0"/>
            </w:tcBorders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—</w:t>
            </w:r>
          </w:p>
        </w:tc>
      </w:tr>
      <w:tr>
        <w:tc>
          <w:tcPr>
            <w:tcBorders>
              <w:top w:val="none" w:sz="0"/>
              <w:left w:val="none" w:sz="0"/>
              <w:bottom w:val="single" w:color="000000" w:sz="1"/>
              <w:right w:val="none" w:sz="0"/>
            </w:tcBorders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MSFC composite, mean ± SD</w:t>
            </w:r>
          </w:p>
        </w:tc>
        <w:tc>
          <w:tcPr>
            <w:tcBorders>
              <w:top w:val="none" w:sz="0"/>
              <w:left w:val="none" w:sz="0"/>
              <w:bottom w:val="single" w:color="000000" w:sz="1"/>
              <w:right w:val="none" w:sz="0"/>
            </w:tcBorders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0.447 ± 0.277</w:t>
            </w:r>
          </w:p>
        </w:tc>
        <w:tc>
          <w:tcPr>
            <w:tcBorders>
              <w:top w:val="none" w:sz="0"/>
              <w:left w:val="none" w:sz="0"/>
              <w:bottom w:val="single" w:color="000000" w:sz="1"/>
              <w:right w:val="none" w:sz="0"/>
            </w:tcBorders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—</w:t>
            </w:r>
          </w:p>
        </w:tc>
        <w:tc>
          <w:tcPr>
            <w:tcBorders>
              <w:top w:val="none" w:sz="0"/>
              <w:left w:val="none" w:sz="0"/>
              <w:bottom w:val="single" w:color="000000" w:sz="1"/>
              <w:right w:val="none" w:sz="0"/>
            </w:tcBorders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—</w:t>
            </w:r>
          </w:p>
        </w:tc>
      </w:tr>
    </w:tbl>
    <w:p>
      <w:pPr>
        <w:spacing w:before="60"/>
      </w:pPr>
      <w:r>
        <w:rPr>
          <w:rFonts w:ascii="Times New Roman" w:cs="Times New Roman" w:eastAsia="Times New Roman" w:hAnsi="Times New Roman"/>
          <w:sz w:val="18"/>
          <w:szCs w:val="18"/>
        </w:rPr>
        <w:t xml:space="preserve">†Disease duration = 2024 – year of first symptom onset. IFN-β interferon-beta, SDMT Symbol Digit Modalities Test, RAVLT Rey Auditory Verbal Learning Test, MoCA Montreal Cognitive Assessment, FIS Fatigue Impact Scale, DASS-21 Depression Anxiety Stress Scales, MSFC Multiple Sclerosis Functional Composite. Bold p-values: p &lt; 0.05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2026-04-08T06:49:26.629Z</dcterms:created>
  <dcterms:modified xsi:type="dcterms:W3CDTF">2026-04-08T06:49:26.629Z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