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E3C27" w14:textId="77777777" w:rsidR="00847382" w:rsidRPr="003D580C" w:rsidRDefault="00AC3401" w:rsidP="003D580C">
      <w:pPr>
        <w:spacing w:line="360" w:lineRule="auto"/>
        <w:rPr>
          <w:rFonts w:ascii="Arial" w:eastAsia="Times New Roman" w:hAnsi="Arial" w:cs="Arial"/>
          <w:b/>
          <w:bCs/>
          <w:kern w:val="36"/>
          <w:lang w:val="en-US" w:eastAsia="it-IT"/>
        </w:rPr>
      </w:pPr>
      <w:r w:rsidRPr="003D580C">
        <w:rPr>
          <w:rFonts w:ascii="Arial" w:eastAsia="Times New Roman" w:hAnsi="Arial" w:cs="Arial"/>
          <w:b/>
          <w:bCs/>
          <w:kern w:val="36"/>
          <w:lang w:val="en-US" w:eastAsia="it-IT"/>
        </w:rPr>
        <w:t>Supplemental Fig</w:t>
      </w:r>
      <w:r w:rsidR="00C457AB">
        <w:rPr>
          <w:rFonts w:ascii="Arial" w:eastAsia="Times New Roman" w:hAnsi="Arial" w:cs="Arial"/>
          <w:b/>
          <w:bCs/>
          <w:kern w:val="36"/>
          <w:lang w:val="en-US" w:eastAsia="it-IT"/>
        </w:rPr>
        <w:t xml:space="preserve"> 1</w:t>
      </w:r>
    </w:p>
    <w:p w14:paraId="44A65D30" w14:textId="77777777" w:rsidR="00AC3401" w:rsidRDefault="00C457AB" w:rsidP="003D580C">
      <w:pPr>
        <w:spacing w:line="360" w:lineRule="auto"/>
        <w:rPr>
          <w:rFonts w:ascii="Arial" w:eastAsia="Times New Roman" w:hAnsi="Arial" w:cs="Arial"/>
          <w:b/>
          <w:bCs/>
          <w:kern w:val="36"/>
          <w:lang w:val="en-US" w:eastAsia="it-IT"/>
        </w:rPr>
      </w:pPr>
      <w:r w:rsidRPr="00C457AB">
        <w:rPr>
          <w:rFonts w:ascii="Arial" w:eastAsia="Times New Roman" w:hAnsi="Arial" w:cs="Arial"/>
          <w:b/>
          <w:bCs/>
          <w:noProof/>
          <w:kern w:val="36"/>
          <w:lang w:val="en-US" w:eastAsia="it-IT"/>
        </w:rPr>
        <w:drawing>
          <wp:inline distT="0" distB="0" distL="0" distR="0" wp14:anchorId="3170B36D" wp14:editId="4BA03D8E">
            <wp:extent cx="6116320" cy="5677535"/>
            <wp:effectExtent l="0" t="0" r="5080" b="0"/>
            <wp:docPr id="144535243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52433" name=""/>
                    <pic:cNvPicPr/>
                  </pic:nvPicPr>
                  <pic:blipFill>
                    <a:blip r:embed="rId6"/>
                    <a:stretch>
                      <a:fillRect/>
                    </a:stretch>
                  </pic:blipFill>
                  <pic:spPr>
                    <a:xfrm>
                      <a:off x="0" y="0"/>
                      <a:ext cx="6116320" cy="5677535"/>
                    </a:xfrm>
                    <a:prstGeom prst="rect">
                      <a:avLst/>
                    </a:prstGeom>
                  </pic:spPr>
                </pic:pic>
              </a:graphicData>
            </a:graphic>
          </wp:inline>
        </w:drawing>
      </w:r>
    </w:p>
    <w:p w14:paraId="3D51DD0B" w14:textId="77777777" w:rsidR="00C457AB" w:rsidRDefault="00C457AB" w:rsidP="003D580C">
      <w:pPr>
        <w:spacing w:line="360" w:lineRule="auto"/>
        <w:rPr>
          <w:rFonts w:ascii="Arial" w:eastAsia="Times New Roman" w:hAnsi="Arial" w:cs="Arial"/>
          <w:b/>
          <w:bCs/>
          <w:kern w:val="36"/>
          <w:lang w:val="en-US" w:eastAsia="it-IT"/>
        </w:rPr>
      </w:pPr>
    </w:p>
    <w:p w14:paraId="0899CA56" w14:textId="77777777" w:rsidR="00C457AB" w:rsidRDefault="00C457AB" w:rsidP="003D580C">
      <w:pPr>
        <w:spacing w:line="360" w:lineRule="auto"/>
        <w:rPr>
          <w:rFonts w:ascii="Arial" w:eastAsia="Times New Roman" w:hAnsi="Arial" w:cs="Arial"/>
          <w:b/>
          <w:bCs/>
          <w:kern w:val="36"/>
          <w:lang w:val="en-US" w:eastAsia="it-IT"/>
        </w:rPr>
      </w:pPr>
      <w:r>
        <w:rPr>
          <w:rFonts w:ascii="Arial" w:eastAsia="Times New Roman" w:hAnsi="Arial" w:cs="Arial"/>
          <w:b/>
          <w:bCs/>
          <w:kern w:val="36"/>
          <w:lang w:val="en-US" w:eastAsia="it-IT"/>
        </w:rPr>
        <w:br w:type="page"/>
      </w:r>
    </w:p>
    <w:p w14:paraId="0EF408D5" w14:textId="77777777" w:rsidR="00C457AB" w:rsidRDefault="00C457AB" w:rsidP="00C457AB">
      <w:pPr>
        <w:spacing w:line="360" w:lineRule="auto"/>
        <w:rPr>
          <w:rFonts w:ascii="Arial" w:eastAsia="Times New Roman" w:hAnsi="Arial" w:cs="Arial"/>
          <w:b/>
          <w:bCs/>
          <w:kern w:val="36"/>
          <w:lang w:val="en-US" w:eastAsia="it-IT"/>
        </w:rPr>
      </w:pPr>
      <w:r w:rsidRPr="003D580C">
        <w:rPr>
          <w:rFonts w:ascii="Arial" w:eastAsia="Times New Roman" w:hAnsi="Arial" w:cs="Arial"/>
          <w:b/>
          <w:bCs/>
          <w:kern w:val="36"/>
          <w:lang w:val="en-US" w:eastAsia="it-IT"/>
        </w:rPr>
        <w:lastRenderedPageBreak/>
        <w:t>Supplemental Fig</w:t>
      </w:r>
      <w:r>
        <w:rPr>
          <w:rFonts w:ascii="Arial" w:eastAsia="Times New Roman" w:hAnsi="Arial" w:cs="Arial"/>
          <w:b/>
          <w:bCs/>
          <w:kern w:val="36"/>
          <w:lang w:val="en-US" w:eastAsia="it-IT"/>
        </w:rPr>
        <w:t xml:space="preserve"> 2</w:t>
      </w:r>
    </w:p>
    <w:p w14:paraId="430380B6" w14:textId="77777777" w:rsidR="00C457AB" w:rsidRDefault="00C457AB" w:rsidP="00C457AB">
      <w:pPr>
        <w:spacing w:line="360" w:lineRule="auto"/>
        <w:rPr>
          <w:rFonts w:ascii="Arial" w:eastAsia="Times New Roman" w:hAnsi="Arial" w:cs="Arial"/>
          <w:b/>
          <w:bCs/>
          <w:kern w:val="36"/>
          <w:lang w:val="en-US" w:eastAsia="it-IT"/>
        </w:rPr>
      </w:pPr>
    </w:p>
    <w:p w14:paraId="786D9BD5" w14:textId="77777777" w:rsidR="00C457AB" w:rsidRPr="003D580C" w:rsidRDefault="00C457AB" w:rsidP="00C457AB">
      <w:pPr>
        <w:spacing w:line="360" w:lineRule="auto"/>
        <w:rPr>
          <w:rFonts w:ascii="Arial" w:eastAsia="Times New Roman" w:hAnsi="Arial" w:cs="Arial"/>
          <w:b/>
          <w:bCs/>
          <w:kern w:val="36"/>
          <w:lang w:val="en-US" w:eastAsia="it-IT"/>
        </w:rPr>
      </w:pPr>
      <w:r w:rsidRPr="00C457AB">
        <w:rPr>
          <w:rFonts w:ascii="Arial" w:eastAsia="Times New Roman" w:hAnsi="Arial" w:cs="Arial"/>
          <w:b/>
          <w:bCs/>
          <w:noProof/>
          <w:kern w:val="36"/>
          <w:lang w:val="en-US" w:eastAsia="it-IT"/>
        </w:rPr>
        <w:drawing>
          <wp:inline distT="0" distB="0" distL="0" distR="0" wp14:anchorId="5D664C12" wp14:editId="3881466D">
            <wp:extent cx="5634480" cy="7997780"/>
            <wp:effectExtent l="0" t="0" r="0" b="0"/>
            <wp:docPr id="77542252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22526" name=""/>
                    <pic:cNvPicPr/>
                  </pic:nvPicPr>
                  <pic:blipFill>
                    <a:blip r:embed="rId7"/>
                    <a:stretch>
                      <a:fillRect/>
                    </a:stretch>
                  </pic:blipFill>
                  <pic:spPr>
                    <a:xfrm>
                      <a:off x="0" y="0"/>
                      <a:ext cx="5648715" cy="8017985"/>
                    </a:xfrm>
                    <a:prstGeom prst="rect">
                      <a:avLst/>
                    </a:prstGeom>
                  </pic:spPr>
                </pic:pic>
              </a:graphicData>
            </a:graphic>
          </wp:inline>
        </w:drawing>
      </w:r>
    </w:p>
    <w:p w14:paraId="200032CA" w14:textId="77777777" w:rsidR="00C457AB" w:rsidRDefault="00C457AB" w:rsidP="003D580C">
      <w:pPr>
        <w:spacing w:line="360" w:lineRule="auto"/>
        <w:rPr>
          <w:rFonts w:ascii="Arial" w:eastAsia="Times New Roman" w:hAnsi="Arial" w:cs="Arial"/>
          <w:b/>
          <w:bCs/>
          <w:kern w:val="36"/>
          <w:lang w:val="en-US" w:eastAsia="it-IT"/>
        </w:rPr>
      </w:pPr>
      <w:r>
        <w:rPr>
          <w:rFonts w:ascii="Arial" w:eastAsia="Times New Roman" w:hAnsi="Arial" w:cs="Arial"/>
          <w:b/>
          <w:bCs/>
          <w:kern w:val="36"/>
          <w:lang w:val="en-US" w:eastAsia="it-IT"/>
        </w:rPr>
        <w:br w:type="page"/>
      </w:r>
    </w:p>
    <w:p w14:paraId="42A94553" w14:textId="77777777" w:rsidR="00C457AB" w:rsidRDefault="00C457AB" w:rsidP="00C457AB">
      <w:pPr>
        <w:spacing w:line="360" w:lineRule="auto"/>
        <w:rPr>
          <w:rFonts w:ascii="Arial" w:eastAsia="Times New Roman" w:hAnsi="Arial" w:cs="Arial"/>
          <w:b/>
          <w:bCs/>
          <w:kern w:val="36"/>
          <w:lang w:val="en-US" w:eastAsia="it-IT"/>
        </w:rPr>
      </w:pPr>
      <w:r w:rsidRPr="003D580C">
        <w:rPr>
          <w:rFonts w:ascii="Arial" w:eastAsia="Times New Roman" w:hAnsi="Arial" w:cs="Arial"/>
          <w:b/>
          <w:bCs/>
          <w:kern w:val="36"/>
          <w:lang w:val="en-US" w:eastAsia="it-IT"/>
        </w:rPr>
        <w:lastRenderedPageBreak/>
        <w:t>Supplemental Fig</w:t>
      </w:r>
      <w:r>
        <w:rPr>
          <w:rFonts w:ascii="Arial" w:eastAsia="Times New Roman" w:hAnsi="Arial" w:cs="Arial"/>
          <w:b/>
          <w:bCs/>
          <w:kern w:val="36"/>
          <w:lang w:val="en-US" w:eastAsia="it-IT"/>
        </w:rPr>
        <w:t xml:space="preserve"> 3</w:t>
      </w:r>
    </w:p>
    <w:p w14:paraId="72D5681A" w14:textId="77777777" w:rsidR="00C457AB" w:rsidRDefault="005D0F33" w:rsidP="00C457AB">
      <w:pPr>
        <w:spacing w:line="360" w:lineRule="auto"/>
        <w:rPr>
          <w:rFonts w:ascii="Arial" w:eastAsia="Times New Roman" w:hAnsi="Arial" w:cs="Arial"/>
          <w:b/>
          <w:bCs/>
          <w:kern w:val="36"/>
          <w:lang w:val="en-US" w:eastAsia="it-IT"/>
        </w:rPr>
      </w:pPr>
      <w:r w:rsidRPr="005D0F33">
        <w:rPr>
          <w:rFonts w:ascii="Arial" w:eastAsia="Times New Roman" w:hAnsi="Arial" w:cs="Arial"/>
          <w:b/>
          <w:bCs/>
          <w:noProof/>
          <w:kern w:val="36"/>
          <w:lang w:val="en-US" w:eastAsia="it-IT"/>
        </w:rPr>
        <w:drawing>
          <wp:inline distT="0" distB="0" distL="0" distR="0" wp14:anchorId="52778F0D" wp14:editId="4FB7BC30">
            <wp:extent cx="6116320" cy="4409440"/>
            <wp:effectExtent l="0" t="0" r="5080" b="0"/>
            <wp:docPr id="139820845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208452" name=""/>
                    <pic:cNvPicPr/>
                  </pic:nvPicPr>
                  <pic:blipFill>
                    <a:blip r:embed="rId8"/>
                    <a:stretch>
                      <a:fillRect/>
                    </a:stretch>
                  </pic:blipFill>
                  <pic:spPr>
                    <a:xfrm>
                      <a:off x="0" y="0"/>
                      <a:ext cx="6116320" cy="4409440"/>
                    </a:xfrm>
                    <a:prstGeom prst="rect">
                      <a:avLst/>
                    </a:prstGeom>
                  </pic:spPr>
                </pic:pic>
              </a:graphicData>
            </a:graphic>
          </wp:inline>
        </w:drawing>
      </w:r>
    </w:p>
    <w:p w14:paraId="00079D51" w14:textId="77777777" w:rsidR="005D0F33" w:rsidRDefault="005D0F33" w:rsidP="00C457AB">
      <w:pPr>
        <w:spacing w:line="360" w:lineRule="auto"/>
        <w:rPr>
          <w:rFonts w:ascii="Arial" w:eastAsia="Times New Roman" w:hAnsi="Arial" w:cs="Arial"/>
          <w:b/>
          <w:bCs/>
          <w:kern w:val="36"/>
          <w:lang w:val="en-US" w:eastAsia="it-IT"/>
        </w:rPr>
      </w:pPr>
    </w:p>
    <w:p w14:paraId="3F2AE73F" w14:textId="77777777" w:rsidR="005D0F33" w:rsidRDefault="005D0F33" w:rsidP="00C457AB">
      <w:pPr>
        <w:spacing w:line="360" w:lineRule="auto"/>
        <w:rPr>
          <w:rFonts w:ascii="Arial" w:eastAsia="Times New Roman" w:hAnsi="Arial" w:cs="Arial"/>
          <w:b/>
          <w:bCs/>
          <w:kern w:val="36"/>
          <w:lang w:val="en-US" w:eastAsia="it-IT"/>
        </w:rPr>
      </w:pPr>
      <w:r>
        <w:rPr>
          <w:rFonts w:ascii="Arial" w:eastAsia="Times New Roman" w:hAnsi="Arial" w:cs="Arial"/>
          <w:b/>
          <w:bCs/>
          <w:kern w:val="36"/>
          <w:lang w:val="en-US" w:eastAsia="it-IT"/>
        </w:rPr>
        <w:br w:type="page"/>
      </w:r>
    </w:p>
    <w:p w14:paraId="6BF625EA" w14:textId="77777777" w:rsidR="005D0F33" w:rsidRDefault="005D0F33" w:rsidP="005D0F33">
      <w:pPr>
        <w:spacing w:line="360" w:lineRule="auto"/>
        <w:rPr>
          <w:rFonts w:ascii="Arial" w:eastAsia="Times New Roman" w:hAnsi="Arial" w:cs="Arial"/>
          <w:b/>
          <w:bCs/>
          <w:kern w:val="36"/>
          <w:lang w:val="en-US" w:eastAsia="it-IT"/>
        </w:rPr>
      </w:pPr>
      <w:r w:rsidRPr="003D580C">
        <w:rPr>
          <w:rFonts w:ascii="Arial" w:eastAsia="Times New Roman" w:hAnsi="Arial" w:cs="Arial"/>
          <w:b/>
          <w:bCs/>
          <w:kern w:val="36"/>
          <w:lang w:val="en-US" w:eastAsia="it-IT"/>
        </w:rPr>
        <w:lastRenderedPageBreak/>
        <w:t>Supplemental Fig</w:t>
      </w:r>
      <w:r>
        <w:rPr>
          <w:rFonts w:ascii="Arial" w:eastAsia="Times New Roman" w:hAnsi="Arial" w:cs="Arial"/>
          <w:b/>
          <w:bCs/>
          <w:kern w:val="36"/>
          <w:lang w:val="en-US" w:eastAsia="it-IT"/>
        </w:rPr>
        <w:t xml:space="preserve"> 4</w:t>
      </w:r>
    </w:p>
    <w:p w14:paraId="5D197B2A" w14:textId="77777777" w:rsidR="005D0F33" w:rsidRDefault="005D0F33" w:rsidP="00C457AB">
      <w:pPr>
        <w:spacing w:line="360" w:lineRule="auto"/>
        <w:rPr>
          <w:rFonts w:ascii="Arial" w:eastAsia="Times New Roman" w:hAnsi="Arial" w:cs="Arial"/>
          <w:b/>
          <w:bCs/>
          <w:kern w:val="36"/>
          <w:lang w:val="en-US" w:eastAsia="it-IT"/>
        </w:rPr>
      </w:pPr>
      <w:r w:rsidRPr="005D0F33">
        <w:rPr>
          <w:rFonts w:ascii="Arial" w:eastAsia="Times New Roman" w:hAnsi="Arial" w:cs="Arial"/>
          <w:b/>
          <w:bCs/>
          <w:noProof/>
          <w:kern w:val="36"/>
          <w:lang w:val="en-US" w:eastAsia="it-IT"/>
        </w:rPr>
        <w:drawing>
          <wp:inline distT="0" distB="0" distL="0" distR="0" wp14:anchorId="56BB6ECE" wp14:editId="6F96A7DB">
            <wp:extent cx="6116320" cy="5758815"/>
            <wp:effectExtent l="0" t="0" r="5080" b="0"/>
            <wp:docPr id="24643475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34753" name=""/>
                    <pic:cNvPicPr/>
                  </pic:nvPicPr>
                  <pic:blipFill>
                    <a:blip r:embed="rId9"/>
                    <a:stretch>
                      <a:fillRect/>
                    </a:stretch>
                  </pic:blipFill>
                  <pic:spPr>
                    <a:xfrm>
                      <a:off x="0" y="0"/>
                      <a:ext cx="6116320" cy="5758815"/>
                    </a:xfrm>
                    <a:prstGeom prst="rect">
                      <a:avLst/>
                    </a:prstGeom>
                  </pic:spPr>
                </pic:pic>
              </a:graphicData>
            </a:graphic>
          </wp:inline>
        </w:drawing>
      </w:r>
    </w:p>
    <w:p w14:paraId="3596EF86" w14:textId="77777777" w:rsidR="005D0F33" w:rsidRDefault="005D0F33" w:rsidP="00C457AB">
      <w:pPr>
        <w:spacing w:line="360" w:lineRule="auto"/>
        <w:rPr>
          <w:rFonts w:ascii="Arial" w:eastAsia="Times New Roman" w:hAnsi="Arial" w:cs="Arial"/>
          <w:b/>
          <w:bCs/>
          <w:kern w:val="36"/>
          <w:lang w:val="en-US" w:eastAsia="it-IT"/>
        </w:rPr>
      </w:pPr>
    </w:p>
    <w:p w14:paraId="7A6FA56B" w14:textId="77777777" w:rsidR="005D0F33" w:rsidRDefault="005D0F33" w:rsidP="00C457AB">
      <w:pPr>
        <w:spacing w:line="360" w:lineRule="auto"/>
        <w:rPr>
          <w:rFonts w:ascii="Arial" w:eastAsia="Times New Roman" w:hAnsi="Arial" w:cs="Arial"/>
          <w:b/>
          <w:bCs/>
          <w:kern w:val="36"/>
          <w:lang w:val="en-US" w:eastAsia="it-IT"/>
        </w:rPr>
      </w:pPr>
      <w:r>
        <w:rPr>
          <w:rFonts w:ascii="Arial" w:eastAsia="Times New Roman" w:hAnsi="Arial" w:cs="Arial"/>
          <w:b/>
          <w:bCs/>
          <w:kern w:val="36"/>
          <w:lang w:val="en-US" w:eastAsia="it-IT"/>
        </w:rPr>
        <w:br w:type="page"/>
      </w:r>
    </w:p>
    <w:p w14:paraId="2829ED7D" w14:textId="77777777" w:rsidR="005D0F33" w:rsidRDefault="005D0F33" w:rsidP="005D0F33">
      <w:pPr>
        <w:spacing w:line="360" w:lineRule="auto"/>
        <w:rPr>
          <w:rFonts w:ascii="Arial" w:eastAsia="Times New Roman" w:hAnsi="Arial" w:cs="Arial"/>
          <w:b/>
          <w:bCs/>
          <w:kern w:val="36"/>
          <w:lang w:val="en-US" w:eastAsia="it-IT"/>
        </w:rPr>
      </w:pPr>
      <w:r w:rsidRPr="003D580C">
        <w:rPr>
          <w:rFonts w:ascii="Arial" w:eastAsia="Times New Roman" w:hAnsi="Arial" w:cs="Arial"/>
          <w:b/>
          <w:bCs/>
          <w:kern w:val="36"/>
          <w:lang w:val="en-US" w:eastAsia="it-IT"/>
        </w:rPr>
        <w:lastRenderedPageBreak/>
        <w:t>Supplemental Fig</w:t>
      </w:r>
      <w:r>
        <w:rPr>
          <w:rFonts w:ascii="Arial" w:eastAsia="Times New Roman" w:hAnsi="Arial" w:cs="Arial"/>
          <w:b/>
          <w:bCs/>
          <w:kern w:val="36"/>
          <w:lang w:val="en-US" w:eastAsia="it-IT"/>
        </w:rPr>
        <w:t xml:space="preserve"> 5</w:t>
      </w:r>
    </w:p>
    <w:p w14:paraId="6B889260" w14:textId="77777777" w:rsidR="0061454B" w:rsidRDefault="0061454B" w:rsidP="005D0F33">
      <w:pPr>
        <w:spacing w:line="360" w:lineRule="auto"/>
        <w:rPr>
          <w:rFonts w:ascii="Arial" w:eastAsia="Times New Roman" w:hAnsi="Arial" w:cs="Arial"/>
          <w:b/>
          <w:bCs/>
          <w:kern w:val="36"/>
          <w:lang w:val="en-US" w:eastAsia="it-IT"/>
        </w:rPr>
      </w:pPr>
      <w:r w:rsidRPr="0061454B">
        <w:rPr>
          <w:rFonts w:ascii="Arial" w:eastAsia="Times New Roman" w:hAnsi="Arial" w:cs="Arial"/>
          <w:b/>
          <w:bCs/>
          <w:noProof/>
          <w:kern w:val="36"/>
          <w:lang w:val="en-US" w:eastAsia="it-IT"/>
        </w:rPr>
        <w:drawing>
          <wp:inline distT="0" distB="0" distL="0" distR="0" wp14:anchorId="01B2604B" wp14:editId="3324C7BB">
            <wp:extent cx="6116320" cy="3331845"/>
            <wp:effectExtent l="0" t="0" r="5080" b="0"/>
            <wp:docPr id="76830377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03779" name=""/>
                    <pic:cNvPicPr/>
                  </pic:nvPicPr>
                  <pic:blipFill>
                    <a:blip r:embed="rId10"/>
                    <a:stretch>
                      <a:fillRect/>
                    </a:stretch>
                  </pic:blipFill>
                  <pic:spPr>
                    <a:xfrm>
                      <a:off x="0" y="0"/>
                      <a:ext cx="6116320" cy="3331845"/>
                    </a:xfrm>
                    <a:prstGeom prst="rect">
                      <a:avLst/>
                    </a:prstGeom>
                  </pic:spPr>
                </pic:pic>
              </a:graphicData>
            </a:graphic>
          </wp:inline>
        </w:drawing>
      </w:r>
    </w:p>
    <w:p w14:paraId="71644F07" w14:textId="77777777" w:rsidR="0061454B" w:rsidRDefault="0061454B" w:rsidP="005D0F33">
      <w:pPr>
        <w:spacing w:line="360" w:lineRule="auto"/>
        <w:rPr>
          <w:rFonts w:ascii="Arial" w:eastAsia="Times New Roman" w:hAnsi="Arial" w:cs="Arial"/>
          <w:b/>
          <w:bCs/>
          <w:kern w:val="36"/>
          <w:lang w:val="en-US" w:eastAsia="it-IT"/>
        </w:rPr>
      </w:pPr>
    </w:p>
    <w:p w14:paraId="3038BDCC" w14:textId="77777777" w:rsidR="00C457AB" w:rsidRPr="003D580C" w:rsidRDefault="0061454B" w:rsidP="003D580C">
      <w:pPr>
        <w:spacing w:line="360" w:lineRule="auto"/>
        <w:rPr>
          <w:rFonts w:ascii="Arial" w:eastAsia="Times New Roman" w:hAnsi="Arial" w:cs="Arial"/>
          <w:b/>
          <w:bCs/>
          <w:kern w:val="36"/>
          <w:lang w:val="en-US" w:eastAsia="it-IT"/>
        </w:rPr>
      </w:pPr>
      <w:r>
        <w:rPr>
          <w:rFonts w:ascii="Arial" w:eastAsia="Times New Roman" w:hAnsi="Arial" w:cs="Arial"/>
          <w:b/>
          <w:bCs/>
          <w:kern w:val="36"/>
          <w:lang w:val="en-US" w:eastAsia="it-IT"/>
        </w:rPr>
        <w:br w:type="page"/>
      </w:r>
    </w:p>
    <w:p w14:paraId="0BD61780" w14:textId="77777777" w:rsidR="00A61DD6" w:rsidRDefault="00A61DD6" w:rsidP="003D580C">
      <w:pPr>
        <w:spacing w:line="360" w:lineRule="auto"/>
        <w:rPr>
          <w:rFonts w:ascii="Arial" w:eastAsia="Times New Roman" w:hAnsi="Arial" w:cs="Arial"/>
          <w:b/>
          <w:bCs/>
          <w:kern w:val="36"/>
          <w:lang w:val="en-US" w:eastAsia="it-IT"/>
        </w:rPr>
        <w:sectPr w:rsidR="00A61DD6" w:rsidSect="00A61DD6">
          <w:pgSz w:w="11900" w:h="16840"/>
          <w:pgMar w:top="1417" w:right="1134" w:bottom="1134" w:left="1134" w:header="708" w:footer="708" w:gutter="0"/>
          <w:cols w:space="708"/>
          <w:docGrid w:linePitch="360"/>
        </w:sectPr>
      </w:pPr>
    </w:p>
    <w:p w14:paraId="2F503B8E" w14:textId="77777777" w:rsidR="00AC3401" w:rsidRPr="00A61DD6" w:rsidRDefault="00AC3401" w:rsidP="003D580C">
      <w:pPr>
        <w:spacing w:line="360" w:lineRule="auto"/>
        <w:rPr>
          <w:rFonts w:ascii="Arial" w:eastAsia="Times New Roman" w:hAnsi="Arial" w:cs="Arial"/>
          <w:b/>
          <w:bCs/>
          <w:kern w:val="36"/>
          <w:sz w:val="28"/>
          <w:szCs w:val="28"/>
          <w:lang w:val="en-US" w:eastAsia="it-IT"/>
        </w:rPr>
      </w:pPr>
      <w:r w:rsidRPr="00A61DD6">
        <w:rPr>
          <w:rFonts w:ascii="Arial" w:eastAsia="Times New Roman" w:hAnsi="Arial" w:cs="Arial"/>
          <w:b/>
          <w:bCs/>
          <w:kern w:val="36"/>
          <w:sz w:val="28"/>
          <w:szCs w:val="28"/>
          <w:lang w:val="en-US" w:eastAsia="it-IT"/>
        </w:rPr>
        <w:lastRenderedPageBreak/>
        <w:t>Supplemental Figure Legends</w:t>
      </w:r>
    </w:p>
    <w:p w14:paraId="340976F3" w14:textId="77777777" w:rsidR="0061454B" w:rsidRPr="003D580C" w:rsidRDefault="0061454B" w:rsidP="003D580C">
      <w:pPr>
        <w:spacing w:line="360" w:lineRule="auto"/>
        <w:rPr>
          <w:rFonts w:ascii="Arial" w:eastAsia="Times New Roman" w:hAnsi="Arial" w:cs="Arial"/>
          <w:b/>
          <w:bCs/>
          <w:kern w:val="36"/>
          <w:lang w:val="en-US" w:eastAsia="it-IT"/>
        </w:rPr>
      </w:pPr>
    </w:p>
    <w:p w14:paraId="6A25233D" w14:textId="77777777" w:rsidR="00AC3401" w:rsidRDefault="0061454B" w:rsidP="003D580C">
      <w:pPr>
        <w:spacing w:line="360" w:lineRule="auto"/>
        <w:rPr>
          <w:rFonts w:ascii="Arial" w:eastAsia="Times New Roman" w:hAnsi="Arial" w:cs="Arial"/>
          <w:kern w:val="36"/>
          <w:lang w:val="en-US" w:eastAsia="it-IT"/>
        </w:rPr>
      </w:pPr>
      <w:r>
        <w:rPr>
          <w:rFonts w:ascii="Arial" w:eastAsia="Times New Roman" w:hAnsi="Arial" w:cs="Arial"/>
          <w:b/>
          <w:bCs/>
          <w:kern w:val="36"/>
          <w:lang w:val="en-US" w:eastAsia="it-IT"/>
        </w:rPr>
        <w:t xml:space="preserve">Fig S1) </w:t>
      </w:r>
      <w:r w:rsidRPr="0061454B">
        <w:rPr>
          <w:rFonts w:ascii="Arial" w:eastAsia="Times New Roman" w:hAnsi="Arial" w:cs="Arial"/>
          <w:b/>
          <w:bCs/>
          <w:kern w:val="36"/>
          <w:lang w:val="en-US" w:eastAsia="it-IT"/>
        </w:rPr>
        <w:t>A</w:t>
      </w:r>
      <w:r w:rsidRPr="0061454B">
        <w:rPr>
          <w:rFonts w:ascii="Arial" w:eastAsia="Times New Roman" w:hAnsi="Arial" w:cs="Arial"/>
          <w:kern w:val="36"/>
          <w:lang w:val="en-US" w:eastAsia="it-IT"/>
        </w:rPr>
        <w:t xml:space="preserve"> Volcano plots showing differentially expressed genes (DEGs) in CCRF-CEM, Molt-3 and </w:t>
      </w:r>
      <w:proofErr w:type="spellStart"/>
      <w:r w:rsidRPr="0061454B">
        <w:rPr>
          <w:rFonts w:ascii="Arial" w:eastAsia="Times New Roman" w:hAnsi="Arial" w:cs="Arial"/>
          <w:kern w:val="36"/>
          <w:lang w:val="en-US" w:eastAsia="it-IT"/>
        </w:rPr>
        <w:t>Jurkat</w:t>
      </w:r>
      <w:proofErr w:type="spellEnd"/>
      <w:r w:rsidRPr="0061454B">
        <w:rPr>
          <w:rFonts w:ascii="Arial" w:eastAsia="Times New Roman" w:hAnsi="Arial" w:cs="Arial"/>
          <w:kern w:val="36"/>
          <w:lang w:val="en-US" w:eastAsia="it-IT"/>
        </w:rPr>
        <w:t xml:space="preserve"> cells after treatment with the </w:t>
      </w:r>
      <w:r w:rsidRPr="0061454B">
        <w:rPr>
          <w:rFonts w:ascii="Arial" w:eastAsia="Times New Roman" w:hAnsi="Arial" w:cs="Arial"/>
          <w:kern w:val="36"/>
          <w:lang w:eastAsia="it-IT"/>
        </w:rPr>
        <w:t>β</w:t>
      </w:r>
      <w:r w:rsidRPr="0061454B">
        <w:rPr>
          <w:rFonts w:ascii="Arial" w:eastAsia="Times New Roman" w:hAnsi="Arial" w:cs="Arial"/>
          <w:kern w:val="36"/>
          <w:lang w:val="en-US" w:eastAsia="it-IT"/>
        </w:rPr>
        <w:t>3-AR inhibitor SR. Differential expression analysis was performed using DESeq2. Genes were considered significantly deregulated with p-value &lt; 0.05 and |log2FC| ≥ 0.58. Upper panels show log2 fold change vs significance, middle panels show distribution of fold changes, and lower panels show number of differentially expressed genes.</w:t>
      </w:r>
      <w:r>
        <w:rPr>
          <w:rFonts w:ascii="Arial" w:eastAsia="Times New Roman" w:hAnsi="Arial" w:cs="Arial"/>
          <w:kern w:val="36"/>
          <w:lang w:val="en-US" w:eastAsia="it-IT"/>
        </w:rPr>
        <w:t xml:space="preserve"> </w:t>
      </w:r>
      <w:r w:rsidRPr="0061454B">
        <w:rPr>
          <w:rFonts w:ascii="Arial" w:eastAsia="Times New Roman" w:hAnsi="Arial" w:cs="Arial"/>
          <w:b/>
          <w:bCs/>
          <w:kern w:val="36"/>
          <w:lang w:val="en-US" w:eastAsia="it-IT"/>
        </w:rPr>
        <w:t>B</w:t>
      </w:r>
      <w:r w:rsidRPr="0061454B">
        <w:rPr>
          <w:rFonts w:ascii="Arial" w:eastAsia="Times New Roman" w:hAnsi="Arial" w:cs="Arial"/>
          <w:kern w:val="36"/>
          <w:lang w:val="en-US" w:eastAsia="it-IT"/>
        </w:rPr>
        <w:t xml:space="preserve"> Gene Ontology (GO) Biological Processes, Cellular Components, and Hallmark pathways related to mitochondrial metabolism in CCRF-CEM and Molt-3 cells. Bar plot displays Normalized Enrichment Scores (NES) obtained from GSEA analysis</w:t>
      </w:r>
      <w:r>
        <w:rPr>
          <w:rFonts w:ascii="Arial" w:eastAsia="Times New Roman" w:hAnsi="Arial" w:cs="Arial"/>
          <w:kern w:val="36"/>
          <w:lang w:val="en-US" w:eastAsia="it-IT"/>
        </w:rPr>
        <w:t>.</w:t>
      </w:r>
    </w:p>
    <w:p w14:paraId="2DC5C8A2" w14:textId="77777777" w:rsidR="0061454B" w:rsidRDefault="0061454B" w:rsidP="003D580C">
      <w:pPr>
        <w:spacing w:line="360" w:lineRule="auto"/>
        <w:rPr>
          <w:rFonts w:ascii="Arial" w:eastAsia="Times New Roman" w:hAnsi="Arial" w:cs="Arial"/>
          <w:kern w:val="36"/>
          <w:lang w:val="en-US" w:eastAsia="it-IT"/>
        </w:rPr>
      </w:pPr>
    </w:p>
    <w:p w14:paraId="17AEB0CB" w14:textId="77777777" w:rsidR="0061454B" w:rsidRDefault="0061454B" w:rsidP="003D580C">
      <w:pPr>
        <w:spacing w:line="360" w:lineRule="auto"/>
        <w:rPr>
          <w:rFonts w:ascii="Arial" w:eastAsia="Times New Roman" w:hAnsi="Arial" w:cs="Arial"/>
          <w:kern w:val="36"/>
          <w:lang w:val="en-US" w:eastAsia="it-IT"/>
        </w:rPr>
      </w:pPr>
      <w:r w:rsidRPr="0061454B">
        <w:rPr>
          <w:rFonts w:ascii="Arial" w:eastAsia="Times New Roman" w:hAnsi="Arial" w:cs="Arial"/>
          <w:b/>
          <w:bCs/>
          <w:kern w:val="36"/>
          <w:lang w:val="en-US" w:eastAsia="it-IT"/>
        </w:rPr>
        <w:t>Fig S2)</w:t>
      </w:r>
      <w:r>
        <w:rPr>
          <w:rFonts w:ascii="Arial" w:eastAsia="Times New Roman" w:hAnsi="Arial" w:cs="Arial"/>
          <w:kern w:val="36"/>
          <w:lang w:val="en-US" w:eastAsia="it-IT"/>
        </w:rPr>
        <w:t xml:space="preserve"> </w:t>
      </w:r>
      <w:r w:rsidRPr="0061454B">
        <w:rPr>
          <w:rFonts w:ascii="Arial" w:eastAsia="Times New Roman" w:hAnsi="Arial" w:cs="Arial"/>
          <w:kern w:val="36"/>
          <w:lang w:val="en-US" w:eastAsia="it-IT"/>
        </w:rPr>
        <w:t xml:space="preserve">Peripheral blood mononuclear cells (PBMCs) isolated from 10 healthy pediatric donors were treated with SR59230A (15 µM) for 24 hours. Mitochondrial respiration was assessed using the Cell Mito Stress Test, evaluating basal respiration </w:t>
      </w:r>
      <w:r w:rsidRPr="0061454B">
        <w:rPr>
          <w:rFonts w:ascii="Arial" w:eastAsia="Times New Roman" w:hAnsi="Arial" w:cs="Arial"/>
          <w:b/>
          <w:bCs/>
          <w:kern w:val="36"/>
          <w:lang w:val="en-US" w:eastAsia="it-IT"/>
        </w:rPr>
        <w:t>A</w:t>
      </w:r>
      <w:r w:rsidRPr="0061454B">
        <w:rPr>
          <w:rFonts w:ascii="Arial" w:eastAsia="Times New Roman" w:hAnsi="Arial" w:cs="Arial"/>
          <w:kern w:val="36"/>
          <w:lang w:val="en-US" w:eastAsia="it-IT"/>
        </w:rPr>
        <w:t xml:space="preserve">, maximal respiration </w:t>
      </w:r>
      <w:r w:rsidRPr="0061454B">
        <w:rPr>
          <w:rFonts w:ascii="Arial" w:eastAsia="Times New Roman" w:hAnsi="Arial" w:cs="Arial"/>
          <w:b/>
          <w:bCs/>
          <w:kern w:val="36"/>
          <w:lang w:val="en-US" w:eastAsia="it-IT"/>
        </w:rPr>
        <w:t>B</w:t>
      </w:r>
      <w:r w:rsidRPr="0061454B">
        <w:rPr>
          <w:rFonts w:ascii="Arial" w:eastAsia="Times New Roman" w:hAnsi="Arial" w:cs="Arial"/>
          <w:kern w:val="36"/>
          <w:lang w:val="en-US" w:eastAsia="it-IT"/>
        </w:rPr>
        <w:t xml:space="preserve">, spare respiratory capacity </w:t>
      </w:r>
      <w:r w:rsidRPr="0061454B">
        <w:rPr>
          <w:rFonts w:ascii="Arial" w:eastAsia="Times New Roman" w:hAnsi="Arial" w:cs="Arial"/>
          <w:b/>
          <w:bCs/>
          <w:kern w:val="36"/>
          <w:lang w:val="en-US" w:eastAsia="it-IT"/>
        </w:rPr>
        <w:t>C</w:t>
      </w:r>
      <w:r w:rsidRPr="0061454B">
        <w:rPr>
          <w:rFonts w:ascii="Arial" w:eastAsia="Times New Roman" w:hAnsi="Arial" w:cs="Arial"/>
          <w:kern w:val="36"/>
          <w:lang w:val="en-US" w:eastAsia="it-IT"/>
        </w:rPr>
        <w:t xml:space="preserve">, and ATP-linked respiration </w:t>
      </w:r>
      <w:r w:rsidRPr="0061454B">
        <w:rPr>
          <w:rFonts w:ascii="Arial" w:eastAsia="Times New Roman" w:hAnsi="Arial" w:cs="Arial"/>
          <w:b/>
          <w:bCs/>
          <w:kern w:val="36"/>
          <w:lang w:val="en-US" w:eastAsia="it-IT"/>
        </w:rPr>
        <w:t>D</w:t>
      </w:r>
      <w:r w:rsidRPr="0061454B">
        <w:rPr>
          <w:rFonts w:ascii="Arial" w:eastAsia="Times New Roman" w:hAnsi="Arial" w:cs="Arial"/>
          <w:kern w:val="36"/>
          <w:lang w:val="en-US" w:eastAsia="it-IT"/>
        </w:rPr>
        <w:t xml:space="preserve">. Glycolytic function was analyzed by Glycolytic Rate Assay, measuring basal glycolysis </w:t>
      </w:r>
      <w:r w:rsidRPr="0061454B">
        <w:rPr>
          <w:rFonts w:ascii="Arial" w:eastAsia="Times New Roman" w:hAnsi="Arial" w:cs="Arial"/>
          <w:b/>
          <w:bCs/>
          <w:kern w:val="36"/>
          <w:lang w:val="en-US" w:eastAsia="it-IT"/>
        </w:rPr>
        <w:t>E</w:t>
      </w:r>
      <w:r w:rsidRPr="0061454B">
        <w:rPr>
          <w:rFonts w:ascii="Arial" w:eastAsia="Times New Roman" w:hAnsi="Arial" w:cs="Arial"/>
          <w:kern w:val="36"/>
          <w:lang w:val="en-US" w:eastAsia="it-IT"/>
        </w:rPr>
        <w:t xml:space="preserve">, compensatory glycolysis </w:t>
      </w:r>
      <w:r w:rsidRPr="0061454B">
        <w:rPr>
          <w:rFonts w:ascii="Arial" w:eastAsia="Times New Roman" w:hAnsi="Arial" w:cs="Arial"/>
          <w:b/>
          <w:bCs/>
          <w:kern w:val="36"/>
          <w:lang w:val="en-US" w:eastAsia="it-IT"/>
        </w:rPr>
        <w:t>F</w:t>
      </w:r>
      <w:r w:rsidRPr="0061454B">
        <w:rPr>
          <w:rFonts w:ascii="Arial" w:eastAsia="Times New Roman" w:hAnsi="Arial" w:cs="Arial"/>
          <w:kern w:val="36"/>
          <w:lang w:val="en-US" w:eastAsia="it-IT"/>
        </w:rPr>
        <w:t xml:space="preserve">, and percentage of proton efflux rate derived from glycolysis (%PER from glycolysis) </w:t>
      </w:r>
      <w:r w:rsidRPr="0061454B">
        <w:rPr>
          <w:rFonts w:ascii="Arial" w:eastAsia="Times New Roman" w:hAnsi="Arial" w:cs="Arial"/>
          <w:b/>
          <w:bCs/>
          <w:kern w:val="36"/>
          <w:lang w:val="en-US" w:eastAsia="it-IT"/>
        </w:rPr>
        <w:t>G</w:t>
      </w:r>
      <w:r w:rsidRPr="0061454B">
        <w:rPr>
          <w:rFonts w:ascii="Arial" w:eastAsia="Times New Roman" w:hAnsi="Arial" w:cs="Arial"/>
          <w:kern w:val="36"/>
          <w:lang w:val="en-US" w:eastAsia="it-IT"/>
        </w:rPr>
        <w:t xml:space="preserve">. Total cellular ATP production was determined by ATP Rate Assay, including total ATP production </w:t>
      </w:r>
      <w:r w:rsidRPr="0061454B">
        <w:rPr>
          <w:rFonts w:ascii="Arial" w:eastAsia="Times New Roman" w:hAnsi="Arial" w:cs="Arial"/>
          <w:b/>
          <w:bCs/>
          <w:kern w:val="36"/>
          <w:lang w:val="en-US" w:eastAsia="it-IT"/>
        </w:rPr>
        <w:t>J</w:t>
      </w:r>
      <w:r w:rsidRPr="0061454B">
        <w:rPr>
          <w:rFonts w:ascii="Arial" w:eastAsia="Times New Roman" w:hAnsi="Arial" w:cs="Arial"/>
          <w:kern w:val="36"/>
          <w:lang w:val="en-US" w:eastAsia="it-IT"/>
        </w:rPr>
        <w:t xml:space="preserve">, mitochondrial ATP production </w:t>
      </w:r>
      <w:r w:rsidRPr="0061454B">
        <w:rPr>
          <w:rFonts w:ascii="Arial" w:eastAsia="Times New Roman" w:hAnsi="Arial" w:cs="Arial"/>
          <w:b/>
          <w:bCs/>
          <w:kern w:val="36"/>
          <w:lang w:val="en-US" w:eastAsia="it-IT"/>
        </w:rPr>
        <w:t>K</w:t>
      </w:r>
      <w:r w:rsidRPr="0061454B">
        <w:rPr>
          <w:rFonts w:ascii="Arial" w:eastAsia="Times New Roman" w:hAnsi="Arial" w:cs="Arial"/>
          <w:kern w:val="36"/>
          <w:lang w:val="en-US" w:eastAsia="it-IT"/>
        </w:rPr>
        <w:t xml:space="preserve">, and glycolytic ATP production </w:t>
      </w:r>
      <w:r w:rsidRPr="0061454B">
        <w:rPr>
          <w:rFonts w:ascii="Arial" w:eastAsia="Times New Roman" w:hAnsi="Arial" w:cs="Arial"/>
          <w:b/>
          <w:bCs/>
          <w:kern w:val="36"/>
          <w:lang w:val="en-US" w:eastAsia="it-IT"/>
        </w:rPr>
        <w:t>L</w:t>
      </w:r>
      <w:r w:rsidRPr="0061454B">
        <w:rPr>
          <w:rFonts w:ascii="Arial" w:eastAsia="Times New Roman" w:hAnsi="Arial" w:cs="Arial"/>
          <w:kern w:val="36"/>
          <w:lang w:val="en-US" w:eastAsia="it-IT"/>
        </w:rPr>
        <w:t xml:space="preserve">. Statistical significance was determined using the two-sided nonparametric Mann–Whitney test, as data were not normally distributed. *P ≤ </w:t>
      </w:r>
      <w:r>
        <w:rPr>
          <w:rFonts w:ascii="Arial" w:eastAsia="Times New Roman" w:hAnsi="Arial" w:cs="Arial"/>
          <w:kern w:val="36"/>
          <w:lang w:val="en-US" w:eastAsia="it-IT"/>
        </w:rPr>
        <w:t>0</w:t>
      </w:r>
      <w:r w:rsidRPr="0061454B">
        <w:rPr>
          <w:rFonts w:ascii="Arial" w:eastAsia="Times New Roman" w:hAnsi="Arial" w:cs="Arial"/>
          <w:kern w:val="36"/>
          <w:lang w:val="en-US" w:eastAsia="it-IT"/>
        </w:rPr>
        <w:t xml:space="preserve">.05. </w:t>
      </w:r>
    </w:p>
    <w:p w14:paraId="23C1093B" w14:textId="77777777" w:rsidR="0061454B" w:rsidRDefault="0061454B" w:rsidP="003D580C">
      <w:pPr>
        <w:spacing w:line="360" w:lineRule="auto"/>
        <w:rPr>
          <w:rFonts w:ascii="Arial" w:eastAsia="Times New Roman" w:hAnsi="Arial" w:cs="Arial"/>
          <w:kern w:val="36"/>
          <w:lang w:val="en-US" w:eastAsia="it-IT"/>
        </w:rPr>
      </w:pPr>
    </w:p>
    <w:p w14:paraId="3F8BD9BA" w14:textId="77777777" w:rsidR="0061454B" w:rsidRDefault="0061454B" w:rsidP="003D580C">
      <w:pPr>
        <w:spacing w:line="360" w:lineRule="auto"/>
        <w:rPr>
          <w:rFonts w:ascii="Arial" w:eastAsia="Times New Roman" w:hAnsi="Arial" w:cs="Arial"/>
          <w:kern w:val="36"/>
          <w:lang w:val="en-US" w:eastAsia="it-IT"/>
        </w:rPr>
      </w:pPr>
      <w:r w:rsidRPr="0061454B">
        <w:rPr>
          <w:rFonts w:ascii="Arial" w:eastAsia="Times New Roman" w:hAnsi="Arial" w:cs="Arial"/>
          <w:b/>
          <w:bCs/>
          <w:kern w:val="36"/>
          <w:lang w:val="en-US" w:eastAsia="it-IT"/>
        </w:rPr>
        <w:t>Fig S3)</w:t>
      </w:r>
      <w:r>
        <w:rPr>
          <w:rFonts w:ascii="Arial" w:eastAsia="Times New Roman" w:hAnsi="Arial" w:cs="Arial"/>
          <w:kern w:val="36"/>
          <w:lang w:val="en-US" w:eastAsia="it-IT"/>
        </w:rPr>
        <w:t xml:space="preserve"> </w:t>
      </w:r>
      <w:r w:rsidRPr="0061454B">
        <w:rPr>
          <w:rFonts w:ascii="Arial" w:eastAsia="Times New Roman" w:hAnsi="Arial" w:cs="Arial"/>
          <w:kern w:val="36"/>
          <w:lang w:val="en-US" w:eastAsia="it-IT"/>
        </w:rPr>
        <w:t>Western-blot analysis of ADRB3 and GPX4 in T-ALL cell lines after 24-48-72h SR 15 µM treatment (Membrane 1), related to Figure 1G and 6K. Representative images from a single membrane are shown: </w:t>
      </w:r>
      <w:r w:rsidRPr="0061454B">
        <w:rPr>
          <w:rFonts w:ascii="Arial" w:eastAsia="Times New Roman" w:hAnsi="Arial" w:cs="Arial"/>
          <w:b/>
          <w:bCs/>
          <w:kern w:val="36"/>
          <w:lang w:val="en-US" w:eastAsia="it-IT"/>
        </w:rPr>
        <w:t>A</w:t>
      </w:r>
      <w:r w:rsidRPr="0061454B">
        <w:rPr>
          <w:rFonts w:ascii="Arial" w:eastAsia="Times New Roman" w:hAnsi="Arial" w:cs="Arial"/>
          <w:kern w:val="36"/>
          <w:lang w:val="en-US" w:eastAsia="it-IT"/>
        </w:rPr>
        <w:t xml:space="preserve"> membrane immediately after transfer (post-transfer total protein check); </w:t>
      </w:r>
      <w:r w:rsidRPr="0061454B">
        <w:rPr>
          <w:rFonts w:ascii="Arial" w:eastAsia="Times New Roman" w:hAnsi="Arial" w:cs="Arial"/>
          <w:b/>
          <w:bCs/>
          <w:kern w:val="36"/>
          <w:lang w:val="en-US" w:eastAsia="it-IT"/>
        </w:rPr>
        <w:t>B</w:t>
      </w:r>
      <w:r w:rsidRPr="0061454B">
        <w:rPr>
          <w:rFonts w:ascii="Arial" w:eastAsia="Times New Roman" w:hAnsi="Arial" w:cs="Arial"/>
          <w:kern w:val="36"/>
          <w:lang w:val="en-US" w:eastAsia="it-IT"/>
        </w:rPr>
        <w:t xml:space="preserve"> colorimetric image acquired on the </w:t>
      </w:r>
      <w:proofErr w:type="spellStart"/>
      <w:r w:rsidRPr="0061454B">
        <w:rPr>
          <w:rFonts w:ascii="Arial" w:eastAsia="Times New Roman" w:hAnsi="Arial" w:cs="Arial"/>
          <w:kern w:val="36"/>
          <w:lang w:val="en-US" w:eastAsia="it-IT"/>
        </w:rPr>
        <w:t>ChemiDoc</w:t>
      </w:r>
      <w:proofErr w:type="spellEnd"/>
      <w:r w:rsidRPr="0061454B">
        <w:rPr>
          <w:rFonts w:ascii="Arial" w:eastAsia="Times New Roman" w:hAnsi="Arial" w:cs="Arial"/>
          <w:kern w:val="36"/>
          <w:lang w:val="en-US" w:eastAsia="it-IT"/>
        </w:rPr>
        <w:t xml:space="preserve"> system for transfer/loading assessment; </w:t>
      </w:r>
      <w:r w:rsidRPr="0061454B">
        <w:rPr>
          <w:rFonts w:ascii="Arial" w:eastAsia="Times New Roman" w:hAnsi="Arial" w:cs="Arial"/>
          <w:b/>
          <w:bCs/>
          <w:kern w:val="36"/>
          <w:lang w:val="en-US" w:eastAsia="it-IT"/>
        </w:rPr>
        <w:t>C</w:t>
      </w:r>
      <w:r w:rsidRPr="0061454B">
        <w:rPr>
          <w:rFonts w:ascii="Arial" w:eastAsia="Times New Roman" w:hAnsi="Arial" w:cs="Arial"/>
          <w:kern w:val="36"/>
          <w:lang w:val="en-US" w:eastAsia="it-IT"/>
        </w:rPr>
        <w:t xml:space="preserve"> colorimetric image of ADRB3 acquired on the </w:t>
      </w:r>
      <w:proofErr w:type="spellStart"/>
      <w:r w:rsidRPr="0061454B">
        <w:rPr>
          <w:rFonts w:ascii="Arial" w:eastAsia="Times New Roman" w:hAnsi="Arial" w:cs="Arial"/>
          <w:kern w:val="36"/>
          <w:lang w:val="en-US" w:eastAsia="it-IT"/>
        </w:rPr>
        <w:t>ChemiDoc</w:t>
      </w:r>
      <w:proofErr w:type="spellEnd"/>
      <w:r w:rsidRPr="0061454B">
        <w:rPr>
          <w:rFonts w:ascii="Arial" w:eastAsia="Times New Roman" w:hAnsi="Arial" w:cs="Arial"/>
          <w:kern w:val="36"/>
          <w:lang w:val="en-US" w:eastAsia="it-IT"/>
        </w:rPr>
        <w:t xml:space="preserve"> system after membrane cutting </w:t>
      </w:r>
      <w:r w:rsidRPr="0061454B">
        <w:rPr>
          <w:rFonts w:ascii="Arial" w:eastAsia="Times New Roman" w:hAnsi="Arial" w:cs="Arial"/>
          <w:b/>
          <w:bCs/>
          <w:kern w:val="36"/>
          <w:lang w:val="en-US" w:eastAsia="it-IT"/>
        </w:rPr>
        <w:t>D</w:t>
      </w:r>
      <w:r w:rsidRPr="0061454B">
        <w:rPr>
          <w:rFonts w:ascii="Arial" w:eastAsia="Times New Roman" w:hAnsi="Arial" w:cs="Arial"/>
          <w:kern w:val="36"/>
          <w:lang w:val="en-US" w:eastAsia="it-IT"/>
        </w:rPr>
        <w:t> ADRB3 chemiluminescent (ECL) exposure, short (60 s) highlighting high-abundance bands; </w:t>
      </w:r>
      <w:r w:rsidRPr="0061454B">
        <w:rPr>
          <w:rFonts w:ascii="Arial" w:eastAsia="Times New Roman" w:hAnsi="Arial" w:cs="Arial"/>
          <w:b/>
          <w:bCs/>
          <w:kern w:val="36"/>
          <w:lang w:val="en-US" w:eastAsia="it-IT"/>
        </w:rPr>
        <w:t>E</w:t>
      </w:r>
      <w:r w:rsidRPr="0061454B">
        <w:rPr>
          <w:rFonts w:ascii="Arial" w:eastAsia="Times New Roman" w:hAnsi="Arial" w:cs="Arial"/>
          <w:kern w:val="36"/>
          <w:lang w:val="en-US" w:eastAsia="it-IT"/>
        </w:rPr>
        <w:t xml:space="preserve"> composite overlay of ADRB3 and colorimetric; </w:t>
      </w:r>
      <w:r w:rsidRPr="0061454B">
        <w:rPr>
          <w:rFonts w:ascii="Arial" w:eastAsia="Times New Roman" w:hAnsi="Arial" w:cs="Arial"/>
          <w:b/>
          <w:bCs/>
          <w:kern w:val="36"/>
          <w:lang w:val="en-US" w:eastAsia="it-IT"/>
        </w:rPr>
        <w:t>F</w:t>
      </w:r>
      <w:r w:rsidRPr="0061454B">
        <w:rPr>
          <w:rFonts w:ascii="Arial" w:eastAsia="Times New Roman" w:hAnsi="Arial" w:cs="Arial"/>
          <w:kern w:val="36"/>
          <w:lang w:val="en-US" w:eastAsia="it-IT"/>
        </w:rPr>
        <w:t xml:space="preserve"> colorimetric image of GPX4 acquired on the </w:t>
      </w:r>
      <w:proofErr w:type="spellStart"/>
      <w:r w:rsidRPr="0061454B">
        <w:rPr>
          <w:rFonts w:ascii="Arial" w:eastAsia="Times New Roman" w:hAnsi="Arial" w:cs="Arial"/>
          <w:kern w:val="36"/>
          <w:lang w:val="en-US" w:eastAsia="it-IT"/>
        </w:rPr>
        <w:t>ChemiDoc</w:t>
      </w:r>
      <w:proofErr w:type="spellEnd"/>
      <w:r w:rsidRPr="0061454B">
        <w:rPr>
          <w:rFonts w:ascii="Arial" w:eastAsia="Times New Roman" w:hAnsi="Arial" w:cs="Arial"/>
          <w:kern w:val="36"/>
          <w:lang w:val="en-US" w:eastAsia="it-IT"/>
        </w:rPr>
        <w:t xml:space="preserve"> system after membrane cutting </w:t>
      </w:r>
      <w:r w:rsidRPr="0061454B">
        <w:rPr>
          <w:rFonts w:ascii="Arial" w:eastAsia="Times New Roman" w:hAnsi="Arial" w:cs="Arial"/>
          <w:b/>
          <w:bCs/>
          <w:kern w:val="36"/>
          <w:lang w:val="en-US" w:eastAsia="it-IT"/>
        </w:rPr>
        <w:t>G</w:t>
      </w:r>
      <w:r w:rsidRPr="0061454B">
        <w:rPr>
          <w:rFonts w:ascii="Arial" w:eastAsia="Times New Roman" w:hAnsi="Arial" w:cs="Arial"/>
          <w:kern w:val="36"/>
          <w:lang w:val="en-US" w:eastAsia="it-IT"/>
        </w:rPr>
        <w:t> GPX4 chemiluminescent (ECL) exposure, short (60 s) highlighting high-abundance bands; </w:t>
      </w:r>
      <w:r w:rsidRPr="0061454B">
        <w:rPr>
          <w:rFonts w:ascii="Arial" w:eastAsia="Times New Roman" w:hAnsi="Arial" w:cs="Arial"/>
          <w:b/>
          <w:bCs/>
          <w:kern w:val="36"/>
          <w:lang w:val="en-US" w:eastAsia="it-IT"/>
        </w:rPr>
        <w:t>H</w:t>
      </w:r>
      <w:r w:rsidRPr="0061454B">
        <w:rPr>
          <w:rFonts w:ascii="Arial" w:eastAsia="Times New Roman" w:hAnsi="Arial" w:cs="Arial"/>
          <w:kern w:val="36"/>
          <w:lang w:val="en-US" w:eastAsia="it-IT"/>
        </w:rPr>
        <w:t xml:space="preserve"> composite overlay of GPX4 and colorimetric. Samples were loaded into gels from right to left, with the protein ladder in the first lane. Band intensities were quantified </w:t>
      </w:r>
      <w:r w:rsidRPr="0061454B">
        <w:rPr>
          <w:rFonts w:ascii="Arial" w:eastAsia="Times New Roman" w:hAnsi="Arial" w:cs="Arial"/>
          <w:kern w:val="36"/>
          <w:lang w:val="en-US" w:eastAsia="it-IT"/>
        </w:rPr>
        <w:lastRenderedPageBreak/>
        <w:t>with ImageJ and normalized to stain-free total protein; quantitative data are reported in Fig. 1G and 6K (main text).</w:t>
      </w:r>
    </w:p>
    <w:p w14:paraId="732C7E5F" w14:textId="77777777" w:rsidR="0061454B" w:rsidRDefault="0061454B" w:rsidP="003D580C">
      <w:pPr>
        <w:spacing w:line="360" w:lineRule="auto"/>
        <w:rPr>
          <w:rFonts w:ascii="Arial" w:eastAsia="Times New Roman" w:hAnsi="Arial" w:cs="Arial"/>
          <w:kern w:val="36"/>
          <w:lang w:val="en-US" w:eastAsia="it-IT"/>
        </w:rPr>
      </w:pPr>
    </w:p>
    <w:p w14:paraId="0CF8FF7F" w14:textId="77777777" w:rsidR="0061454B" w:rsidRDefault="0061454B" w:rsidP="003D580C">
      <w:pPr>
        <w:spacing w:line="360" w:lineRule="auto"/>
        <w:rPr>
          <w:rFonts w:ascii="Arial" w:eastAsia="Times New Roman" w:hAnsi="Arial" w:cs="Arial"/>
          <w:kern w:val="36"/>
          <w:lang w:val="en-US" w:eastAsia="it-IT"/>
        </w:rPr>
      </w:pPr>
      <w:r w:rsidRPr="0061454B">
        <w:rPr>
          <w:rFonts w:ascii="Arial" w:eastAsia="Times New Roman" w:hAnsi="Arial" w:cs="Arial"/>
          <w:b/>
          <w:bCs/>
          <w:kern w:val="36"/>
          <w:lang w:val="en-US" w:eastAsia="it-IT"/>
        </w:rPr>
        <w:t>Fig S</w:t>
      </w:r>
      <w:r>
        <w:rPr>
          <w:rFonts w:ascii="Arial" w:eastAsia="Times New Roman" w:hAnsi="Arial" w:cs="Arial"/>
          <w:b/>
          <w:bCs/>
          <w:kern w:val="36"/>
          <w:lang w:val="en-US" w:eastAsia="it-IT"/>
        </w:rPr>
        <w:t>4</w:t>
      </w:r>
      <w:r w:rsidRPr="0061454B">
        <w:rPr>
          <w:rFonts w:ascii="Arial" w:eastAsia="Times New Roman" w:hAnsi="Arial" w:cs="Arial"/>
          <w:b/>
          <w:bCs/>
          <w:kern w:val="36"/>
          <w:lang w:val="en-US" w:eastAsia="it-IT"/>
        </w:rPr>
        <w:t>)</w:t>
      </w:r>
      <w:r>
        <w:rPr>
          <w:rFonts w:ascii="Arial" w:eastAsia="Times New Roman" w:hAnsi="Arial" w:cs="Arial"/>
          <w:b/>
          <w:bCs/>
          <w:kern w:val="36"/>
          <w:lang w:val="en-US" w:eastAsia="it-IT"/>
        </w:rPr>
        <w:t xml:space="preserve"> </w:t>
      </w:r>
      <w:r w:rsidRPr="0061454B">
        <w:rPr>
          <w:rFonts w:ascii="Arial" w:eastAsia="Times New Roman" w:hAnsi="Arial" w:cs="Arial"/>
          <w:kern w:val="36"/>
          <w:lang w:val="en-US" w:eastAsia="it-IT"/>
        </w:rPr>
        <w:t>Western-blot analysis of FTH1 and CD71 in T-ALL cell lines after 24-48-72h SR 15 µM treatment (Membrane 1), related to Figure 6D and 6E. Representative images from a single membrane are shown: </w:t>
      </w:r>
      <w:r w:rsidRPr="0061454B">
        <w:rPr>
          <w:rFonts w:ascii="Arial" w:eastAsia="Times New Roman" w:hAnsi="Arial" w:cs="Arial"/>
          <w:b/>
          <w:bCs/>
          <w:kern w:val="36"/>
          <w:lang w:val="en-US" w:eastAsia="it-IT"/>
        </w:rPr>
        <w:t>A</w:t>
      </w:r>
      <w:r w:rsidRPr="0061454B">
        <w:rPr>
          <w:rFonts w:ascii="Arial" w:eastAsia="Times New Roman" w:hAnsi="Arial" w:cs="Arial"/>
          <w:kern w:val="36"/>
          <w:lang w:val="en-US" w:eastAsia="it-IT"/>
        </w:rPr>
        <w:t> stain-free gel image prior to transfer (UV activation for total-protein visualization); </w:t>
      </w:r>
      <w:r w:rsidRPr="0061454B">
        <w:rPr>
          <w:rFonts w:ascii="Arial" w:eastAsia="Times New Roman" w:hAnsi="Arial" w:cs="Arial"/>
          <w:b/>
          <w:bCs/>
          <w:kern w:val="36"/>
          <w:lang w:val="en-US" w:eastAsia="it-IT"/>
        </w:rPr>
        <w:t>B</w:t>
      </w:r>
      <w:r w:rsidRPr="0061454B">
        <w:rPr>
          <w:rFonts w:ascii="Arial" w:eastAsia="Times New Roman" w:hAnsi="Arial" w:cs="Arial"/>
          <w:kern w:val="36"/>
          <w:lang w:val="en-US" w:eastAsia="it-IT"/>
        </w:rPr>
        <w:t xml:space="preserve"> membrane immediately after transfer (post-transfer total protein check); </w:t>
      </w:r>
      <w:r w:rsidRPr="0061454B">
        <w:rPr>
          <w:rFonts w:ascii="Arial" w:eastAsia="Times New Roman" w:hAnsi="Arial" w:cs="Arial"/>
          <w:b/>
          <w:bCs/>
          <w:kern w:val="36"/>
          <w:lang w:val="en-US" w:eastAsia="it-IT"/>
        </w:rPr>
        <w:t>C</w:t>
      </w:r>
      <w:r w:rsidRPr="0061454B">
        <w:rPr>
          <w:rFonts w:ascii="Arial" w:eastAsia="Times New Roman" w:hAnsi="Arial" w:cs="Arial"/>
          <w:kern w:val="36"/>
          <w:lang w:val="en-US" w:eastAsia="it-IT"/>
        </w:rPr>
        <w:t xml:space="preserve"> colorimetric image acquired on the </w:t>
      </w:r>
      <w:proofErr w:type="spellStart"/>
      <w:r w:rsidRPr="0061454B">
        <w:rPr>
          <w:rFonts w:ascii="Arial" w:eastAsia="Times New Roman" w:hAnsi="Arial" w:cs="Arial"/>
          <w:kern w:val="36"/>
          <w:lang w:val="en-US" w:eastAsia="it-IT"/>
        </w:rPr>
        <w:t>ChemiDoc</w:t>
      </w:r>
      <w:proofErr w:type="spellEnd"/>
      <w:r w:rsidRPr="0061454B">
        <w:rPr>
          <w:rFonts w:ascii="Arial" w:eastAsia="Times New Roman" w:hAnsi="Arial" w:cs="Arial"/>
          <w:kern w:val="36"/>
          <w:lang w:val="en-US" w:eastAsia="it-IT"/>
        </w:rPr>
        <w:t xml:space="preserve"> system for transfer/loading assessment; </w:t>
      </w:r>
      <w:r w:rsidRPr="0061454B">
        <w:rPr>
          <w:rFonts w:ascii="Arial" w:eastAsia="Times New Roman" w:hAnsi="Arial" w:cs="Arial"/>
          <w:b/>
          <w:bCs/>
          <w:kern w:val="36"/>
          <w:lang w:val="en-US" w:eastAsia="it-IT"/>
        </w:rPr>
        <w:t>D</w:t>
      </w:r>
      <w:r w:rsidRPr="0061454B">
        <w:rPr>
          <w:rFonts w:ascii="Arial" w:eastAsia="Times New Roman" w:hAnsi="Arial" w:cs="Arial"/>
          <w:kern w:val="36"/>
          <w:lang w:val="en-US" w:eastAsia="it-IT"/>
        </w:rPr>
        <w:t xml:space="preserve"> colorimetric image of FTH1 acquired on the </w:t>
      </w:r>
      <w:proofErr w:type="spellStart"/>
      <w:r w:rsidRPr="0061454B">
        <w:rPr>
          <w:rFonts w:ascii="Arial" w:eastAsia="Times New Roman" w:hAnsi="Arial" w:cs="Arial"/>
          <w:kern w:val="36"/>
          <w:lang w:val="en-US" w:eastAsia="it-IT"/>
        </w:rPr>
        <w:t>ChemiDoc</w:t>
      </w:r>
      <w:proofErr w:type="spellEnd"/>
      <w:r w:rsidRPr="0061454B">
        <w:rPr>
          <w:rFonts w:ascii="Arial" w:eastAsia="Times New Roman" w:hAnsi="Arial" w:cs="Arial"/>
          <w:kern w:val="36"/>
          <w:lang w:val="en-US" w:eastAsia="it-IT"/>
        </w:rPr>
        <w:t xml:space="preserve"> system after membrane cutting</w:t>
      </w:r>
      <w:r w:rsidR="00A61DD6">
        <w:rPr>
          <w:rFonts w:ascii="Arial" w:eastAsia="Times New Roman" w:hAnsi="Arial" w:cs="Arial"/>
          <w:kern w:val="36"/>
          <w:lang w:val="en-US" w:eastAsia="it-IT"/>
        </w:rPr>
        <w:t>;</w:t>
      </w:r>
      <w:r w:rsidRPr="0061454B">
        <w:rPr>
          <w:rFonts w:ascii="Arial" w:eastAsia="Times New Roman" w:hAnsi="Arial" w:cs="Arial"/>
          <w:kern w:val="36"/>
          <w:lang w:val="en-US" w:eastAsia="it-IT"/>
        </w:rPr>
        <w:t xml:space="preserve"> </w:t>
      </w:r>
      <w:r w:rsidRPr="0061454B">
        <w:rPr>
          <w:rFonts w:ascii="Arial" w:eastAsia="Times New Roman" w:hAnsi="Arial" w:cs="Arial"/>
          <w:b/>
          <w:bCs/>
          <w:kern w:val="36"/>
          <w:lang w:val="en-US" w:eastAsia="it-IT"/>
        </w:rPr>
        <w:t>E</w:t>
      </w:r>
      <w:r w:rsidRPr="0061454B">
        <w:rPr>
          <w:rFonts w:ascii="Arial" w:eastAsia="Times New Roman" w:hAnsi="Arial" w:cs="Arial"/>
          <w:kern w:val="36"/>
          <w:lang w:val="en-US" w:eastAsia="it-IT"/>
        </w:rPr>
        <w:t> FTH1 chemiluminescent (ECL) exposure, short (30 s) highlighting high-abundance bands; </w:t>
      </w:r>
      <w:r w:rsidRPr="0061454B">
        <w:rPr>
          <w:rFonts w:ascii="Arial" w:eastAsia="Times New Roman" w:hAnsi="Arial" w:cs="Arial"/>
          <w:b/>
          <w:bCs/>
          <w:kern w:val="36"/>
          <w:lang w:val="en-US" w:eastAsia="it-IT"/>
        </w:rPr>
        <w:t>F</w:t>
      </w:r>
      <w:r w:rsidRPr="0061454B">
        <w:rPr>
          <w:rFonts w:ascii="Arial" w:eastAsia="Times New Roman" w:hAnsi="Arial" w:cs="Arial"/>
          <w:kern w:val="36"/>
          <w:lang w:val="en-US" w:eastAsia="it-IT"/>
        </w:rPr>
        <w:t xml:space="preserve"> FTH1 chemiluminescent (ECL) exposure (60 s) highlighting high-abundance bands; </w:t>
      </w:r>
      <w:r w:rsidRPr="0061454B">
        <w:rPr>
          <w:rFonts w:ascii="Arial" w:eastAsia="Times New Roman" w:hAnsi="Arial" w:cs="Arial"/>
          <w:b/>
          <w:bCs/>
          <w:kern w:val="36"/>
          <w:lang w:val="en-US" w:eastAsia="it-IT"/>
        </w:rPr>
        <w:t>G</w:t>
      </w:r>
      <w:r w:rsidRPr="0061454B">
        <w:rPr>
          <w:rFonts w:ascii="Arial" w:eastAsia="Times New Roman" w:hAnsi="Arial" w:cs="Arial"/>
          <w:kern w:val="36"/>
          <w:lang w:val="en-US" w:eastAsia="it-IT"/>
        </w:rPr>
        <w:t xml:space="preserve"> composite overlay of FTH1 and colorimetric; </w:t>
      </w:r>
      <w:r w:rsidRPr="0061454B">
        <w:rPr>
          <w:rFonts w:ascii="Arial" w:eastAsia="Times New Roman" w:hAnsi="Arial" w:cs="Arial"/>
          <w:b/>
          <w:bCs/>
          <w:kern w:val="36"/>
          <w:lang w:val="en-US" w:eastAsia="it-IT"/>
        </w:rPr>
        <w:t>H</w:t>
      </w:r>
      <w:r w:rsidRPr="0061454B">
        <w:rPr>
          <w:rFonts w:ascii="Arial" w:eastAsia="Times New Roman" w:hAnsi="Arial" w:cs="Arial"/>
          <w:kern w:val="36"/>
          <w:lang w:val="en-US" w:eastAsia="it-IT"/>
        </w:rPr>
        <w:t xml:space="preserve"> colorimetric image of CD71 acquired on the </w:t>
      </w:r>
      <w:proofErr w:type="spellStart"/>
      <w:r w:rsidRPr="0061454B">
        <w:rPr>
          <w:rFonts w:ascii="Arial" w:eastAsia="Times New Roman" w:hAnsi="Arial" w:cs="Arial"/>
          <w:kern w:val="36"/>
          <w:lang w:val="en-US" w:eastAsia="it-IT"/>
        </w:rPr>
        <w:t>ChemiDoc</w:t>
      </w:r>
      <w:proofErr w:type="spellEnd"/>
      <w:r w:rsidRPr="0061454B">
        <w:rPr>
          <w:rFonts w:ascii="Arial" w:eastAsia="Times New Roman" w:hAnsi="Arial" w:cs="Arial"/>
          <w:kern w:val="36"/>
          <w:lang w:val="en-US" w:eastAsia="it-IT"/>
        </w:rPr>
        <w:t xml:space="preserve"> system after membrane cutting </w:t>
      </w:r>
      <w:r w:rsidRPr="0061454B">
        <w:rPr>
          <w:rFonts w:ascii="Arial" w:eastAsia="Times New Roman" w:hAnsi="Arial" w:cs="Arial"/>
          <w:b/>
          <w:bCs/>
          <w:kern w:val="36"/>
          <w:lang w:val="en-US" w:eastAsia="it-IT"/>
        </w:rPr>
        <w:t>I</w:t>
      </w:r>
      <w:r w:rsidRPr="0061454B">
        <w:rPr>
          <w:rFonts w:ascii="Arial" w:eastAsia="Times New Roman" w:hAnsi="Arial" w:cs="Arial"/>
          <w:kern w:val="36"/>
          <w:lang w:val="en-US" w:eastAsia="it-IT"/>
        </w:rPr>
        <w:t> CD71 chemiluminescent (ECL) exposure, short (30 s) highlighting high-abundance bands; </w:t>
      </w:r>
      <w:r w:rsidRPr="0061454B">
        <w:rPr>
          <w:rFonts w:ascii="Arial" w:eastAsia="Times New Roman" w:hAnsi="Arial" w:cs="Arial"/>
          <w:b/>
          <w:bCs/>
          <w:kern w:val="36"/>
          <w:lang w:val="en-US" w:eastAsia="it-IT"/>
        </w:rPr>
        <w:t>L</w:t>
      </w:r>
      <w:r w:rsidRPr="0061454B">
        <w:rPr>
          <w:rFonts w:ascii="Arial" w:eastAsia="Times New Roman" w:hAnsi="Arial" w:cs="Arial"/>
          <w:kern w:val="36"/>
          <w:lang w:val="en-US" w:eastAsia="it-IT"/>
        </w:rPr>
        <w:t> composite overlay of CD71 and colorimetric. Samples were loaded into gels from right to left, with the protein ladder in the first lane. Band intensities were quantified with ImageJ and normalized to stain-free total protein; quantitative data are reported in Fig. 6D and 6E (main text).</w:t>
      </w:r>
    </w:p>
    <w:p w14:paraId="476E5DB7" w14:textId="77777777" w:rsidR="00A61DD6" w:rsidRDefault="00A61DD6" w:rsidP="003D580C">
      <w:pPr>
        <w:spacing w:line="360" w:lineRule="auto"/>
        <w:rPr>
          <w:rFonts w:ascii="Arial" w:eastAsia="Times New Roman" w:hAnsi="Arial" w:cs="Arial"/>
          <w:kern w:val="36"/>
          <w:lang w:val="en-US" w:eastAsia="it-IT"/>
        </w:rPr>
      </w:pPr>
    </w:p>
    <w:p w14:paraId="700E0042" w14:textId="77777777" w:rsidR="00A61DD6" w:rsidRPr="00A61DD6" w:rsidRDefault="00A61DD6" w:rsidP="00A61DD6">
      <w:pPr>
        <w:spacing w:line="360" w:lineRule="auto"/>
        <w:rPr>
          <w:rFonts w:ascii="Arial" w:eastAsia="Times New Roman" w:hAnsi="Arial" w:cs="Arial"/>
          <w:b/>
          <w:bCs/>
          <w:kern w:val="36"/>
          <w:lang w:val="en-US" w:eastAsia="it-IT"/>
        </w:rPr>
      </w:pPr>
      <w:r>
        <w:rPr>
          <w:rFonts w:ascii="Arial" w:eastAsia="Times New Roman" w:hAnsi="Arial" w:cs="Arial"/>
          <w:kern w:val="36"/>
          <w:lang w:val="en-US" w:eastAsia="it-IT"/>
        </w:rPr>
        <w:t xml:space="preserve">Fig S5) </w:t>
      </w:r>
      <w:r w:rsidRPr="00A61DD6">
        <w:rPr>
          <w:rFonts w:ascii="Arial" w:eastAsia="Times New Roman" w:hAnsi="Arial" w:cs="Arial"/>
          <w:kern w:val="36"/>
          <w:lang w:val="en-US" w:eastAsia="it-IT"/>
        </w:rPr>
        <w:t>Western-blot analysis of LDHA in T-ALL cell lines after 24-48-72h SR 15 µM treatment (Membrane 1), related to Figure 6F.</w:t>
      </w:r>
      <w:r w:rsidRPr="00A61DD6">
        <w:rPr>
          <w:rFonts w:ascii="Arial" w:eastAsia="Times New Roman" w:hAnsi="Arial" w:cs="Arial"/>
          <w:b/>
          <w:bCs/>
          <w:kern w:val="36"/>
          <w:lang w:val="en-US" w:eastAsia="it-IT"/>
        </w:rPr>
        <w:t xml:space="preserve"> </w:t>
      </w:r>
      <w:r w:rsidRPr="00A61DD6">
        <w:rPr>
          <w:rFonts w:ascii="Arial" w:eastAsia="Times New Roman" w:hAnsi="Arial" w:cs="Arial"/>
          <w:kern w:val="36"/>
          <w:lang w:val="en-US" w:eastAsia="it-IT"/>
        </w:rPr>
        <w:t>Representative images from a single membrane are shown: </w:t>
      </w:r>
      <w:r w:rsidRPr="00A61DD6">
        <w:rPr>
          <w:rFonts w:ascii="Arial" w:eastAsia="Times New Roman" w:hAnsi="Arial" w:cs="Arial"/>
          <w:b/>
          <w:bCs/>
          <w:kern w:val="36"/>
          <w:lang w:val="en-US" w:eastAsia="it-IT"/>
        </w:rPr>
        <w:t>A</w:t>
      </w:r>
      <w:r w:rsidRPr="00A61DD6">
        <w:rPr>
          <w:rFonts w:ascii="Arial" w:eastAsia="Times New Roman" w:hAnsi="Arial" w:cs="Arial"/>
          <w:kern w:val="36"/>
          <w:lang w:val="en-US" w:eastAsia="it-IT"/>
        </w:rPr>
        <w:t> stain-free gel image prior to transfer (UV activation for total-protein visualization); </w:t>
      </w:r>
      <w:r w:rsidRPr="00A61DD6">
        <w:rPr>
          <w:rFonts w:ascii="Arial" w:eastAsia="Times New Roman" w:hAnsi="Arial" w:cs="Arial"/>
          <w:b/>
          <w:bCs/>
          <w:kern w:val="36"/>
          <w:lang w:val="en-US" w:eastAsia="it-IT"/>
        </w:rPr>
        <w:t>B</w:t>
      </w:r>
      <w:r w:rsidRPr="00A61DD6">
        <w:rPr>
          <w:rFonts w:ascii="Arial" w:eastAsia="Times New Roman" w:hAnsi="Arial" w:cs="Arial"/>
          <w:kern w:val="36"/>
          <w:lang w:val="en-US" w:eastAsia="it-IT"/>
        </w:rPr>
        <w:t xml:space="preserve"> membrane immediately after transfer (post-transfer total protein check); </w:t>
      </w:r>
      <w:r w:rsidRPr="00A61DD6">
        <w:rPr>
          <w:rFonts w:ascii="Arial" w:eastAsia="Times New Roman" w:hAnsi="Arial" w:cs="Arial"/>
          <w:b/>
          <w:bCs/>
          <w:kern w:val="36"/>
          <w:lang w:val="en-US" w:eastAsia="it-IT"/>
        </w:rPr>
        <w:t>C</w:t>
      </w:r>
      <w:r w:rsidRPr="00A61DD6">
        <w:rPr>
          <w:rFonts w:ascii="Arial" w:eastAsia="Times New Roman" w:hAnsi="Arial" w:cs="Arial"/>
          <w:kern w:val="36"/>
          <w:lang w:val="en-US" w:eastAsia="it-IT"/>
        </w:rPr>
        <w:t xml:space="preserve"> colorimetric image acquired on the </w:t>
      </w:r>
      <w:proofErr w:type="spellStart"/>
      <w:r w:rsidRPr="00A61DD6">
        <w:rPr>
          <w:rFonts w:ascii="Arial" w:eastAsia="Times New Roman" w:hAnsi="Arial" w:cs="Arial"/>
          <w:kern w:val="36"/>
          <w:lang w:val="en-US" w:eastAsia="it-IT"/>
        </w:rPr>
        <w:t>ChemiDoc</w:t>
      </w:r>
      <w:proofErr w:type="spellEnd"/>
      <w:r w:rsidRPr="00A61DD6">
        <w:rPr>
          <w:rFonts w:ascii="Arial" w:eastAsia="Times New Roman" w:hAnsi="Arial" w:cs="Arial"/>
          <w:kern w:val="36"/>
          <w:lang w:val="en-US" w:eastAsia="it-IT"/>
        </w:rPr>
        <w:t xml:space="preserve"> system for transfer/loading assessment; </w:t>
      </w:r>
      <w:r w:rsidRPr="00A61DD6">
        <w:rPr>
          <w:rFonts w:ascii="Arial" w:eastAsia="Times New Roman" w:hAnsi="Arial" w:cs="Arial"/>
          <w:b/>
          <w:bCs/>
          <w:kern w:val="36"/>
          <w:lang w:val="en-US" w:eastAsia="it-IT"/>
        </w:rPr>
        <w:t>D</w:t>
      </w:r>
      <w:r w:rsidRPr="00A61DD6">
        <w:rPr>
          <w:rFonts w:ascii="Arial" w:eastAsia="Times New Roman" w:hAnsi="Arial" w:cs="Arial"/>
          <w:kern w:val="36"/>
          <w:lang w:val="en-US" w:eastAsia="it-IT"/>
        </w:rPr>
        <w:t xml:space="preserve"> colorimetric image of LDHA acquired on the </w:t>
      </w:r>
      <w:proofErr w:type="spellStart"/>
      <w:r w:rsidRPr="00A61DD6">
        <w:rPr>
          <w:rFonts w:ascii="Arial" w:eastAsia="Times New Roman" w:hAnsi="Arial" w:cs="Arial"/>
          <w:kern w:val="36"/>
          <w:lang w:val="en-US" w:eastAsia="it-IT"/>
        </w:rPr>
        <w:t>ChemiDoc</w:t>
      </w:r>
      <w:proofErr w:type="spellEnd"/>
      <w:r w:rsidRPr="00A61DD6">
        <w:rPr>
          <w:rFonts w:ascii="Arial" w:eastAsia="Times New Roman" w:hAnsi="Arial" w:cs="Arial"/>
          <w:kern w:val="36"/>
          <w:lang w:val="en-US" w:eastAsia="it-IT"/>
        </w:rPr>
        <w:t xml:space="preserve"> system after membrane cutting </w:t>
      </w:r>
      <w:r w:rsidRPr="00A61DD6">
        <w:rPr>
          <w:rFonts w:ascii="Arial" w:eastAsia="Times New Roman" w:hAnsi="Arial" w:cs="Arial"/>
          <w:b/>
          <w:bCs/>
          <w:kern w:val="36"/>
          <w:lang w:val="en-US" w:eastAsia="it-IT"/>
        </w:rPr>
        <w:t>E</w:t>
      </w:r>
      <w:r w:rsidRPr="00A61DD6">
        <w:rPr>
          <w:rFonts w:ascii="Arial" w:eastAsia="Times New Roman" w:hAnsi="Arial" w:cs="Arial"/>
          <w:kern w:val="36"/>
          <w:lang w:val="en-US" w:eastAsia="it-IT"/>
        </w:rPr>
        <w:t xml:space="preserve"> LDHA chemiluminescent (ECL) exposure, short (30 s) highlighting high-abundance bands;  </w:t>
      </w:r>
      <w:r w:rsidRPr="00A61DD6">
        <w:rPr>
          <w:rFonts w:ascii="Arial" w:eastAsia="Times New Roman" w:hAnsi="Arial" w:cs="Arial"/>
          <w:b/>
          <w:bCs/>
          <w:kern w:val="36"/>
          <w:lang w:val="en-US" w:eastAsia="it-IT"/>
        </w:rPr>
        <w:t>F</w:t>
      </w:r>
      <w:r w:rsidRPr="00A61DD6">
        <w:rPr>
          <w:rFonts w:ascii="Arial" w:eastAsia="Times New Roman" w:hAnsi="Arial" w:cs="Arial"/>
          <w:kern w:val="36"/>
          <w:lang w:val="en-US" w:eastAsia="it-IT"/>
        </w:rPr>
        <w:t> composite overlay of LDHA and colorimetric. Band intensities were quantified with ImageJ and normalized to stain-free total protein; quantitative data are reported in Fig. 6F (main text).</w:t>
      </w:r>
    </w:p>
    <w:p w14:paraId="642CC874" w14:textId="77777777" w:rsidR="00A61DD6" w:rsidRPr="0061454B" w:rsidRDefault="00A61DD6" w:rsidP="003D580C">
      <w:pPr>
        <w:spacing w:line="360" w:lineRule="auto"/>
        <w:rPr>
          <w:rFonts w:ascii="Arial" w:eastAsia="Times New Roman" w:hAnsi="Arial" w:cs="Arial"/>
          <w:kern w:val="36"/>
          <w:lang w:val="en-US" w:eastAsia="it-IT"/>
        </w:rPr>
      </w:pPr>
    </w:p>
    <w:p w14:paraId="2512FA4F" w14:textId="77777777" w:rsidR="0061454B" w:rsidRDefault="0061454B" w:rsidP="003D580C">
      <w:pPr>
        <w:spacing w:line="360" w:lineRule="auto"/>
        <w:rPr>
          <w:rFonts w:ascii="Arial" w:eastAsia="Times New Roman" w:hAnsi="Arial" w:cs="Arial"/>
          <w:kern w:val="36"/>
          <w:lang w:val="en-US" w:eastAsia="it-IT"/>
        </w:rPr>
      </w:pPr>
    </w:p>
    <w:p w14:paraId="64197F50" w14:textId="77777777" w:rsidR="00AC3401" w:rsidRPr="00A61DD6" w:rsidRDefault="00AC3401" w:rsidP="003D580C">
      <w:pPr>
        <w:spacing w:line="360" w:lineRule="auto"/>
        <w:rPr>
          <w:rFonts w:ascii="Arial" w:eastAsia="Times New Roman" w:hAnsi="Arial" w:cs="Arial"/>
          <w:b/>
          <w:bCs/>
          <w:kern w:val="36"/>
          <w:sz w:val="28"/>
          <w:szCs w:val="28"/>
          <w:lang w:val="en-US" w:eastAsia="it-IT"/>
        </w:rPr>
      </w:pPr>
      <w:r w:rsidRPr="00A61DD6">
        <w:rPr>
          <w:rFonts w:ascii="Arial" w:eastAsia="Times New Roman" w:hAnsi="Arial" w:cs="Arial"/>
          <w:b/>
          <w:bCs/>
          <w:kern w:val="36"/>
          <w:sz w:val="28"/>
          <w:szCs w:val="28"/>
          <w:lang w:val="en-US" w:eastAsia="it-IT"/>
        </w:rPr>
        <w:t>Supplemental Methods</w:t>
      </w:r>
    </w:p>
    <w:p w14:paraId="41361F5E" w14:textId="77777777" w:rsidR="00AC3401" w:rsidRPr="0061454B" w:rsidRDefault="00AC3401" w:rsidP="003D580C">
      <w:pPr>
        <w:spacing w:line="360" w:lineRule="auto"/>
        <w:rPr>
          <w:rFonts w:ascii="Arial" w:eastAsia="Times New Roman" w:hAnsi="Arial" w:cs="Arial"/>
          <w:kern w:val="36"/>
          <w:lang w:val="en-US" w:eastAsia="it-IT"/>
        </w:rPr>
      </w:pPr>
    </w:p>
    <w:p w14:paraId="545E23ED" w14:textId="77777777" w:rsidR="00AC3401" w:rsidRPr="003D580C" w:rsidRDefault="00A678DC" w:rsidP="003D580C">
      <w:pPr>
        <w:spacing w:line="360" w:lineRule="auto"/>
        <w:rPr>
          <w:rFonts w:ascii="Arial" w:hAnsi="Arial" w:cs="Arial"/>
          <w:b/>
          <w:bCs/>
          <w:lang w:val="en-US"/>
        </w:rPr>
      </w:pPr>
      <w:r w:rsidRPr="003D580C">
        <w:rPr>
          <w:rFonts w:ascii="Arial" w:hAnsi="Arial" w:cs="Arial"/>
          <w:b/>
          <w:bCs/>
          <w:lang w:val="en-US"/>
        </w:rPr>
        <w:t>Cell line and cell culture</w:t>
      </w:r>
    </w:p>
    <w:p w14:paraId="3A951F94" w14:textId="77777777" w:rsidR="00A678DC" w:rsidRPr="003D580C" w:rsidRDefault="00D12F03" w:rsidP="003D580C">
      <w:pPr>
        <w:spacing w:line="360" w:lineRule="auto"/>
        <w:rPr>
          <w:rFonts w:ascii="Arial" w:hAnsi="Arial" w:cs="Arial"/>
          <w:lang w:val="en-US"/>
        </w:rPr>
      </w:pPr>
      <w:r w:rsidRPr="003D580C">
        <w:rPr>
          <w:rFonts w:ascii="Arial" w:hAnsi="Arial" w:cs="Arial"/>
          <w:lang w:val="en-US"/>
        </w:rPr>
        <w:lastRenderedPageBreak/>
        <w:t>Information on cell line origin, immunophenotype, cytogenetics, and known mutations is provided in Table SM1.</w:t>
      </w:r>
    </w:p>
    <w:p w14:paraId="05E93A80" w14:textId="77777777" w:rsidR="00093344" w:rsidRPr="003D580C" w:rsidRDefault="00093344" w:rsidP="003D580C">
      <w:pPr>
        <w:spacing w:line="360" w:lineRule="auto"/>
        <w:rPr>
          <w:rFonts w:ascii="Arial" w:hAnsi="Arial" w:cs="Arial"/>
          <w:lang w:val="en-US"/>
        </w:rPr>
      </w:pPr>
    </w:p>
    <w:p w14:paraId="5F75E9C9" w14:textId="77777777" w:rsidR="00093344" w:rsidRDefault="00093344" w:rsidP="003D580C">
      <w:pPr>
        <w:spacing w:line="360" w:lineRule="auto"/>
        <w:rPr>
          <w:rFonts w:ascii="Arial" w:hAnsi="Arial" w:cs="Arial"/>
          <w:b/>
          <w:bCs/>
          <w:lang w:val="en-US"/>
        </w:rPr>
      </w:pPr>
      <w:r w:rsidRPr="003D580C">
        <w:rPr>
          <w:rFonts w:ascii="Arial" w:hAnsi="Arial" w:cs="Arial"/>
          <w:b/>
          <w:bCs/>
          <w:lang w:val="en-US"/>
        </w:rPr>
        <w:t>Protein extraction and Wester</w:t>
      </w:r>
      <w:r w:rsidR="004E7C5D">
        <w:rPr>
          <w:rFonts w:ascii="Arial" w:hAnsi="Arial" w:cs="Arial"/>
          <w:b/>
          <w:bCs/>
          <w:lang w:val="en-US"/>
        </w:rPr>
        <w:t>n</w:t>
      </w:r>
      <w:r w:rsidRPr="003D580C">
        <w:rPr>
          <w:rFonts w:ascii="Arial" w:hAnsi="Arial" w:cs="Arial"/>
          <w:b/>
          <w:bCs/>
          <w:lang w:val="en-US"/>
        </w:rPr>
        <w:t xml:space="preserve"> Blot Analysis</w:t>
      </w:r>
    </w:p>
    <w:p w14:paraId="4996A115" w14:textId="77777777" w:rsidR="008D1BFE" w:rsidRPr="005E3ABD" w:rsidRDefault="005E3ABD" w:rsidP="003D580C">
      <w:pPr>
        <w:spacing w:line="360" w:lineRule="auto"/>
        <w:rPr>
          <w:rFonts w:ascii="Arial" w:hAnsi="Arial" w:cs="Arial"/>
          <w:lang w:val="en-US"/>
        </w:rPr>
      </w:pPr>
      <w:r w:rsidRPr="005E3ABD">
        <w:rPr>
          <w:rFonts w:ascii="Arial" w:hAnsi="Arial" w:cs="Arial"/>
          <w:lang w:val="en-US"/>
        </w:rPr>
        <w:t>Detailed procedures are described below.</w:t>
      </w:r>
      <w:r>
        <w:rPr>
          <w:rFonts w:ascii="Arial" w:hAnsi="Arial" w:cs="Arial"/>
          <w:lang w:val="en-US"/>
        </w:rPr>
        <w:t xml:space="preserve"> </w:t>
      </w:r>
      <w:r w:rsidRPr="005E3ABD">
        <w:rPr>
          <w:rFonts w:ascii="Arial" w:hAnsi="Arial" w:cs="Arial"/>
          <w:lang w:val="en-US"/>
        </w:rPr>
        <w:t>Cell pellets were resuspended in RIPA lysis buffer (Millipore) supplemented with protease and phosphatase inhibitors (Sigma-Aldrich) and centrifuged at 10,000 × g for 30 min at 4°C. Protein concentration was determined using the Bradford assay (Bio-Rad) at 595 nm.</w:t>
      </w:r>
      <w:r>
        <w:rPr>
          <w:rFonts w:ascii="Arial" w:hAnsi="Arial" w:cs="Arial"/>
          <w:lang w:val="en-US"/>
        </w:rPr>
        <w:t xml:space="preserve"> </w:t>
      </w:r>
      <w:r w:rsidRPr="005E3ABD">
        <w:rPr>
          <w:rFonts w:ascii="Arial" w:hAnsi="Arial" w:cs="Arial"/>
          <w:lang w:val="en-US"/>
        </w:rPr>
        <w:t xml:space="preserve">Forty micrograms of total protein were separated on 4–20% SDS-PAGE precast gels and transferred onto PVDF or nitrocellulose membranes using a Trans-Blot Turbo Transfer System (Bio-Rad). Membranes were blocked in </w:t>
      </w:r>
      <w:proofErr w:type="spellStart"/>
      <w:r w:rsidRPr="005E3ABD">
        <w:rPr>
          <w:rFonts w:ascii="Arial" w:hAnsi="Arial" w:cs="Arial"/>
          <w:lang w:val="en-US"/>
        </w:rPr>
        <w:t>EveryBlot</w:t>
      </w:r>
      <w:proofErr w:type="spellEnd"/>
      <w:r w:rsidRPr="005E3ABD">
        <w:rPr>
          <w:rFonts w:ascii="Arial" w:hAnsi="Arial" w:cs="Arial"/>
          <w:lang w:val="en-US"/>
        </w:rPr>
        <w:t xml:space="preserve"> Blocking Buffer (Bio-Rad) and incubated overnight at 4°C with primary antibodies </w:t>
      </w:r>
      <w:r w:rsidR="00D7238D">
        <w:rPr>
          <w:rFonts w:ascii="Arial" w:hAnsi="Arial" w:cs="Arial"/>
          <w:lang w:val="en-US"/>
        </w:rPr>
        <w:t>listed in</w:t>
      </w:r>
      <w:r w:rsidRPr="005E3ABD">
        <w:rPr>
          <w:rFonts w:ascii="Arial" w:hAnsi="Arial" w:cs="Arial"/>
          <w:lang w:val="en-US"/>
        </w:rPr>
        <w:t xml:space="preserve"> </w:t>
      </w:r>
      <w:r w:rsidR="00D7238D">
        <w:rPr>
          <w:rFonts w:ascii="Arial" w:hAnsi="Arial" w:cs="Arial"/>
          <w:lang w:val="en-US"/>
        </w:rPr>
        <w:t>s</w:t>
      </w:r>
      <w:r w:rsidRPr="005E3ABD">
        <w:rPr>
          <w:rFonts w:ascii="Arial" w:hAnsi="Arial" w:cs="Arial"/>
          <w:lang w:val="en-US"/>
        </w:rPr>
        <w:t>upplement</w:t>
      </w:r>
      <w:r w:rsidR="00D7238D">
        <w:rPr>
          <w:rFonts w:ascii="Arial" w:hAnsi="Arial" w:cs="Arial"/>
          <w:lang w:val="en-US"/>
        </w:rPr>
        <w:t>al</w:t>
      </w:r>
      <w:r w:rsidRPr="005E3ABD">
        <w:rPr>
          <w:rFonts w:ascii="Arial" w:hAnsi="Arial" w:cs="Arial"/>
          <w:lang w:val="en-US"/>
        </w:rPr>
        <w:t xml:space="preserve"> Methods Table 2.</w:t>
      </w:r>
      <w:r>
        <w:rPr>
          <w:rFonts w:ascii="Arial" w:hAnsi="Arial" w:cs="Arial"/>
          <w:lang w:val="en-US"/>
        </w:rPr>
        <w:t xml:space="preserve"> </w:t>
      </w:r>
      <w:r w:rsidRPr="005E3ABD">
        <w:rPr>
          <w:rFonts w:ascii="Arial" w:hAnsi="Arial" w:cs="Arial"/>
          <w:lang w:val="en-US"/>
        </w:rPr>
        <w:t xml:space="preserve">After washing, membranes were incubated with HRP-conjugated secondary antibodies and developed using enhanced chemiluminescence reagents (Bio-Rad). Signal acquisition was done with a </w:t>
      </w:r>
      <w:proofErr w:type="spellStart"/>
      <w:r w:rsidRPr="005E3ABD">
        <w:rPr>
          <w:rFonts w:ascii="Arial" w:hAnsi="Arial" w:cs="Arial"/>
          <w:lang w:val="en-US"/>
        </w:rPr>
        <w:t>ChemiDoc</w:t>
      </w:r>
      <w:proofErr w:type="spellEnd"/>
      <w:r w:rsidRPr="005E3ABD">
        <w:rPr>
          <w:rFonts w:ascii="Arial" w:hAnsi="Arial" w:cs="Arial"/>
          <w:lang w:val="en-US"/>
        </w:rPr>
        <w:t xml:space="preserve"> imaging system (Bio-Rad).</w:t>
      </w:r>
      <w:r>
        <w:rPr>
          <w:rFonts w:ascii="Arial" w:hAnsi="Arial" w:cs="Arial"/>
          <w:lang w:val="en-US"/>
        </w:rPr>
        <w:t xml:space="preserve"> </w:t>
      </w:r>
      <w:r w:rsidRPr="005E3ABD">
        <w:rPr>
          <w:rFonts w:ascii="Arial" w:hAnsi="Arial" w:cs="Arial"/>
          <w:lang w:val="en-US"/>
        </w:rPr>
        <w:t>Densitometric analysis was performed using ImageJ (NIH). Protein signals were normalized to total protein per lane, obtained either from stain-free gel activation after transfer or from Ponceau S staining (</w:t>
      </w:r>
      <w:proofErr w:type="spellStart"/>
      <w:r w:rsidRPr="005E3ABD">
        <w:rPr>
          <w:rFonts w:ascii="Arial" w:hAnsi="Arial" w:cs="Arial"/>
          <w:lang w:val="en-US"/>
        </w:rPr>
        <w:t>Thermo</w:t>
      </w:r>
      <w:proofErr w:type="spellEnd"/>
      <w:r w:rsidRPr="005E3ABD">
        <w:rPr>
          <w:rFonts w:ascii="Arial" w:hAnsi="Arial" w:cs="Arial"/>
          <w:lang w:val="en-US"/>
        </w:rPr>
        <w:t xml:space="preserve"> Fisher Scientific). Background subtraction was applied uniformly across all lanes.</w:t>
      </w:r>
      <w:r>
        <w:rPr>
          <w:rFonts w:ascii="Arial" w:hAnsi="Arial" w:cs="Arial"/>
          <w:lang w:val="en-US"/>
        </w:rPr>
        <w:t xml:space="preserve"> </w:t>
      </w:r>
      <w:r w:rsidR="008D1BFE" w:rsidRPr="003D580C">
        <w:rPr>
          <w:rFonts w:ascii="Arial" w:hAnsi="Arial" w:cs="Arial"/>
          <w:lang w:val="en-US"/>
        </w:rPr>
        <w:t xml:space="preserve">Primary antibodies were diluted at the indicated concentrations (Table SM2) in 5% </w:t>
      </w:r>
      <w:r w:rsidR="003D580C" w:rsidRPr="003D580C">
        <w:rPr>
          <w:rFonts w:ascii="Arial" w:hAnsi="Arial" w:cs="Arial"/>
          <w:lang w:val="en-US"/>
        </w:rPr>
        <w:t xml:space="preserve">of Bovine Serum </w:t>
      </w:r>
      <w:proofErr w:type="spellStart"/>
      <w:r w:rsidR="003D580C" w:rsidRPr="003D580C">
        <w:rPr>
          <w:rFonts w:ascii="Arial" w:hAnsi="Arial" w:cs="Arial"/>
          <w:lang w:val="en-US"/>
        </w:rPr>
        <w:t>Albumine</w:t>
      </w:r>
      <w:proofErr w:type="spellEnd"/>
      <w:r w:rsidR="003D580C" w:rsidRPr="003D580C">
        <w:rPr>
          <w:rFonts w:ascii="Arial" w:hAnsi="Arial" w:cs="Arial"/>
          <w:lang w:val="en-US"/>
        </w:rPr>
        <w:t xml:space="preserve"> (</w:t>
      </w:r>
      <w:r w:rsidR="008D1BFE" w:rsidRPr="003D580C">
        <w:rPr>
          <w:rFonts w:ascii="Arial" w:hAnsi="Arial" w:cs="Arial"/>
          <w:lang w:val="en-US"/>
        </w:rPr>
        <w:t>BSA</w:t>
      </w:r>
      <w:r w:rsidR="003D580C" w:rsidRPr="003D580C">
        <w:rPr>
          <w:rFonts w:ascii="Arial" w:hAnsi="Arial" w:cs="Arial"/>
          <w:lang w:val="en-US"/>
        </w:rPr>
        <w:t>)</w:t>
      </w:r>
      <w:r w:rsidR="008D1BFE" w:rsidRPr="003D580C">
        <w:rPr>
          <w:rFonts w:ascii="Arial" w:hAnsi="Arial" w:cs="Arial"/>
          <w:lang w:val="en-US"/>
        </w:rPr>
        <w:t xml:space="preserve"> prepared fresh in </w:t>
      </w:r>
      <w:r w:rsidR="003D580C" w:rsidRPr="003D580C">
        <w:rPr>
          <w:rFonts w:ascii="Arial" w:hAnsi="Arial" w:cs="Arial"/>
          <w:lang w:val="en-US"/>
        </w:rPr>
        <w:t>PBS-Tween20 (PBST)</w:t>
      </w:r>
      <w:r w:rsidR="008D1BFE" w:rsidRPr="003D580C">
        <w:rPr>
          <w:rFonts w:ascii="Arial" w:hAnsi="Arial" w:cs="Arial"/>
          <w:lang w:val="en-US"/>
        </w:rPr>
        <w:t xml:space="preserve"> and used immediately for membrane incubation according to standard immunoblotting procedures.</w:t>
      </w:r>
    </w:p>
    <w:p w14:paraId="32AE6D09" w14:textId="77777777" w:rsidR="002A3236" w:rsidRPr="003D580C" w:rsidRDefault="002A3236" w:rsidP="003D580C">
      <w:pPr>
        <w:spacing w:line="360" w:lineRule="auto"/>
        <w:rPr>
          <w:rFonts w:ascii="Arial" w:hAnsi="Arial" w:cs="Arial"/>
          <w:lang w:val="en-US"/>
        </w:rPr>
      </w:pPr>
    </w:p>
    <w:p w14:paraId="6899B3E8" w14:textId="77777777" w:rsidR="00141CF6" w:rsidRPr="003D580C" w:rsidRDefault="00141CF6" w:rsidP="003D580C">
      <w:pPr>
        <w:spacing w:line="360" w:lineRule="auto"/>
        <w:rPr>
          <w:rFonts w:ascii="Arial" w:hAnsi="Arial" w:cs="Arial"/>
          <w:b/>
          <w:bCs/>
          <w:lang w:val="en-US"/>
        </w:rPr>
      </w:pPr>
      <w:r w:rsidRPr="003D580C">
        <w:rPr>
          <w:rFonts w:ascii="Arial" w:hAnsi="Arial" w:cs="Arial"/>
          <w:b/>
          <w:bCs/>
          <w:lang w:val="en-US"/>
        </w:rPr>
        <w:t>Metabolic Assay</w:t>
      </w:r>
    </w:p>
    <w:p w14:paraId="6B97A99D" w14:textId="77777777" w:rsidR="002A3236" w:rsidRDefault="002A3236" w:rsidP="003D580C">
      <w:pPr>
        <w:spacing w:line="360" w:lineRule="auto"/>
        <w:rPr>
          <w:rFonts w:ascii="Arial" w:hAnsi="Arial" w:cs="Arial"/>
          <w:lang w:val="en-US"/>
        </w:rPr>
      </w:pPr>
      <w:r w:rsidRPr="002A3236">
        <w:rPr>
          <w:rFonts w:ascii="Arial" w:hAnsi="Arial" w:cs="Arial"/>
          <w:lang w:val="en-US"/>
        </w:rPr>
        <w:t>T-ALL cell lines</w:t>
      </w:r>
      <w:r w:rsidRPr="003D580C">
        <w:rPr>
          <w:rFonts w:ascii="Arial" w:hAnsi="Arial" w:cs="Arial"/>
          <w:lang w:val="en-US"/>
        </w:rPr>
        <w:t xml:space="preserve">, </w:t>
      </w:r>
      <w:r w:rsidRPr="002A3236">
        <w:rPr>
          <w:rFonts w:ascii="Arial" w:hAnsi="Arial" w:cs="Arial"/>
          <w:lang w:val="en-US"/>
        </w:rPr>
        <w:t>primary blasts</w:t>
      </w:r>
      <w:r w:rsidRPr="003D580C">
        <w:rPr>
          <w:rFonts w:ascii="Arial" w:hAnsi="Arial" w:cs="Arial"/>
          <w:lang w:val="en-US"/>
        </w:rPr>
        <w:t xml:space="preserve"> and </w:t>
      </w:r>
      <w:r w:rsidR="00141CF6" w:rsidRPr="003D580C">
        <w:rPr>
          <w:rFonts w:ascii="Arial" w:hAnsi="Arial" w:cs="Arial"/>
          <w:lang w:val="en-US"/>
        </w:rPr>
        <w:t>normal PBMCs</w:t>
      </w:r>
      <w:r w:rsidRPr="002A3236">
        <w:rPr>
          <w:rFonts w:ascii="Arial" w:hAnsi="Arial" w:cs="Arial"/>
          <w:lang w:val="en-US"/>
        </w:rPr>
        <w:t xml:space="preserve"> were counted on the day of the assay and seeded at the same cell density to minimize OCR and PER variability due to differences in cell number rather than metabolic activity. Cells were washed twice in XF assay medium, plated in poly-L-lysine–coated XFe96 plates, and centrifuged at 1200 rpm for 10 min. Plates were incubated in a CO</w:t>
      </w:r>
      <w:r w:rsidRPr="002A3236">
        <w:rPr>
          <w:rFonts w:ascii="Cambria Math" w:hAnsi="Cambria Math" w:cs="Cambria Math"/>
          <w:lang w:val="en-US"/>
        </w:rPr>
        <w:t>₂</w:t>
      </w:r>
      <w:r w:rsidRPr="002A3236">
        <w:rPr>
          <w:rFonts w:ascii="Arial" w:hAnsi="Arial" w:cs="Arial"/>
          <w:lang w:val="en-US"/>
        </w:rPr>
        <w:t xml:space="preserve">-free incubator at 37 °C according to the manufacturer’s instructions prior to Seahorse measurements. </w:t>
      </w:r>
      <w:r w:rsidR="006714D3" w:rsidRPr="003D580C">
        <w:rPr>
          <w:rFonts w:ascii="Arial" w:hAnsi="Arial" w:cs="Arial"/>
          <w:lang w:val="en-US"/>
        </w:rPr>
        <w:t>Pretreatment and s</w:t>
      </w:r>
      <w:r w:rsidRPr="002A3236">
        <w:rPr>
          <w:rFonts w:ascii="Arial" w:hAnsi="Arial" w:cs="Arial"/>
          <w:lang w:val="en-US"/>
        </w:rPr>
        <w:t xml:space="preserve">equential injections </w:t>
      </w:r>
      <w:r w:rsidR="006714D3" w:rsidRPr="003D580C">
        <w:rPr>
          <w:rFonts w:ascii="Arial" w:hAnsi="Arial" w:cs="Arial"/>
          <w:lang w:val="en-US"/>
        </w:rPr>
        <w:t>with</w:t>
      </w:r>
      <w:r w:rsidRPr="002A3236">
        <w:rPr>
          <w:rFonts w:ascii="Arial" w:hAnsi="Arial" w:cs="Arial"/>
          <w:lang w:val="en-US"/>
        </w:rPr>
        <w:t xml:space="preserve"> concentrations are summarized in Table SM</w:t>
      </w:r>
      <w:r w:rsidR="00093344" w:rsidRPr="003D580C">
        <w:rPr>
          <w:rFonts w:ascii="Arial" w:hAnsi="Arial" w:cs="Arial"/>
          <w:lang w:val="en-US"/>
        </w:rPr>
        <w:t>3</w:t>
      </w:r>
      <w:r w:rsidRPr="002A3236">
        <w:rPr>
          <w:rFonts w:ascii="Arial" w:hAnsi="Arial" w:cs="Arial"/>
          <w:lang w:val="en-US"/>
        </w:rPr>
        <w:t>.</w:t>
      </w:r>
    </w:p>
    <w:p w14:paraId="3452E02D" w14:textId="77777777" w:rsidR="007223A2" w:rsidRPr="007223A2" w:rsidRDefault="007223A2" w:rsidP="007223A2">
      <w:pPr>
        <w:spacing w:line="360" w:lineRule="auto"/>
        <w:rPr>
          <w:rFonts w:ascii="Arial" w:hAnsi="Arial" w:cs="Arial"/>
          <w:lang w:val="en-US"/>
        </w:rPr>
      </w:pPr>
      <w:r w:rsidRPr="007223A2">
        <w:rPr>
          <w:rFonts w:ascii="Arial" w:hAnsi="Arial" w:cs="Arial"/>
          <w:b/>
          <w:bCs/>
          <w:lang w:val="en-US"/>
        </w:rPr>
        <w:t xml:space="preserve">Mitochondrial respiration (Mito Stress Test): </w:t>
      </w:r>
      <w:r w:rsidRPr="007223A2">
        <w:rPr>
          <w:rFonts w:ascii="Arial" w:hAnsi="Arial" w:cs="Arial"/>
          <w:lang w:val="en-US"/>
        </w:rPr>
        <w:t xml:space="preserve">Oxygen consumption rate (OCR) was measured under basal conditions and following sequential injections of oligomycin (1.5 µM), FCCP (1 µM), and rotenone/antimycin A (0.5 µM). Basal respiration reflects </w:t>
      </w:r>
      <w:r w:rsidRPr="007223A2">
        <w:rPr>
          <w:rFonts w:ascii="Arial" w:hAnsi="Arial" w:cs="Arial"/>
          <w:lang w:val="en-US"/>
        </w:rPr>
        <w:lastRenderedPageBreak/>
        <w:t>mitochondrial activity at baseline, and maximal respiration was calculated after FCCP injection.</w:t>
      </w:r>
    </w:p>
    <w:p w14:paraId="6A6EE6A7" w14:textId="77777777" w:rsidR="007223A2" w:rsidRPr="007223A2" w:rsidRDefault="007223A2" w:rsidP="007223A2">
      <w:pPr>
        <w:spacing w:line="360" w:lineRule="auto"/>
        <w:rPr>
          <w:rFonts w:ascii="Arial" w:hAnsi="Arial" w:cs="Arial"/>
          <w:lang w:val="en-US"/>
        </w:rPr>
      </w:pPr>
      <w:r w:rsidRPr="007223A2">
        <w:rPr>
          <w:rFonts w:ascii="Arial" w:hAnsi="Arial" w:cs="Arial"/>
          <w:b/>
          <w:bCs/>
          <w:lang w:val="en-US"/>
        </w:rPr>
        <w:t>Glycolysis (Glycolytic Rate Assay):</w:t>
      </w:r>
      <w:r>
        <w:rPr>
          <w:rFonts w:ascii="Arial" w:hAnsi="Arial" w:cs="Arial"/>
          <w:lang w:val="en-US"/>
        </w:rPr>
        <w:t xml:space="preserve"> </w:t>
      </w:r>
      <w:r w:rsidRPr="007223A2">
        <w:rPr>
          <w:rFonts w:ascii="Arial" w:hAnsi="Arial" w:cs="Arial"/>
          <w:lang w:val="en-US"/>
        </w:rPr>
        <w:t>Proton efflux rate (PER) was measured following sequential injections of Rot/AA (0.5 µM) and 2-deoxy-D-glucose (2-DG, 50 mM). Glycolytic rate (</w:t>
      </w:r>
      <w:proofErr w:type="spellStart"/>
      <w:r w:rsidRPr="007223A2">
        <w:rPr>
          <w:rFonts w:ascii="Arial" w:hAnsi="Arial" w:cs="Arial"/>
          <w:lang w:val="en-US"/>
        </w:rPr>
        <w:t>glycoPER</w:t>
      </w:r>
      <w:proofErr w:type="spellEnd"/>
      <w:r w:rsidRPr="007223A2">
        <w:rPr>
          <w:rFonts w:ascii="Arial" w:hAnsi="Arial" w:cs="Arial"/>
          <w:lang w:val="en-US"/>
        </w:rPr>
        <w:t>) correlates 1:1 with extracellular lactate accumulation.</w:t>
      </w:r>
    </w:p>
    <w:p w14:paraId="3B93795F" w14:textId="77777777" w:rsidR="007223A2" w:rsidRPr="007223A2" w:rsidRDefault="007223A2" w:rsidP="007223A2">
      <w:pPr>
        <w:spacing w:line="360" w:lineRule="auto"/>
        <w:rPr>
          <w:rFonts w:ascii="Arial" w:hAnsi="Arial" w:cs="Arial"/>
          <w:lang w:val="en-US"/>
        </w:rPr>
      </w:pPr>
      <w:r w:rsidRPr="007223A2">
        <w:rPr>
          <w:rFonts w:ascii="Arial" w:hAnsi="Arial" w:cs="Arial"/>
          <w:b/>
          <w:bCs/>
          <w:lang w:val="en-US"/>
        </w:rPr>
        <w:t>ATP production (ATP Rate Assay):</w:t>
      </w:r>
      <w:r>
        <w:rPr>
          <w:rFonts w:ascii="Arial" w:hAnsi="Arial" w:cs="Arial"/>
          <w:lang w:val="en-US"/>
        </w:rPr>
        <w:t xml:space="preserve"> </w:t>
      </w:r>
      <w:r w:rsidRPr="007223A2">
        <w:rPr>
          <w:rFonts w:ascii="Arial" w:hAnsi="Arial" w:cs="Arial"/>
          <w:lang w:val="en-US"/>
        </w:rPr>
        <w:t>ATP production rates (</w:t>
      </w:r>
      <w:proofErr w:type="spellStart"/>
      <w:r w:rsidRPr="007223A2">
        <w:rPr>
          <w:rFonts w:ascii="Arial" w:hAnsi="Arial" w:cs="Arial"/>
          <w:lang w:val="en-US"/>
        </w:rPr>
        <w:t>glycoATP</w:t>
      </w:r>
      <w:proofErr w:type="spellEnd"/>
      <w:r w:rsidRPr="007223A2">
        <w:rPr>
          <w:rFonts w:ascii="Arial" w:hAnsi="Arial" w:cs="Arial"/>
          <w:lang w:val="en-US"/>
        </w:rPr>
        <w:t xml:space="preserve">, </w:t>
      </w:r>
      <w:proofErr w:type="spellStart"/>
      <w:r w:rsidRPr="007223A2">
        <w:rPr>
          <w:rFonts w:ascii="Arial" w:hAnsi="Arial" w:cs="Arial"/>
          <w:lang w:val="en-US"/>
        </w:rPr>
        <w:t>mitoATP</w:t>
      </w:r>
      <w:proofErr w:type="spellEnd"/>
      <w:r w:rsidRPr="007223A2">
        <w:rPr>
          <w:rFonts w:ascii="Arial" w:hAnsi="Arial" w:cs="Arial"/>
          <w:lang w:val="en-US"/>
        </w:rPr>
        <w:t>, total ATP) and the XF-ATP rate index were determined using the ATP Rate Assay, with sequential injections of oligomycin and Rot/AA.</w:t>
      </w:r>
    </w:p>
    <w:p w14:paraId="23A41026" w14:textId="77777777" w:rsidR="007223A2" w:rsidRPr="007223A2" w:rsidRDefault="007223A2" w:rsidP="007223A2">
      <w:pPr>
        <w:spacing w:line="360" w:lineRule="auto"/>
        <w:rPr>
          <w:rFonts w:ascii="Arial" w:hAnsi="Arial" w:cs="Arial"/>
          <w:lang w:val="en-US"/>
        </w:rPr>
      </w:pPr>
      <w:r w:rsidRPr="007223A2">
        <w:rPr>
          <w:rFonts w:ascii="Arial" w:hAnsi="Arial" w:cs="Arial"/>
          <w:b/>
          <w:bCs/>
          <w:lang w:val="en-US"/>
        </w:rPr>
        <w:t>Substrate Oxidation Stress Test:</w:t>
      </w:r>
      <w:r>
        <w:rPr>
          <w:rFonts w:ascii="Arial" w:hAnsi="Arial" w:cs="Arial"/>
          <w:lang w:val="en-US"/>
        </w:rPr>
        <w:t xml:space="preserve"> to </w:t>
      </w:r>
      <w:r w:rsidR="00CE7941">
        <w:rPr>
          <w:rFonts w:ascii="Arial" w:hAnsi="Arial" w:cs="Arial"/>
          <w:lang w:val="en-US"/>
        </w:rPr>
        <w:t>evaluated</w:t>
      </w:r>
      <w:r w:rsidRPr="007223A2">
        <w:rPr>
          <w:rFonts w:ascii="Arial" w:hAnsi="Arial" w:cs="Arial"/>
          <w:lang w:val="en-US"/>
        </w:rPr>
        <w:t xml:space="preserve"> the contribution of three primary mitochondrial fuels</w:t>
      </w:r>
      <w:r>
        <w:rPr>
          <w:rFonts w:ascii="Arial" w:hAnsi="Arial" w:cs="Arial"/>
          <w:lang w:val="en-US"/>
        </w:rPr>
        <w:t xml:space="preserve"> (</w:t>
      </w:r>
      <w:r w:rsidRPr="007223A2">
        <w:rPr>
          <w:rFonts w:ascii="Arial" w:hAnsi="Arial" w:cs="Arial"/>
          <w:lang w:val="en-US"/>
        </w:rPr>
        <w:t>glucose/pyruvate, glutamine, and long-chain fatty acids</w:t>
      </w:r>
      <w:r>
        <w:rPr>
          <w:rFonts w:ascii="Arial" w:hAnsi="Arial" w:cs="Arial"/>
          <w:lang w:val="en-US"/>
        </w:rPr>
        <w:t xml:space="preserve">) </w:t>
      </w:r>
      <w:r w:rsidRPr="007223A2">
        <w:rPr>
          <w:rFonts w:ascii="Arial" w:hAnsi="Arial" w:cs="Arial"/>
          <w:lang w:val="en-US"/>
        </w:rPr>
        <w:t xml:space="preserve">to cellular respiration, allowing assessment of how cells shift substrate utilization when alternative pathways are inhibited. Cells were sequentially treated with UK5099 (mitochondrial pyruvate carrier inhibitor), BPTES (glutaminase inhibitor), and Etomoxir (CPT1A inhibitor) according to manufacturer’s instructions. </w:t>
      </w:r>
      <w:r w:rsidR="00CE7941">
        <w:rPr>
          <w:rFonts w:ascii="Arial" w:hAnsi="Arial" w:cs="Arial"/>
          <w:lang w:val="en-US"/>
        </w:rPr>
        <w:br/>
      </w:r>
      <w:r w:rsidRPr="007223A2">
        <w:rPr>
          <w:rFonts w:ascii="Arial" w:hAnsi="Arial" w:cs="Arial"/>
          <w:b/>
          <w:bCs/>
          <w:lang w:val="en-US"/>
        </w:rPr>
        <w:t>Palmitate Oxidation Stress Test:</w:t>
      </w:r>
      <w:r w:rsidR="00CE7941">
        <w:rPr>
          <w:rFonts w:ascii="Arial" w:hAnsi="Arial" w:cs="Arial"/>
          <w:lang w:val="en-US"/>
        </w:rPr>
        <w:t xml:space="preserve"> </w:t>
      </w:r>
      <w:r w:rsidRPr="007223A2">
        <w:rPr>
          <w:rFonts w:ascii="Arial" w:hAnsi="Arial" w:cs="Arial"/>
          <w:lang w:val="en-US"/>
        </w:rPr>
        <w:t>Performed to specifically evaluate the effect of SR59230A on long-chain fatty acid oxidation (FAO) by monitoring changes in OCR.</w:t>
      </w:r>
    </w:p>
    <w:p w14:paraId="680C4517" w14:textId="77777777" w:rsidR="007223A2" w:rsidRPr="007223A2" w:rsidRDefault="007223A2" w:rsidP="007223A2">
      <w:pPr>
        <w:spacing w:line="360" w:lineRule="auto"/>
        <w:rPr>
          <w:rFonts w:ascii="Arial" w:hAnsi="Arial" w:cs="Arial"/>
          <w:lang w:val="en-US"/>
        </w:rPr>
      </w:pPr>
      <w:r w:rsidRPr="007223A2">
        <w:rPr>
          <w:rFonts w:ascii="Arial" w:hAnsi="Arial" w:cs="Arial"/>
          <w:lang w:val="en-US"/>
        </w:rPr>
        <w:t>Injection strategies, concentrations, and sources of drugs and compounds used in Seahorse metabolic assays are listed in Supplementa</w:t>
      </w:r>
      <w:r w:rsidR="00CE7941">
        <w:rPr>
          <w:rFonts w:ascii="Arial" w:hAnsi="Arial" w:cs="Arial"/>
          <w:lang w:val="en-US"/>
        </w:rPr>
        <w:t>l</w:t>
      </w:r>
      <w:r w:rsidRPr="007223A2">
        <w:rPr>
          <w:rFonts w:ascii="Arial" w:hAnsi="Arial" w:cs="Arial"/>
          <w:lang w:val="en-US"/>
        </w:rPr>
        <w:t xml:space="preserve"> Methods Table </w:t>
      </w:r>
      <w:r w:rsidR="00CE7941">
        <w:rPr>
          <w:rFonts w:ascii="Arial" w:hAnsi="Arial" w:cs="Arial"/>
          <w:lang w:val="en-US"/>
        </w:rPr>
        <w:t>3</w:t>
      </w:r>
      <w:r w:rsidRPr="007223A2">
        <w:rPr>
          <w:rFonts w:ascii="Arial" w:hAnsi="Arial" w:cs="Arial"/>
          <w:lang w:val="en-US"/>
        </w:rPr>
        <w:t>.</w:t>
      </w:r>
    </w:p>
    <w:p w14:paraId="39C3618B" w14:textId="77777777" w:rsidR="007223A2" w:rsidRPr="003D580C" w:rsidRDefault="007223A2" w:rsidP="003D580C">
      <w:pPr>
        <w:spacing w:line="360" w:lineRule="auto"/>
        <w:rPr>
          <w:rFonts w:ascii="Arial" w:hAnsi="Arial" w:cs="Arial"/>
          <w:lang w:val="en-US"/>
        </w:rPr>
      </w:pPr>
    </w:p>
    <w:p w14:paraId="1781D156" w14:textId="77777777" w:rsidR="00C06230" w:rsidRPr="003D580C" w:rsidRDefault="00C06230" w:rsidP="003D580C">
      <w:pPr>
        <w:spacing w:line="360" w:lineRule="auto"/>
        <w:rPr>
          <w:rFonts w:ascii="Arial" w:hAnsi="Arial" w:cs="Arial"/>
          <w:lang w:val="en-US"/>
        </w:rPr>
      </w:pPr>
    </w:p>
    <w:p w14:paraId="6A48A0CA" w14:textId="77777777" w:rsidR="00C06230" w:rsidRPr="003D580C" w:rsidRDefault="00C06230" w:rsidP="003D580C">
      <w:pPr>
        <w:spacing w:line="360" w:lineRule="auto"/>
        <w:rPr>
          <w:rFonts w:ascii="Arial" w:hAnsi="Arial" w:cs="Arial"/>
          <w:b/>
          <w:bCs/>
          <w:lang w:val="en-US"/>
        </w:rPr>
      </w:pPr>
      <w:r w:rsidRPr="003D580C">
        <w:rPr>
          <w:rFonts w:ascii="Arial" w:hAnsi="Arial" w:cs="Arial"/>
          <w:b/>
          <w:bCs/>
          <w:lang w:val="en-US"/>
        </w:rPr>
        <w:t>Quantitative Reverse Transcription–Polymerase Chain Reaction (</w:t>
      </w:r>
      <w:proofErr w:type="spellStart"/>
      <w:r w:rsidRPr="003D580C">
        <w:rPr>
          <w:rFonts w:ascii="Arial" w:hAnsi="Arial" w:cs="Arial"/>
          <w:b/>
          <w:bCs/>
          <w:lang w:val="en-US"/>
        </w:rPr>
        <w:t>qRT</w:t>
      </w:r>
      <w:proofErr w:type="spellEnd"/>
      <w:r w:rsidRPr="003D580C">
        <w:rPr>
          <w:rFonts w:ascii="Arial" w:hAnsi="Arial" w:cs="Arial"/>
          <w:b/>
          <w:bCs/>
          <w:lang w:val="en-US"/>
        </w:rPr>
        <w:t>-PCR)</w:t>
      </w:r>
    </w:p>
    <w:p w14:paraId="7F4D4955" w14:textId="77777777" w:rsidR="00241C48" w:rsidRPr="003D580C" w:rsidRDefault="00C06230" w:rsidP="003D580C">
      <w:pPr>
        <w:spacing w:line="360" w:lineRule="auto"/>
        <w:rPr>
          <w:rFonts w:ascii="Arial" w:hAnsi="Arial" w:cs="Arial"/>
          <w:lang w:val="en-US"/>
        </w:rPr>
      </w:pPr>
      <w:r w:rsidRPr="003D580C">
        <w:rPr>
          <w:rFonts w:ascii="Arial" w:hAnsi="Arial" w:cs="Arial"/>
          <w:lang w:val="en-US"/>
        </w:rPr>
        <w:t xml:space="preserve">T-ALL cells were seeded in 6-well plates at a density of 5 × 10⁵ cells/mL and treated with 15 µM SR for 24, 48, or 72 h. Following treatment, cells were pelleted, washed with PBS, and lysed in 500 or 1000 µL of </w:t>
      </w:r>
      <w:proofErr w:type="spellStart"/>
      <w:r w:rsidRPr="003D580C">
        <w:rPr>
          <w:rFonts w:ascii="Arial" w:hAnsi="Arial" w:cs="Arial"/>
          <w:lang w:val="en-US"/>
        </w:rPr>
        <w:t>TRIzol</w:t>
      </w:r>
      <w:proofErr w:type="spellEnd"/>
      <w:r w:rsidRPr="003D580C">
        <w:rPr>
          <w:rFonts w:ascii="Arial" w:hAnsi="Arial" w:cs="Arial"/>
          <w:lang w:val="en-US"/>
        </w:rPr>
        <w:t xml:space="preserve"> reagent (Invitrogen) according to pellet size, then stored at </w:t>
      </w:r>
      <w:proofErr w:type="spellStart"/>
      <w:r w:rsidRPr="003D580C">
        <w:rPr>
          <w:rFonts w:ascii="Arial" w:hAnsi="Arial" w:cs="Arial"/>
          <w:lang w:val="en-US"/>
        </w:rPr>
        <w:t>at</w:t>
      </w:r>
      <w:proofErr w:type="spellEnd"/>
      <w:r w:rsidRPr="003D580C">
        <w:rPr>
          <w:rFonts w:ascii="Arial" w:hAnsi="Arial" w:cs="Arial"/>
          <w:lang w:val="en-US"/>
        </w:rPr>
        <w:t xml:space="preserve"> -20C until RNA extraction, according to the manufacturer’s instructions. Reverse transcription was performed using 1 µg of total RNA with a High-Capacity cDNA Reverse Transcription Kit (Applied Biosystems). Quantitative PCR was carried out using 1× SYBR Green </w:t>
      </w:r>
      <w:proofErr w:type="spellStart"/>
      <w:r w:rsidRPr="003D580C">
        <w:rPr>
          <w:rFonts w:ascii="Arial" w:hAnsi="Arial" w:cs="Arial"/>
          <w:lang w:val="en-US"/>
        </w:rPr>
        <w:t>Supermix</w:t>
      </w:r>
      <w:proofErr w:type="spellEnd"/>
      <w:r w:rsidRPr="003D580C">
        <w:rPr>
          <w:rFonts w:ascii="Arial" w:hAnsi="Arial" w:cs="Arial"/>
          <w:lang w:val="en-US"/>
        </w:rPr>
        <w:t xml:space="preserve"> (Bio-Rad) and 300 </w:t>
      </w:r>
      <w:proofErr w:type="spellStart"/>
      <w:r w:rsidRPr="003D580C">
        <w:rPr>
          <w:rFonts w:ascii="Arial" w:hAnsi="Arial" w:cs="Arial"/>
          <w:lang w:val="en-US"/>
        </w:rPr>
        <w:t>nM</w:t>
      </w:r>
      <w:proofErr w:type="spellEnd"/>
      <w:r w:rsidRPr="003D580C">
        <w:rPr>
          <w:rFonts w:ascii="Arial" w:hAnsi="Arial" w:cs="Arial"/>
          <w:lang w:val="en-US"/>
        </w:rPr>
        <w:t xml:space="preserve"> of each primer in a 20 µL reaction volume. Primers (Sigma-Aldrich</w:t>
      </w:r>
      <w:r w:rsidR="00E22D0F" w:rsidRPr="003D580C">
        <w:rPr>
          <w:rFonts w:ascii="Arial" w:hAnsi="Arial" w:cs="Arial"/>
          <w:lang w:val="en-US"/>
        </w:rPr>
        <w:t>; Saint Louis, MO, USA</w:t>
      </w:r>
      <w:r w:rsidRPr="003D580C">
        <w:rPr>
          <w:rFonts w:ascii="Arial" w:hAnsi="Arial" w:cs="Arial"/>
          <w:lang w:val="en-US"/>
        </w:rPr>
        <w:t>) are listed in Table SM</w:t>
      </w:r>
      <w:r w:rsidR="008D1BFE" w:rsidRPr="003D580C">
        <w:rPr>
          <w:rFonts w:ascii="Arial" w:hAnsi="Arial" w:cs="Arial"/>
          <w:lang w:val="en-US"/>
        </w:rPr>
        <w:t>4</w:t>
      </w:r>
      <w:r w:rsidRPr="003D580C">
        <w:rPr>
          <w:rFonts w:ascii="Arial" w:hAnsi="Arial" w:cs="Arial"/>
          <w:lang w:val="en-US"/>
        </w:rPr>
        <w:t>. The relative quantification (RQ) of mRNA expression of GPX4, FSP1, and NRF2 was calculated using the 2^</w:t>
      </w:r>
      <w:proofErr w:type="gramStart"/>
      <w:r w:rsidRPr="003D580C">
        <w:rPr>
          <w:rFonts w:ascii="Arial" w:hAnsi="Arial" w:cs="Arial"/>
          <w:lang w:val="en-US"/>
        </w:rPr>
        <w:t xml:space="preserve">-( </w:t>
      </w:r>
      <w:proofErr w:type="spellStart"/>
      <w:r w:rsidRPr="003D580C">
        <w:rPr>
          <w:rFonts w:ascii="Arial" w:hAnsi="Arial" w:cs="Arial"/>
          <w:lang w:val="en-US"/>
        </w:rPr>
        <w:t>ΔΔ</w:t>
      </w:r>
      <w:proofErr w:type="gramEnd"/>
      <w:r w:rsidRPr="003D580C">
        <w:rPr>
          <w:rFonts w:ascii="Arial" w:hAnsi="Arial" w:cs="Arial"/>
          <w:lang w:val="en-US"/>
        </w:rPr>
        <w:t>Ct</w:t>
      </w:r>
      <w:proofErr w:type="spellEnd"/>
      <w:r w:rsidRPr="003D580C">
        <w:rPr>
          <w:rFonts w:ascii="Arial" w:hAnsi="Arial" w:cs="Arial"/>
          <w:lang w:val="en-US"/>
        </w:rPr>
        <w:t xml:space="preserve">) method (Ct = cycle threshold), sample calculations were </w:t>
      </w:r>
    </w:p>
    <w:p w14:paraId="53034DEB" w14:textId="77777777" w:rsidR="00C06230" w:rsidRPr="002A3236" w:rsidRDefault="00C06230" w:rsidP="003D580C">
      <w:pPr>
        <w:spacing w:line="360" w:lineRule="auto"/>
        <w:rPr>
          <w:rFonts w:ascii="Arial" w:hAnsi="Arial" w:cs="Arial"/>
          <w:lang w:val="en-US"/>
        </w:rPr>
      </w:pPr>
      <w:r w:rsidRPr="003D580C">
        <w:rPr>
          <w:rFonts w:ascii="Arial" w:hAnsi="Arial" w:cs="Arial"/>
          <w:lang w:val="en-US"/>
        </w:rPr>
        <w:t>normalized to GAPDH</w:t>
      </w:r>
      <w:r w:rsidR="00E22D0F" w:rsidRPr="003D580C">
        <w:rPr>
          <w:rFonts w:ascii="Arial" w:hAnsi="Arial" w:cs="Arial"/>
          <w:lang w:val="en-US"/>
        </w:rPr>
        <w:t>.</w:t>
      </w:r>
    </w:p>
    <w:p w14:paraId="40D11CF1" w14:textId="77777777" w:rsidR="002A3236" w:rsidRPr="003D580C" w:rsidRDefault="002A3236" w:rsidP="003D580C">
      <w:pPr>
        <w:spacing w:line="360" w:lineRule="auto"/>
        <w:rPr>
          <w:rFonts w:ascii="Arial" w:hAnsi="Arial" w:cs="Arial"/>
          <w:b/>
          <w:bCs/>
          <w:lang w:val="en-US"/>
        </w:rPr>
      </w:pPr>
    </w:p>
    <w:p w14:paraId="31502AF5" w14:textId="77777777" w:rsidR="00241C48" w:rsidRPr="003D580C" w:rsidRDefault="00241C48" w:rsidP="003D580C">
      <w:pPr>
        <w:spacing w:line="360" w:lineRule="auto"/>
        <w:rPr>
          <w:rFonts w:ascii="Arial" w:hAnsi="Arial" w:cs="Arial"/>
          <w:b/>
          <w:bCs/>
          <w:lang w:val="en-US"/>
        </w:rPr>
      </w:pPr>
      <w:r w:rsidRPr="003D580C">
        <w:rPr>
          <w:rFonts w:ascii="Arial" w:hAnsi="Arial" w:cs="Arial"/>
          <w:b/>
          <w:bCs/>
          <w:lang w:val="en-US"/>
        </w:rPr>
        <w:t>RNA sequencing (</w:t>
      </w:r>
      <w:proofErr w:type="spellStart"/>
      <w:r w:rsidRPr="003D580C">
        <w:rPr>
          <w:rFonts w:ascii="Arial" w:hAnsi="Arial" w:cs="Arial"/>
          <w:b/>
          <w:bCs/>
          <w:lang w:val="en-US"/>
        </w:rPr>
        <w:t>RNAseq</w:t>
      </w:r>
      <w:proofErr w:type="spellEnd"/>
      <w:r w:rsidRPr="003D580C">
        <w:rPr>
          <w:rFonts w:ascii="Arial" w:hAnsi="Arial" w:cs="Arial"/>
          <w:b/>
          <w:bCs/>
          <w:lang w:val="en-US"/>
        </w:rPr>
        <w:t>)</w:t>
      </w:r>
    </w:p>
    <w:p w14:paraId="6B8CD7F0" w14:textId="77777777" w:rsidR="00241C48" w:rsidRPr="003D580C" w:rsidRDefault="00241C48" w:rsidP="003D580C">
      <w:pPr>
        <w:spacing w:line="360" w:lineRule="auto"/>
        <w:jc w:val="both"/>
        <w:rPr>
          <w:rFonts w:ascii="Arial" w:hAnsi="Arial" w:cs="Arial"/>
          <w:lang w:val="en-US"/>
        </w:rPr>
      </w:pPr>
      <w:r w:rsidRPr="003D580C">
        <w:rPr>
          <w:rFonts w:ascii="Arial" w:hAnsi="Arial" w:cs="Arial"/>
          <w:lang w:val="en-US"/>
        </w:rPr>
        <w:lastRenderedPageBreak/>
        <w:t>Total RNA extraction was performed using the RNeasy Plus Mini kit (Qiagen) according to the manufacturer's protocol. RNA quality and integrity were assessed prior to sequencing. Libraries were prepared using poly(A) selection combined with globin mRNA removal, followed by the generation of strand-specific libraries. Sequencing was carried out on the DNBSEQ platform in paired-end mode, generating approximately 30 million reads per sample.</w:t>
      </w:r>
    </w:p>
    <w:p w14:paraId="1544F159" w14:textId="77777777" w:rsidR="00241C48" w:rsidRPr="003D580C" w:rsidRDefault="00241C48" w:rsidP="003D580C">
      <w:pPr>
        <w:spacing w:line="360" w:lineRule="auto"/>
        <w:jc w:val="both"/>
        <w:rPr>
          <w:rFonts w:ascii="Arial" w:hAnsi="Arial" w:cs="Arial"/>
          <w:lang w:val="en-US"/>
        </w:rPr>
      </w:pPr>
    </w:p>
    <w:p w14:paraId="10EBB109" w14:textId="77777777" w:rsidR="00241C48" w:rsidRPr="003D580C" w:rsidRDefault="00241C48" w:rsidP="003D580C">
      <w:pPr>
        <w:spacing w:line="360" w:lineRule="auto"/>
        <w:jc w:val="both"/>
        <w:rPr>
          <w:rFonts w:ascii="Arial" w:hAnsi="Arial" w:cs="Arial"/>
          <w:b/>
          <w:bCs/>
          <w:lang w:val="en-US"/>
        </w:rPr>
      </w:pPr>
      <w:r w:rsidRPr="003D580C">
        <w:rPr>
          <w:rFonts w:ascii="Arial" w:hAnsi="Arial" w:cs="Arial"/>
          <w:b/>
          <w:bCs/>
          <w:lang w:val="en-US"/>
        </w:rPr>
        <w:t>Data Pre-processing and Alignment</w:t>
      </w:r>
    </w:p>
    <w:p w14:paraId="3CF3679C" w14:textId="77777777" w:rsidR="00241C48" w:rsidRPr="003D580C" w:rsidRDefault="00241C48" w:rsidP="003D580C">
      <w:pPr>
        <w:spacing w:line="360" w:lineRule="auto"/>
        <w:jc w:val="both"/>
        <w:rPr>
          <w:rFonts w:ascii="Arial" w:hAnsi="Arial" w:cs="Arial"/>
          <w:lang w:val="en-US"/>
        </w:rPr>
      </w:pPr>
      <w:r w:rsidRPr="003D580C">
        <w:rPr>
          <w:rFonts w:ascii="Arial" w:hAnsi="Arial" w:cs="Arial"/>
          <w:lang w:val="en-US"/>
        </w:rPr>
        <w:t xml:space="preserve">Raw paired-end sequencing reads were initially subjected to quality control assessment using </w:t>
      </w:r>
      <w:proofErr w:type="spellStart"/>
      <w:r w:rsidRPr="003D580C">
        <w:rPr>
          <w:rFonts w:ascii="Arial" w:hAnsi="Arial" w:cs="Arial"/>
          <w:lang w:val="en-US"/>
        </w:rPr>
        <w:t>FastQC</w:t>
      </w:r>
      <w:proofErr w:type="spellEnd"/>
      <w:r w:rsidRPr="003D580C">
        <w:rPr>
          <w:rFonts w:ascii="Arial" w:hAnsi="Arial" w:cs="Arial"/>
          <w:lang w:val="en-US"/>
        </w:rPr>
        <w:t xml:space="preserve"> (v0.11.9). To ensure high-quality data for downstream analysis, adapter sequences and low-quality bases were trimmed using </w:t>
      </w:r>
      <w:proofErr w:type="spellStart"/>
      <w:r w:rsidRPr="003D580C">
        <w:rPr>
          <w:rFonts w:ascii="Arial" w:hAnsi="Arial" w:cs="Arial"/>
          <w:lang w:val="en-US"/>
        </w:rPr>
        <w:t>fastp</w:t>
      </w:r>
      <w:proofErr w:type="spellEnd"/>
      <w:r w:rsidRPr="003D580C">
        <w:rPr>
          <w:rFonts w:ascii="Arial" w:hAnsi="Arial" w:cs="Arial"/>
          <w:lang w:val="en-US"/>
        </w:rPr>
        <w:t xml:space="preserve"> (v0.20.1), applying default parameters for paired-end data. The resulting high-quality clean reads were aligned to the human reference genome (GRCh38.p13, assembly 38) using the splice-aware aligner STAR (v2.7.10a). Alignment was performed utilizing the </w:t>
      </w:r>
      <w:proofErr w:type="spellStart"/>
      <w:r w:rsidRPr="003D580C">
        <w:rPr>
          <w:rFonts w:ascii="Arial" w:hAnsi="Arial" w:cs="Arial"/>
          <w:lang w:val="en-US"/>
        </w:rPr>
        <w:t>GeneCounts</w:t>
      </w:r>
      <w:proofErr w:type="spellEnd"/>
      <w:r w:rsidRPr="003D580C">
        <w:rPr>
          <w:rFonts w:ascii="Arial" w:hAnsi="Arial" w:cs="Arial"/>
          <w:lang w:val="en-US"/>
        </w:rPr>
        <w:t xml:space="preserve"> quant mode to facilitate preliminary inspection, with the Homo_</w:t>
      </w:r>
      <w:proofErr w:type="gramStart"/>
      <w:r w:rsidRPr="003D580C">
        <w:rPr>
          <w:rFonts w:ascii="Arial" w:hAnsi="Arial" w:cs="Arial"/>
          <w:lang w:val="en-US"/>
        </w:rPr>
        <w:t>sapiens.GRCh</w:t>
      </w:r>
      <w:proofErr w:type="gramEnd"/>
      <w:r w:rsidRPr="003D580C">
        <w:rPr>
          <w:rFonts w:ascii="Arial" w:hAnsi="Arial" w:cs="Arial"/>
          <w:lang w:val="en-US"/>
        </w:rPr>
        <w:t xml:space="preserve">38.113 annotation file guiding the splice junction mapping. Post-alignment processing, including sorting and indexing of BAM files, was managed within the STAR workflow. Gene-level expression quantification was performed using the </w:t>
      </w:r>
      <w:proofErr w:type="spellStart"/>
      <w:r w:rsidRPr="003D580C">
        <w:rPr>
          <w:rFonts w:ascii="Arial" w:hAnsi="Arial" w:cs="Arial"/>
          <w:lang w:val="en-US"/>
        </w:rPr>
        <w:t>featureCounts</w:t>
      </w:r>
      <w:proofErr w:type="spellEnd"/>
      <w:r w:rsidRPr="003D580C">
        <w:rPr>
          <w:rFonts w:ascii="Arial" w:hAnsi="Arial" w:cs="Arial"/>
          <w:lang w:val="en-US"/>
        </w:rPr>
        <w:t xml:space="preserve"> utility from the </w:t>
      </w:r>
      <w:proofErr w:type="spellStart"/>
      <w:r w:rsidRPr="003D580C">
        <w:rPr>
          <w:rFonts w:ascii="Arial" w:hAnsi="Arial" w:cs="Arial"/>
          <w:lang w:val="en-US"/>
        </w:rPr>
        <w:t>Rsubread</w:t>
      </w:r>
      <w:proofErr w:type="spellEnd"/>
      <w:r w:rsidRPr="003D580C">
        <w:rPr>
          <w:rFonts w:ascii="Arial" w:hAnsi="Arial" w:cs="Arial"/>
          <w:lang w:val="en-US"/>
        </w:rPr>
        <w:t xml:space="preserve"> package (v2.14.2). Fragments were counted at the exon level and summarized by gene ID (</w:t>
      </w:r>
      <w:proofErr w:type="spellStart"/>
      <w:r w:rsidRPr="003D580C">
        <w:rPr>
          <w:rFonts w:ascii="Arial" w:hAnsi="Arial" w:cs="Arial"/>
          <w:lang w:val="en-US"/>
        </w:rPr>
        <w:t>Ensembl</w:t>
      </w:r>
      <w:proofErr w:type="spellEnd"/>
      <w:r w:rsidRPr="003D580C">
        <w:rPr>
          <w:rFonts w:ascii="Arial" w:hAnsi="Arial" w:cs="Arial"/>
          <w:lang w:val="en-US"/>
        </w:rPr>
        <w:t xml:space="preserve">), strictly counting read pairs that mapped to the same gene. Dimensionality reduction was performed using Principal Component Analysis on </w:t>
      </w:r>
      <w:proofErr w:type="spellStart"/>
      <w:r w:rsidRPr="003D580C">
        <w:rPr>
          <w:rFonts w:ascii="Arial" w:hAnsi="Arial" w:cs="Arial"/>
          <w:lang w:val="en-US"/>
        </w:rPr>
        <w:t>rlog</w:t>
      </w:r>
      <w:proofErr w:type="spellEnd"/>
      <w:r w:rsidRPr="003D580C">
        <w:rPr>
          <w:rFonts w:ascii="Arial" w:hAnsi="Arial" w:cs="Arial"/>
          <w:lang w:val="en-US"/>
        </w:rPr>
        <w:t xml:space="preserve">-transformed data to visualize sample clustering and variance. Statistical analysis of differential gene expression was conducted in the R statistical environment (v4.2.1) using the DESeq2 package (v1.40.1). Prior to analysis, the dataset was filtered to remove one outlier sample identified during quality control checks and low-abundance genes (row sums &lt; 10 reads) to reduce the false discovery rate burden. Raw counts were normalized using the median of ratios method implemented in DESeq2. Differential expression results were annotated by mapping </w:t>
      </w:r>
      <w:proofErr w:type="spellStart"/>
      <w:r w:rsidRPr="003D580C">
        <w:rPr>
          <w:rFonts w:ascii="Arial" w:hAnsi="Arial" w:cs="Arial"/>
          <w:lang w:val="en-US"/>
        </w:rPr>
        <w:t>Ensembl</w:t>
      </w:r>
      <w:proofErr w:type="spellEnd"/>
      <w:r w:rsidRPr="003D580C">
        <w:rPr>
          <w:rFonts w:ascii="Arial" w:hAnsi="Arial" w:cs="Arial"/>
          <w:lang w:val="en-US"/>
        </w:rPr>
        <w:t xml:space="preserve"> IDs to Gene Symbols using the </w:t>
      </w:r>
      <w:proofErr w:type="spellStart"/>
      <w:r w:rsidRPr="003D580C">
        <w:rPr>
          <w:rFonts w:ascii="Arial" w:hAnsi="Arial" w:cs="Arial"/>
          <w:lang w:val="en-US"/>
        </w:rPr>
        <w:t>org.Hs.eg.db</w:t>
      </w:r>
      <w:proofErr w:type="spellEnd"/>
      <w:r w:rsidRPr="003D580C">
        <w:rPr>
          <w:rFonts w:ascii="Arial" w:hAnsi="Arial" w:cs="Arial"/>
          <w:lang w:val="en-US"/>
        </w:rPr>
        <w:t xml:space="preserve"> package. To identify biological pathways modulated by the treatment, Gene Set Enrichment Analysis (GSEA) was performed using the </w:t>
      </w:r>
      <w:proofErr w:type="spellStart"/>
      <w:r w:rsidRPr="003D580C">
        <w:rPr>
          <w:rFonts w:ascii="Arial" w:hAnsi="Arial" w:cs="Arial"/>
          <w:lang w:val="en-US"/>
        </w:rPr>
        <w:t>fgsea</w:t>
      </w:r>
      <w:proofErr w:type="spellEnd"/>
      <w:r w:rsidRPr="003D580C">
        <w:rPr>
          <w:rFonts w:ascii="Arial" w:hAnsi="Arial" w:cs="Arial"/>
          <w:lang w:val="en-US"/>
        </w:rPr>
        <w:t xml:space="preserve"> package (v1.26.0). Enrichment was tested against the Gene Ontology Biological Processes (C</w:t>
      </w:r>
      <w:proofErr w:type="gramStart"/>
      <w:r w:rsidRPr="003D580C">
        <w:rPr>
          <w:rFonts w:ascii="Arial" w:hAnsi="Arial" w:cs="Arial"/>
          <w:lang w:val="en-US"/>
        </w:rPr>
        <w:t>5:GOBP</w:t>
      </w:r>
      <w:proofErr w:type="gramEnd"/>
      <w:r w:rsidRPr="003D580C">
        <w:rPr>
          <w:rFonts w:ascii="Arial" w:hAnsi="Arial" w:cs="Arial"/>
          <w:lang w:val="en-US"/>
        </w:rPr>
        <w:t>) and the Hallmark (H) gene sets obtained from the Molecular Signatures Database (</w:t>
      </w:r>
      <w:proofErr w:type="spellStart"/>
      <w:r w:rsidRPr="003D580C">
        <w:rPr>
          <w:rFonts w:ascii="Arial" w:hAnsi="Arial" w:cs="Arial"/>
          <w:lang w:val="en-US"/>
        </w:rPr>
        <w:t>MSigDB</w:t>
      </w:r>
      <w:proofErr w:type="spellEnd"/>
      <w:r w:rsidRPr="003D580C">
        <w:rPr>
          <w:rFonts w:ascii="Arial" w:hAnsi="Arial" w:cs="Arial"/>
          <w:lang w:val="en-US"/>
        </w:rPr>
        <w:t>). To facilitate high-level biological interpretation, Hallmark gene sets were further aggregated into process categories ("</w:t>
      </w:r>
      <w:proofErr w:type="spellStart"/>
      <w:r w:rsidRPr="003D580C">
        <w:rPr>
          <w:rFonts w:ascii="Arial" w:hAnsi="Arial" w:cs="Arial"/>
          <w:lang w:val="en-US"/>
        </w:rPr>
        <w:t>superpathways</w:t>
      </w:r>
      <w:proofErr w:type="spellEnd"/>
      <w:r w:rsidRPr="003D580C">
        <w:rPr>
          <w:rFonts w:ascii="Arial" w:hAnsi="Arial" w:cs="Arial"/>
          <w:lang w:val="en-US"/>
        </w:rPr>
        <w:t xml:space="preserve">") following the classification schema described by </w:t>
      </w:r>
      <w:proofErr w:type="spellStart"/>
      <w:r w:rsidRPr="003D580C">
        <w:rPr>
          <w:rFonts w:ascii="Arial" w:hAnsi="Arial" w:cs="Arial"/>
          <w:lang w:val="en-US"/>
        </w:rPr>
        <w:t>Liberzon</w:t>
      </w:r>
      <w:proofErr w:type="spellEnd"/>
      <w:r w:rsidRPr="003D580C">
        <w:rPr>
          <w:rFonts w:ascii="Arial" w:hAnsi="Arial" w:cs="Arial"/>
          <w:lang w:val="en-US"/>
        </w:rPr>
        <w:t xml:space="preserve"> et al</w:t>
      </w:r>
      <w:sdt>
        <w:sdtPr>
          <w:rPr>
            <w:rFonts w:ascii="Arial" w:hAnsi="Arial" w:cs="Arial"/>
            <w:color w:val="000000"/>
            <w:vertAlign w:val="superscript"/>
            <w:lang w:val="en-US"/>
          </w:rPr>
          <w:tag w:val="MENDELEY_CITATION_v3_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"/>
          <w:id w:val="-321189901"/>
          <w:placeholder>
            <w:docPart w:val="DefaultPlaceholder_-1854013440"/>
          </w:placeholder>
        </w:sdtPr>
        <w:sdtContent>
          <w:r w:rsidR="00DD293D" w:rsidRPr="00DD293D">
            <w:rPr>
              <w:rFonts w:ascii="Arial" w:hAnsi="Arial" w:cs="Arial"/>
              <w:color w:val="000000"/>
              <w:vertAlign w:val="superscript"/>
              <w:lang w:val="en-US"/>
            </w:rPr>
            <w:t>1</w:t>
          </w:r>
        </w:sdtContent>
      </w:sdt>
      <w:r w:rsidRPr="003D580C">
        <w:rPr>
          <w:rFonts w:ascii="Arial" w:hAnsi="Arial" w:cs="Arial"/>
          <w:lang w:val="en-US"/>
        </w:rPr>
        <w:t xml:space="preserve">. </w:t>
      </w:r>
      <w:r w:rsidRPr="003D580C">
        <w:rPr>
          <w:rFonts w:ascii="Arial" w:hAnsi="Arial" w:cs="Arial"/>
          <w:lang w:val="en-US"/>
        </w:rPr>
        <w:lastRenderedPageBreak/>
        <w:t>Significant pathways were defined using a false discovery rate (FDR) cutoff of &lt; 0.05. To identify robust therapeutic signatures, we prioritized pathways that were concordantly modulated (showing consistent Normalized Enrichment Scores, NES) in the responsive cell lines (CEM and Molt-4) while showing divergent or non-significant regulation in the resistant/distinct line (</w:t>
      </w:r>
      <w:proofErr w:type="spellStart"/>
      <w:r w:rsidRPr="003D580C">
        <w:rPr>
          <w:rFonts w:ascii="Arial" w:hAnsi="Arial" w:cs="Arial"/>
          <w:lang w:val="en-US"/>
        </w:rPr>
        <w:t>Jurkat</w:t>
      </w:r>
      <w:proofErr w:type="spellEnd"/>
      <w:r w:rsidRPr="003D580C">
        <w:rPr>
          <w:rFonts w:ascii="Arial" w:hAnsi="Arial" w:cs="Arial"/>
          <w:lang w:val="en-US"/>
        </w:rPr>
        <w:t>).</w:t>
      </w:r>
    </w:p>
    <w:p w14:paraId="1937C39D" w14:textId="77777777" w:rsidR="00D31F86" w:rsidRDefault="00D31F86">
      <w:pPr>
        <w:rPr>
          <w:rFonts w:ascii="Arial" w:hAnsi="Arial" w:cs="Arial"/>
          <w:b/>
          <w:bCs/>
          <w:lang w:val="en-US"/>
        </w:rPr>
        <w:sectPr w:rsidR="00D31F86" w:rsidSect="00D31F86">
          <w:pgSz w:w="11900" w:h="16840"/>
          <w:pgMar w:top="1418" w:right="1134" w:bottom="1134" w:left="1134" w:header="709" w:footer="709" w:gutter="0"/>
          <w:lnNumType w:countBy="1" w:restart="continuous"/>
          <w:cols w:space="708"/>
          <w:docGrid w:linePitch="360"/>
        </w:sectPr>
      </w:pPr>
    </w:p>
    <w:p w14:paraId="01B189DE" w14:textId="77777777" w:rsidR="00D12F03" w:rsidRPr="003D580C" w:rsidRDefault="00D12F03">
      <w:pPr>
        <w:rPr>
          <w:rFonts w:ascii="Arial" w:hAnsi="Arial" w:cs="Arial"/>
          <w:b/>
          <w:bCs/>
          <w:lang w:val="en-US"/>
        </w:rPr>
      </w:pPr>
    </w:p>
    <w:p w14:paraId="739E29D7" w14:textId="77777777" w:rsidR="00A678DC" w:rsidRDefault="00A678DC">
      <w:pPr>
        <w:rPr>
          <w:rFonts w:ascii="Arial" w:hAnsi="Arial" w:cs="Arial"/>
          <w:b/>
          <w:bCs/>
          <w:lang w:val="en-US"/>
        </w:rPr>
      </w:pPr>
      <w:r w:rsidRPr="003D580C">
        <w:rPr>
          <w:rFonts w:ascii="Arial" w:hAnsi="Arial" w:cs="Arial"/>
          <w:b/>
          <w:bCs/>
          <w:lang w:val="en-US"/>
        </w:rPr>
        <w:t>Supplemental Tables</w:t>
      </w:r>
    </w:p>
    <w:p w14:paraId="40899B50" w14:textId="77777777" w:rsidR="00894148" w:rsidRDefault="00894148">
      <w:pPr>
        <w:rPr>
          <w:rFonts w:ascii="Arial" w:hAnsi="Arial" w:cs="Arial"/>
          <w:b/>
          <w:bCs/>
          <w:lang w:val="en-US"/>
        </w:rPr>
      </w:pPr>
    </w:p>
    <w:tbl>
      <w:tblPr>
        <w:tblW w:w="0" w:type="auto"/>
        <w:tblInd w:w="-712" w:type="dxa"/>
        <w:tblCellMar>
          <w:left w:w="0" w:type="dxa"/>
          <w:right w:w="0" w:type="dxa"/>
        </w:tblCellMar>
        <w:tblLook w:val="04A0" w:firstRow="1" w:lastRow="0" w:firstColumn="1" w:lastColumn="0" w:noHBand="0" w:noVBand="1"/>
      </w:tblPr>
      <w:tblGrid>
        <w:gridCol w:w="842"/>
        <w:gridCol w:w="374"/>
        <w:gridCol w:w="760"/>
        <w:gridCol w:w="978"/>
        <w:gridCol w:w="986"/>
        <w:gridCol w:w="782"/>
        <w:gridCol w:w="782"/>
        <w:gridCol w:w="782"/>
        <w:gridCol w:w="441"/>
        <w:gridCol w:w="441"/>
        <w:gridCol w:w="411"/>
        <w:gridCol w:w="418"/>
        <w:gridCol w:w="522"/>
        <w:gridCol w:w="604"/>
        <w:gridCol w:w="518"/>
        <w:gridCol w:w="879"/>
        <w:gridCol w:w="604"/>
        <w:gridCol w:w="413"/>
        <w:gridCol w:w="884"/>
        <w:gridCol w:w="483"/>
        <w:gridCol w:w="954"/>
        <w:gridCol w:w="627"/>
        <w:gridCol w:w="509"/>
      </w:tblGrid>
      <w:tr w:rsidR="00894148" w:rsidRPr="00D31F86" w14:paraId="400AC29C" w14:textId="77777777" w:rsidTr="00C63FB0">
        <w:trPr>
          <w:trHeight w:val="435"/>
        </w:trPr>
        <w:tc>
          <w:tcPr>
            <w:tcW w:w="842" w:type="dxa"/>
            <w:tcBorders>
              <w:top w:val="single" w:sz="2"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231761B0" w14:textId="77777777" w:rsidR="00894148" w:rsidRPr="000B4824" w:rsidRDefault="00894148" w:rsidP="00C63FB0">
            <w:pPr>
              <w:rPr>
                <w:rFonts w:ascii="Helvetica" w:eastAsia="Times New Roman" w:hAnsi="Helvetica" w:cs="Times New Roman"/>
                <w:sz w:val="18"/>
                <w:szCs w:val="18"/>
                <w:lang w:eastAsia="it-IT"/>
              </w:rPr>
            </w:pPr>
          </w:p>
        </w:tc>
        <w:tc>
          <w:tcPr>
            <w:tcW w:w="374" w:type="dxa"/>
            <w:tcBorders>
              <w:top w:val="single" w:sz="2"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530B74E7" w14:textId="77777777" w:rsidR="00894148" w:rsidRPr="000B4824" w:rsidRDefault="00894148" w:rsidP="00C63FB0">
            <w:pPr>
              <w:jc w:val="center"/>
              <w:rPr>
                <w:rFonts w:ascii="Arial" w:eastAsia="Times New Roman" w:hAnsi="Arial" w:cs="Arial"/>
                <w:lang w:eastAsia="it-IT"/>
              </w:rPr>
            </w:pPr>
            <w:proofErr w:type="spellStart"/>
            <w:r w:rsidRPr="000B4824">
              <w:rPr>
                <w:rFonts w:ascii="Arial" w:eastAsia="Times New Roman" w:hAnsi="Arial" w:cs="Arial"/>
                <w:b/>
                <w:bCs/>
                <w:color w:val="000000"/>
                <w:sz w:val="9"/>
                <w:szCs w:val="9"/>
                <w:vertAlign w:val="superscript"/>
                <w:lang w:eastAsia="it-IT"/>
              </w:rPr>
              <w:t>a</w:t>
            </w:r>
            <w:r w:rsidRPr="000B4824">
              <w:rPr>
                <w:rFonts w:ascii="Arial" w:eastAsia="Times New Roman" w:hAnsi="Arial" w:cs="Arial"/>
                <w:b/>
                <w:bCs/>
                <w:color w:val="000000"/>
                <w:sz w:val="14"/>
                <w:szCs w:val="14"/>
                <w:lang w:eastAsia="it-IT"/>
              </w:rPr>
              <w:t>Sex</w:t>
            </w:r>
            <w:proofErr w:type="spellEnd"/>
          </w:p>
        </w:tc>
        <w:tc>
          <w:tcPr>
            <w:tcW w:w="760" w:type="dxa"/>
            <w:tcBorders>
              <w:top w:val="single" w:sz="2"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7990A532" w14:textId="77777777" w:rsidR="00894148" w:rsidRPr="000B4824" w:rsidRDefault="00894148" w:rsidP="00C63FB0">
            <w:pPr>
              <w:jc w:val="center"/>
              <w:rPr>
                <w:rFonts w:ascii="Arial" w:eastAsia="Times New Roman" w:hAnsi="Arial" w:cs="Arial"/>
                <w:lang w:eastAsia="it-IT"/>
              </w:rPr>
            </w:pPr>
            <w:r w:rsidRPr="000B4824">
              <w:rPr>
                <w:rFonts w:ascii="Arial" w:eastAsia="Times New Roman" w:hAnsi="Arial" w:cs="Arial"/>
                <w:b/>
                <w:bCs/>
                <w:color w:val="000000"/>
                <w:sz w:val="14"/>
                <w:szCs w:val="14"/>
                <w:lang w:eastAsia="it-IT"/>
              </w:rPr>
              <w:t xml:space="preserve">Age </w:t>
            </w:r>
            <w:proofErr w:type="spellStart"/>
            <w:r w:rsidRPr="000B4824">
              <w:rPr>
                <w:rFonts w:ascii="Arial" w:eastAsia="Times New Roman" w:hAnsi="Arial" w:cs="Arial"/>
                <w:b/>
                <w:bCs/>
                <w:color w:val="000000"/>
                <w:sz w:val="14"/>
                <w:szCs w:val="14"/>
                <w:lang w:eastAsia="it-IT"/>
              </w:rPr>
              <w:t>at</w:t>
            </w:r>
            <w:proofErr w:type="spellEnd"/>
            <w:r w:rsidRPr="000B4824">
              <w:rPr>
                <w:rFonts w:ascii="Arial" w:eastAsia="Times New Roman" w:hAnsi="Arial" w:cs="Arial"/>
                <w:b/>
                <w:bCs/>
                <w:color w:val="000000"/>
                <w:sz w:val="14"/>
                <w:szCs w:val="14"/>
                <w:lang w:eastAsia="it-IT"/>
              </w:rPr>
              <w:t xml:space="preserve"> </w:t>
            </w:r>
            <w:proofErr w:type="spellStart"/>
            <w:r w:rsidRPr="000B4824">
              <w:rPr>
                <w:rFonts w:ascii="Arial" w:eastAsia="Times New Roman" w:hAnsi="Arial" w:cs="Arial"/>
                <w:b/>
                <w:bCs/>
                <w:color w:val="000000"/>
                <w:sz w:val="14"/>
                <w:szCs w:val="14"/>
                <w:lang w:eastAsia="it-IT"/>
              </w:rPr>
              <w:t>Diagnosis</w:t>
            </w:r>
            <w:proofErr w:type="spellEnd"/>
            <w:r w:rsidRPr="000B4824">
              <w:rPr>
                <w:rFonts w:ascii="Arial" w:eastAsia="Times New Roman" w:hAnsi="Arial" w:cs="Arial"/>
                <w:b/>
                <w:bCs/>
                <w:color w:val="000000"/>
                <w:sz w:val="14"/>
                <w:szCs w:val="14"/>
                <w:lang w:eastAsia="it-IT"/>
              </w:rPr>
              <w:t xml:space="preserve"> (</w:t>
            </w:r>
            <w:proofErr w:type="spellStart"/>
            <w:r w:rsidRPr="000B4824">
              <w:rPr>
                <w:rFonts w:ascii="Arial" w:eastAsia="Times New Roman" w:hAnsi="Arial" w:cs="Arial"/>
                <w:b/>
                <w:bCs/>
                <w:color w:val="000000"/>
                <w:sz w:val="14"/>
                <w:szCs w:val="14"/>
                <w:lang w:eastAsia="it-IT"/>
              </w:rPr>
              <w:t>years</w:t>
            </w:r>
            <w:proofErr w:type="spellEnd"/>
            <w:r w:rsidRPr="000B4824">
              <w:rPr>
                <w:rFonts w:ascii="Arial" w:eastAsia="Times New Roman" w:hAnsi="Arial" w:cs="Arial"/>
                <w:b/>
                <w:bCs/>
                <w:color w:val="000000"/>
                <w:sz w:val="14"/>
                <w:szCs w:val="14"/>
                <w:lang w:eastAsia="it-IT"/>
              </w:rPr>
              <w:t>)</w:t>
            </w:r>
          </w:p>
        </w:tc>
        <w:tc>
          <w:tcPr>
            <w:tcW w:w="978" w:type="dxa"/>
            <w:tcBorders>
              <w:top w:val="single" w:sz="2"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3D1E62DB" w14:textId="77777777" w:rsidR="00894148" w:rsidRPr="000B4824" w:rsidRDefault="00894148" w:rsidP="00C63FB0">
            <w:pPr>
              <w:jc w:val="center"/>
              <w:rPr>
                <w:rFonts w:ascii="Arial" w:eastAsia="Times New Roman" w:hAnsi="Arial" w:cs="Arial"/>
                <w:lang w:eastAsia="it-IT"/>
              </w:rPr>
            </w:pPr>
            <w:proofErr w:type="spellStart"/>
            <w:r w:rsidRPr="000B4824">
              <w:rPr>
                <w:rFonts w:ascii="Arial" w:eastAsia="Times New Roman" w:hAnsi="Arial" w:cs="Arial"/>
                <w:b/>
                <w:bCs/>
                <w:color w:val="000000"/>
                <w:sz w:val="14"/>
                <w:szCs w:val="14"/>
                <w:lang w:eastAsia="it-IT"/>
              </w:rPr>
              <w:t>Protocol</w:t>
            </w:r>
            <w:proofErr w:type="spellEnd"/>
          </w:p>
        </w:tc>
        <w:tc>
          <w:tcPr>
            <w:tcW w:w="986" w:type="dxa"/>
            <w:tcBorders>
              <w:top w:val="single" w:sz="2"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51C3306B" w14:textId="77777777" w:rsidR="00894148" w:rsidRPr="000B4824" w:rsidRDefault="00894148" w:rsidP="00C63FB0">
            <w:pPr>
              <w:jc w:val="center"/>
              <w:rPr>
                <w:rFonts w:ascii="Arial" w:eastAsia="Times New Roman" w:hAnsi="Arial" w:cs="Arial"/>
                <w:lang w:eastAsia="it-IT"/>
              </w:rPr>
            </w:pPr>
            <w:r w:rsidRPr="000B4824">
              <w:rPr>
                <w:rFonts w:ascii="Arial" w:eastAsia="Times New Roman" w:hAnsi="Arial" w:cs="Arial"/>
                <w:b/>
                <w:bCs/>
                <w:color w:val="000000"/>
                <w:sz w:val="14"/>
                <w:szCs w:val="14"/>
                <w:lang w:eastAsia="it-IT"/>
              </w:rPr>
              <w:t>Risk</w:t>
            </w:r>
          </w:p>
        </w:tc>
        <w:tc>
          <w:tcPr>
            <w:tcW w:w="782" w:type="dxa"/>
            <w:tcBorders>
              <w:top w:val="single" w:sz="2"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48254FF0" w14:textId="77777777" w:rsidR="00894148" w:rsidRPr="000B4824" w:rsidRDefault="00894148" w:rsidP="00C63FB0">
            <w:pPr>
              <w:jc w:val="center"/>
              <w:rPr>
                <w:rFonts w:ascii="Arial" w:eastAsia="Times New Roman" w:hAnsi="Arial" w:cs="Arial"/>
                <w:lang w:eastAsia="it-IT"/>
              </w:rPr>
            </w:pPr>
            <w:r w:rsidRPr="000B4824">
              <w:rPr>
                <w:rFonts w:ascii="Arial" w:eastAsia="Times New Roman" w:hAnsi="Arial" w:cs="Arial"/>
                <w:b/>
                <w:bCs/>
                <w:color w:val="000000"/>
                <w:sz w:val="14"/>
                <w:szCs w:val="14"/>
                <w:lang w:eastAsia="it-IT"/>
              </w:rPr>
              <w:t>WBC (x10^3/µL)</w:t>
            </w:r>
          </w:p>
        </w:tc>
        <w:tc>
          <w:tcPr>
            <w:tcW w:w="782" w:type="dxa"/>
            <w:tcBorders>
              <w:top w:val="single" w:sz="2"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5A788693" w14:textId="77777777" w:rsidR="00894148" w:rsidRPr="000B4824" w:rsidRDefault="00894148" w:rsidP="00C63FB0">
            <w:pPr>
              <w:jc w:val="center"/>
              <w:rPr>
                <w:rFonts w:ascii="Arial" w:eastAsia="Times New Roman" w:hAnsi="Arial" w:cs="Arial"/>
                <w:lang w:eastAsia="it-IT"/>
              </w:rPr>
            </w:pPr>
            <w:r w:rsidRPr="000B4824">
              <w:rPr>
                <w:rFonts w:ascii="Arial" w:eastAsia="Times New Roman" w:hAnsi="Arial" w:cs="Arial"/>
                <w:b/>
                <w:bCs/>
                <w:color w:val="000000"/>
                <w:sz w:val="14"/>
                <w:szCs w:val="14"/>
                <w:lang w:eastAsia="it-IT"/>
              </w:rPr>
              <w:t>RBC (x10^6/µL)</w:t>
            </w:r>
          </w:p>
        </w:tc>
        <w:tc>
          <w:tcPr>
            <w:tcW w:w="782" w:type="dxa"/>
            <w:tcBorders>
              <w:top w:val="single" w:sz="2"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5CCF8DD1" w14:textId="77777777" w:rsidR="00894148" w:rsidRPr="000B4824" w:rsidRDefault="00894148" w:rsidP="00C63FB0">
            <w:pPr>
              <w:jc w:val="center"/>
              <w:rPr>
                <w:rFonts w:ascii="Arial" w:eastAsia="Times New Roman" w:hAnsi="Arial" w:cs="Arial"/>
                <w:lang w:eastAsia="it-IT"/>
              </w:rPr>
            </w:pPr>
            <w:r w:rsidRPr="000B4824">
              <w:rPr>
                <w:rFonts w:ascii="Arial" w:eastAsia="Times New Roman" w:hAnsi="Arial" w:cs="Arial"/>
                <w:b/>
                <w:bCs/>
                <w:color w:val="000000"/>
                <w:sz w:val="14"/>
                <w:szCs w:val="14"/>
                <w:lang w:eastAsia="it-IT"/>
              </w:rPr>
              <w:t>PLT (x10^3/µL)</w:t>
            </w:r>
          </w:p>
        </w:tc>
        <w:tc>
          <w:tcPr>
            <w:tcW w:w="441" w:type="dxa"/>
            <w:tcBorders>
              <w:top w:val="single" w:sz="2"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218071A8" w14:textId="77777777" w:rsidR="00894148" w:rsidRPr="000B4824" w:rsidRDefault="00894148" w:rsidP="00C63FB0">
            <w:pPr>
              <w:jc w:val="center"/>
              <w:rPr>
                <w:rFonts w:ascii="Arial" w:eastAsia="Times New Roman" w:hAnsi="Arial" w:cs="Arial"/>
                <w:lang w:eastAsia="it-IT"/>
              </w:rPr>
            </w:pPr>
            <w:r w:rsidRPr="000B4824">
              <w:rPr>
                <w:rFonts w:ascii="Arial" w:eastAsia="Times New Roman" w:hAnsi="Arial" w:cs="Arial"/>
                <w:b/>
                <w:bCs/>
                <w:color w:val="000000"/>
                <w:sz w:val="14"/>
                <w:szCs w:val="14"/>
                <w:lang w:eastAsia="it-IT"/>
              </w:rPr>
              <w:t>HCT (%)</w:t>
            </w:r>
          </w:p>
        </w:tc>
        <w:tc>
          <w:tcPr>
            <w:tcW w:w="441" w:type="dxa"/>
            <w:tcBorders>
              <w:top w:val="single" w:sz="2"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5794EEA1" w14:textId="77777777" w:rsidR="00894148" w:rsidRPr="000B4824" w:rsidRDefault="00894148" w:rsidP="00C63FB0">
            <w:pPr>
              <w:jc w:val="center"/>
              <w:rPr>
                <w:rFonts w:ascii="Arial" w:eastAsia="Times New Roman" w:hAnsi="Arial" w:cs="Arial"/>
                <w:lang w:eastAsia="it-IT"/>
              </w:rPr>
            </w:pPr>
            <w:r w:rsidRPr="000B4824">
              <w:rPr>
                <w:rFonts w:ascii="Arial" w:eastAsia="Times New Roman" w:hAnsi="Arial" w:cs="Arial"/>
                <w:b/>
                <w:bCs/>
                <w:color w:val="000000"/>
                <w:sz w:val="14"/>
                <w:szCs w:val="14"/>
                <w:lang w:eastAsia="it-IT"/>
              </w:rPr>
              <w:t>HGB (g/dl)</w:t>
            </w:r>
          </w:p>
        </w:tc>
        <w:tc>
          <w:tcPr>
            <w:tcW w:w="411" w:type="dxa"/>
            <w:tcBorders>
              <w:top w:val="single" w:sz="2"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079383F6" w14:textId="77777777" w:rsidR="00894148" w:rsidRPr="000B4824" w:rsidRDefault="00894148" w:rsidP="00C63FB0">
            <w:pPr>
              <w:jc w:val="center"/>
              <w:rPr>
                <w:rFonts w:ascii="Arial" w:eastAsia="Times New Roman" w:hAnsi="Arial" w:cs="Arial"/>
                <w:lang w:eastAsia="it-IT"/>
              </w:rPr>
            </w:pPr>
            <w:r w:rsidRPr="000B4824">
              <w:rPr>
                <w:rFonts w:ascii="Arial" w:eastAsia="Times New Roman" w:hAnsi="Arial" w:cs="Arial"/>
                <w:b/>
                <w:bCs/>
                <w:color w:val="000000"/>
                <w:sz w:val="14"/>
                <w:szCs w:val="14"/>
                <w:lang w:eastAsia="it-IT"/>
              </w:rPr>
              <w:t>MCV (</w:t>
            </w:r>
            <w:proofErr w:type="spellStart"/>
            <w:r w:rsidRPr="000B4824">
              <w:rPr>
                <w:rFonts w:ascii="Arial" w:eastAsia="Times New Roman" w:hAnsi="Arial" w:cs="Arial"/>
                <w:b/>
                <w:bCs/>
                <w:color w:val="000000"/>
                <w:sz w:val="14"/>
                <w:szCs w:val="14"/>
                <w:lang w:eastAsia="it-IT"/>
              </w:rPr>
              <w:t>fl</w:t>
            </w:r>
            <w:proofErr w:type="spellEnd"/>
            <w:r w:rsidRPr="000B4824">
              <w:rPr>
                <w:rFonts w:ascii="Arial" w:eastAsia="Times New Roman" w:hAnsi="Arial" w:cs="Arial"/>
                <w:b/>
                <w:bCs/>
                <w:color w:val="000000"/>
                <w:sz w:val="14"/>
                <w:szCs w:val="14"/>
                <w:lang w:eastAsia="it-IT"/>
              </w:rPr>
              <w:t>)</w:t>
            </w:r>
          </w:p>
        </w:tc>
        <w:tc>
          <w:tcPr>
            <w:tcW w:w="418" w:type="dxa"/>
            <w:tcBorders>
              <w:top w:val="single" w:sz="2"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413A364E" w14:textId="77777777" w:rsidR="00894148" w:rsidRPr="000B4824" w:rsidRDefault="00894148" w:rsidP="00C63FB0">
            <w:pPr>
              <w:jc w:val="center"/>
              <w:rPr>
                <w:rFonts w:ascii="Arial" w:eastAsia="Times New Roman" w:hAnsi="Arial" w:cs="Arial"/>
                <w:lang w:eastAsia="it-IT"/>
              </w:rPr>
            </w:pPr>
            <w:r w:rsidRPr="000B4824">
              <w:rPr>
                <w:rFonts w:ascii="Arial" w:eastAsia="Times New Roman" w:hAnsi="Arial" w:cs="Arial"/>
                <w:b/>
                <w:bCs/>
                <w:color w:val="000000"/>
                <w:sz w:val="14"/>
                <w:szCs w:val="14"/>
                <w:lang w:eastAsia="it-IT"/>
              </w:rPr>
              <w:t>MCH (</w:t>
            </w:r>
            <w:proofErr w:type="spellStart"/>
            <w:r w:rsidRPr="000B4824">
              <w:rPr>
                <w:rFonts w:ascii="Arial" w:eastAsia="Times New Roman" w:hAnsi="Arial" w:cs="Arial"/>
                <w:b/>
                <w:bCs/>
                <w:color w:val="000000"/>
                <w:sz w:val="14"/>
                <w:szCs w:val="14"/>
                <w:lang w:eastAsia="it-IT"/>
              </w:rPr>
              <w:t>pg</w:t>
            </w:r>
            <w:proofErr w:type="spellEnd"/>
            <w:r w:rsidRPr="000B4824">
              <w:rPr>
                <w:rFonts w:ascii="Arial" w:eastAsia="Times New Roman" w:hAnsi="Arial" w:cs="Arial"/>
                <w:b/>
                <w:bCs/>
                <w:color w:val="000000"/>
                <w:sz w:val="14"/>
                <w:szCs w:val="14"/>
                <w:lang w:eastAsia="it-IT"/>
              </w:rPr>
              <w:t>)</w:t>
            </w:r>
          </w:p>
        </w:tc>
        <w:tc>
          <w:tcPr>
            <w:tcW w:w="522" w:type="dxa"/>
            <w:tcBorders>
              <w:top w:val="single" w:sz="2"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7142222E" w14:textId="77777777" w:rsidR="00894148" w:rsidRPr="000B4824" w:rsidRDefault="00894148" w:rsidP="00C63FB0">
            <w:pPr>
              <w:jc w:val="center"/>
              <w:rPr>
                <w:rFonts w:ascii="Arial" w:eastAsia="Times New Roman" w:hAnsi="Arial" w:cs="Arial"/>
                <w:lang w:eastAsia="it-IT"/>
              </w:rPr>
            </w:pPr>
            <w:r w:rsidRPr="000B4824">
              <w:rPr>
                <w:rFonts w:ascii="Arial" w:eastAsia="Times New Roman" w:hAnsi="Arial" w:cs="Arial"/>
                <w:b/>
                <w:bCs/>
                <w:color w:val="000000"/>
                <w:sz w:val="14"/>
                <w:szCs w:val="14"/>
                <w:lang w:eastAsia="it-IT"/>
              </w:rPr>
              <w:t>MCHC (g/dl)</w:t>
            </w:r>
          </w:p>
        </w:tc>
        <w:tc>
          <w:tcPr>
            <w:tcW w:w="604" w:type="dxa"/>
            <w:tcBorders>
              <w:top w:val="single" w:sz="2"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1126225E" w14:textId="77777777" w:rsidR="00894148" w:rsidRPr="000B4824" w:rsidRDefault="00894148" w:rsidP="00C63FB0">
            <w:pPr>
              <w:jc w:val="center"/>
              <w:rPr>
                <w:rFonts w:ascii="Arial" w:eastAsia="Times New Roman" w:hAnsi="Arial" w:cs="Arial"/>
                <w:lang w:eastAsia="it-IT"/>
              </w:rPr>
            </w:pPr>
            <w:r w:rsidRPr="000B4824">
              <w:rPr>
                <w:rFonts w:ascii="Arial" w:eastAsia="Times New Roman" w:hAnsi="Arial" w:cs="Arial"/>
                <w:b/>
                <w:bCs/>
                <w:color w:val="000000"/>
                <w:sz w:val="14"/>
                <w:szCs w:val="14"/>
                <w:lang w:eastAsia="it-IT"/>
              </w:rPr>
              <w:t>FTH1 (ng/</w:t>
            </w:r>
            <w:proofErr w:type="spellStart"/>
            <w:r w:rsidRPr="000B4824">
              <w:rPr>
                <w:rFonts w:ascii="Arial" w:eastAsia="Times New Roman" w:hAnsi="Arial" w:cs="Arial"/>
                <w:b/>
                <w:bCs/>
                <w:color w:val="000000"/>
                <w:sz w:val="14"/>
                <w:szCs w:val="14"/>
                <w:lang w:eastAsia="it-IT"/>
              </w:rPr>
              <w:t>mL</w:t>
            </w:r>
            <w:proofErr w:type="spellEnd"/>
            <w:r w:rsidRPr="000B4824">
              <w:rPr>
                <w:rFonts w:ascii="Arial" w:eastAsia="Times New Roman" w:hAnsi="Arial" w:cs="Arial"/>
                <w:b/>
                <w:bCs/>
                <w:color w:val="000000"/>
                <w:sz w:val="14"/>
                <w:szCs w:val="14"/>
                <w:lang w:eastAsia="it-IT"/>
              </w:rPr>
              <w:t>)</w:t>
            </w:r>
          </w:p>
        </w:tc>
        <w:tc>
          <w:tcPr>
            <w:tcW w:w="518" w:type="dxa"/>
            <w:tcBorders>
              <w:top w:val="single" w:sz="2"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7F0139F3" w14:textId="77777777" w:rsidR="00894148" w:rsidRPr="000B4824" w:rsidRDefault="00894148" w:rsidP="00C63FB0">
            <w:pPr>
              <w:jc w:val="center"/>
              <w:rPr>
                <w:rFonts w:ascii="Arial" w:eastAsia="Times New Roman" w:hAnsi="Arial" w:cs="Arial"/>
                <w:lang w:eastAsia="it-IT"/>
              </w:rPr>
            </w:pPr>
            <w:proofErr w:type="spellStart"/>
            <w:r w:rsidRPr="000B4824">
              <w:rPr>
                <w:rFonts w:ascii="Arial" w:eastAsia="Times New Roman" w:hAnsi="Arial" w:cs="Arial"/>
                <w:b/>
                <w:bCs/>
                <w:color w:val="000000"/>
                <w:sz w:val="14"/>
                <w:szCs w:val="14"/>
                <w:lang w:eastAsia="it-IT"/>
              </w:rPr>
              <w:t>sTfR</w:t>
            </w:r>
            <w:proofErr w:type="spellEnd"/>
            <w:r w:rsidRPr="000B4824">
              <w:rPr>
                <w:rFonts w:ascii="Arial" w:eastAsia="Times New Roman" w:hAnsi="Arial" w:cs="Arial"/>
                <w:b/>
                <w:bCs/>
                <w:color w:val="000000"/>
                <w:sz w:val="14"/>
                <w:szCs w:val="14"/>
                <w:lang w:eastAsia="it-IT"/>
              </w:rPr>
              <w:t xml:space="preserve"> (mg/L)</w:t>
            </w:r>
          </w:p>
        </w:tc>
        <w:tc>
          <w:tcPr>
            <w:tcW w:w="879" w:type="dxa"/>
            <w:tcBorders>
              <w:top w:val="single" w:sz="2"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6D191C41" w14:textId="77777777" w:rsidR="00894148" w:rsidRPr="000B4824" w:rsidRDefault="00894148" w:rsidP="00C63FB0">
            <w:pPr>
              <w:jc w:val="center"/>
              <w:rPr>
                <w:rFonts w:ascii="Arial" w:eastAsia="Times New Roman" w:hAnsi="Arial" w:cs="Arial"/>
                <w:lang w:eastAsia="it-IT"/>
              </w:rPr>
            </w:pPr>
            <w:r w:rsidRPr="000B4824">
              <w:rPr>
                <w:rFonts w:ascii="Arial" w:eastAsia="Times New Roman" w:hAnsi="Arial" w:cs="Arial"/>
                <w:b/>
                <w:bCs/>
                <w:color w:val="000000"/>
                <w:sz w:val="14"/>
                <w:szCs w:val="14"/>
                <w:lang w:eastAsia="it-IT"/>
              </w:rPr>
              <w:t>Fe </w:t>
            </w:r>
            <w:proofErr w:type="gramStart"/>
            <w:r w:rsidRPr="000B4824">
              <w:rPr>
                <w:rFonts w:ascii="Arial" w:eastAsia="Times New Roman" w:hAnsi="Arial" w:cs="Arial"/>
                <w:b/>
                <w:bCs/>
                <w:color w:val="000000"/>
                <w:sz w:val="14"/>
                <w:szCs w:val="14"/>
                <w:lang w:eastAsia="it-IT"/>
              </w:rPr>
              <w:t xml:space="preserve">   (</w:t>
            </w:r>
            <w:proofErr w:type="gramEnd"/>
            <w:r w:rsidRPr="000B4824">
              <w:rPr>
                <w:rFonts w:ascii="Arial" w:eastAsia="Times New Roman" w:hAnsi="Arial" w:cs="Arial"/>
                <w:b/>
                <w:bCs/>
                <w:color w:val="000000"/>
                <w:sz w:val="14"/>
                <w:szCs w:val="14"/>
                <w:lang w:eastAsia="it-IT"/>
              </w:rPr>
              <w:t>µg/</w:t>
            </w:r>
            <w:proofErr w:type="spellStart"/>
            <w:r w:rsidRPr="000B4824">
              <w:rPr>
                <w:rFonts w:ascii="Arial" w:eastAsia="Times New Roman" w:hAnsi="Arial" w:cs="Arial"/>
                <w:b/>
                <w:bCs/>
                <w:color w:val="000000"/>
                <w:sz w:val="14"/>
                <w:szCs w:val="14"/>
                <w:lang w:eastAsia="it-IT"/>
              </w:rPr>
              <w:t>dL</w:t>
            </w:r>
            <w:proofErr w:type="spellEnd"/>
            <w:r w:rsidRPr="000B4824">
              <w:rPr>
                <w:rFonts w:ascii="Arial" w:eastAsia="Times New Roman" w:hAnsi="Arial" w:cs="Arial"/>
                <w:b/>
                <w:bCs/>
                <w:color w:val="000000"/>
                <w:sz w:val="14"/>
                <w:szCs w:val="14"/>
                <w:lang w:eastAsia="it-IT"/>
              </w:rPr>
              <w:t>)</w:t>
            </w:r>
          </w:p>
        </w:tc>
        <w:tc>
          <w:tcPr>
            <w:tcW w:w="604" w:type="dxa"/>
            <w:tcBorders>
              <w:top w:val="single" w:sz="2"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775DE8EA" w14:textId="77777777" w:rsidR="00894148" w:rsidRPr="000B4824" w:rsidRDefault="00894148" w:rsidP="00C63FB0">
            <w:pPr>
              <w:jc w:val="center"/>
              <w:rPr>
                <w:rFonts w:ascii="Arial" w:eastAsia="Times New Roman" w:hAnsi="Arial" w:cs="Arial"/>
                <w:lang w:eastAsia="it-IT"/>
              </w:rPr>
            </w:pPr>
            <w:r w:rsidRPr="000B4824">
              <w:rPr>
                <w:rFonts w:ascii="Arial" w:eastAsia="Times New Roman" w:hAnsi="Arial" w:cs="Arial"/>
                <w:b/>
                <w:bCs/>
                <w:color w:val="000000"/>
                <w:sz w:val="14"/>
                <w:szCs w:val="14"/>
                <w:lang w:eastAsia="it-IT"/>
              </w:rPr>
              <w:t>CRP (mg/</w:t>
            </w:r>
            <w:proofErr w:type="spellStart"/>
            <w:r w:rsidRPr="000B4824">
              <w:rPr>
                <w:rFonts w:ascii="Arial" w:eastAsia="Times New Roman" w:hAnsi="Arial" w:cs="Arial"/>
                <w:b/>
                <w:bCs/>
                <w:color w:val="000000"/>
                <w:sz w:val="14"/>
                <w:szCs w:val="14"/>
                <w:lang w:eastAsia="it-IT"/>
              </w:rPr>
              <w:t>dL</w:t>
            </w:r>
            <w:proofErr w:type="spellEnd"/>
            <w:r w:rsidRPr="000B4824">
              <w:rPr>
                <w:rFonts w:ascii="Arial" w:eastAsia="Times New Roman" w:hAnsi="Arial" w:cs="Arial"/>
                <w:b/>
                <w:bCs/>
                <w:color w:val="000000"/>
                <w:sz w:val="14"/>
                <w:szCs w:val="14"/>
                <w:lang w:eastAsia="it-IT"/>
              </w:rPr>
              <w:t>)</w:t>
            </w:r>
          </w:p>
        </w:tc>
        <w:tc>
          <w:tcPr>
            <w:tcW w:w="413" w:type="dxa"/>
            <w:tcBorders>
              <w:top w:val="single" w:sz="2"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68BD4A39" w14:textId="77777777" w:rsidR="00894148" w:rsidRPr="000B4824" w:rsidRDefault="00894148" w:rsidP="00C63FB0">
            <w:pPr>
              <w:jc w:val="center"/>
              <w:rPr>
                <w:rFonts w:ascii="Arial" w:eastAsia="Times New Roman" w:hAnsi="Arial" w:cs="Arial"/>
                <w:lang w:eastAsia="it-IT"/>
              </w:rPr>
            </w:pPr>
            <w:r w:rsidRPr="000B4824">
              <w:rPr>
                <w:rFonts w:ascii="Arial" w:eastAsia="Times New Roman" w:hAnsi="Arial" w:cs="Arial"/>
                <w:b/>
                <w:bCs/>
                <w:color w:val="000000"/>
                <w:sz w:val="14"/>
                <w:szCs w:val="14"/>
                <w:lang w:eastAsia="it-IT"/>
              </w:rPr>
              <w:t>ALP (U/L)</w:t>
            </w:r>
          </w:p>
        </w:tc>
        <w:tc>
          <w:tcPr>
            <w:tcW w:w="884" w:type="dxa"/>
            <w:tcBorders>
              <w:top w:val="single" w:sz="2"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40D5583B" w14:textId="77777777" w:rsidR="00894148" w:rsidRPr="000B4824" w:rsidRDefault="00894148" w:rsidP="00C63FB0">
            <w:pPr>
              <w:jc w:val="center"/>
              <w:rPr>
                <w:rFonts w:ascii="Arial" w:eastAsia="Times New Roman" w:hAnsi="Arial" w:cs="Arial"/>
                <w:lang w:eastAsia="it-IT"/>
              </w:rPr>
            </w:pPr>
            <w:proofErr w:type="gramStart"/>
            <w:r w:rsidRPr="000B4824">
              <w:rPr>
                <w:rFonts w:ascii="Arial" w:eastAsia="Times New Roman" w:hAnsi="Arial" w:cs="Arial"/>
                <w:b/>
                <w:bCs/>
                <w:color w:val="000000"/>
                <w:sz w:val="14"/>
                <w:szCs w:val="14"/>
                <w:lang w:eastAsia="it-IT"/>
              </w:rPr>
              <w:t>UA  (</w:t>
            </w:r>
            <w:proofErr w:type="gramEnd"/>
            <w:r w:rsidRPr="000B4824">
              <w:rPr>
                <w:rFonts w:ascii="Arial" w:eastAsia="Times New Roman" w:hAnsi="Arial" w:cs="Arial"/>
                <w:b/>
                <w:bCs/>
                <w:color w:val="000000"/>
                <w:sz w:val="14"/>
                <w:szCs w:val="14"/>
                <w:lang w:eastAsia="it-IT"/>
              </w:rPr>
              <w:t>mg/</w:t>
            </w:r>
            <w:proofErr w:type="spellStart"/>
            <w:r w:rsidRPr="000B4824">
              <w:rPr>
                <w:rFonts w:ascii="Arial" w:eastAsia="Times New Roman" w:hAnsi="Arial" w:cs="Arial"/>
                <w:b/>
                <w:bCs/>
                <w:color w:val="000000"/>
                <w:sz w:val="14"/>
                <w:szCs w:val="14"/>
                <w:lang w:eastAsia="it-IT"/>
              </w:rPr>
              <w:t>dL</w:t>
            </w:r>
            <w:proofErr w:type="spellEnd"/>
            <w:r w:rsidRPr="000B4824">
              <w:rPr>
                <w:rFonts w:ascii="Arial" w:eastAsia="Times New Roman" w:hAnsi="Arial" w:cs="Arial"/>
                <w:b/>
                <w:bCs/>
                <w:color w:val="000000"/>
                <w:sz w:val="14"/>
                <w:szCs w:val="14"/>
                <w:lang w:eastAsia="it-IT"/>
              </w:rPr>
              <w:t>)</w:t>
            </w:r>
          </w:p>
        </w:tc>
        <w:tc>
          <w:tcPr>
            <w:tcW w:w="483" w:type="dxa"/>
            <w:tcBorders>
              <w:top w:val="single" w:sz="2"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53A69C02" w14:textId="77777777" w:rsidR="00894148" w:rsidRPr="000B4824" w:rsidRDefault="00894148" w:rsidP="00C63FB0">
            <w:pPr>
              <w:jc w:val="center"/>
              <w:rPr>
                <w:rFonts w:ascii="Arial" w:eastAsia="Times New Roman" w:hAnsi="Arial" w:cs="Arial"/>
                <w:lang w:eastAsia="it-IT"/>
              </w:rPr>
            </w:pPr>
            <w:r w:rsidRPr="000B4824">
              <w:rPr>
                <w:rFonts w:ascii="Arial" w:eastAsia="Times New Roman" w:hAnsi="Arial" w:cs="Arial"/>
                <w:b/>
                <w:bCs/>
                <w:color w:val="000000"/>
                <w:sz w:val="14"/>
                <w:szCs w:val="14"/>
                <w:lang w:eastAsia="it-IT"/>
              </w:rPr>
              <w:t>HSCT</w:t>
            </w:r>
          </w:p>
        </w:tc>
        <w:tc>
          <w:tcPr>
            <w:tcW w:w="954" w:type="dxa"/>
            <w:tcBorders>
              <w:top w:val="single" w:sz="2"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39BBEAFE" w14:textId="77777777" w:rsidR="00894148" w:rsidRPr="000B4824" w:rsidRDefault="00894148" w:rsidP="00C63FB0">
            <w:pPr>
              <w:jc w:val="center"/>
              <w:rPr>
                <w:rFonts w:ascii="Arial" w:eastAsia="Times New Roman" w:hAnsi="Arial" w:cs="Arial"/>
                <w:lang w:eastAsia="it-IT"/>
              </w:rPr>
            </w:pPr>
            <w:proofErr w:type="spellStart"/>
            <w:r w:rsidRPr="000B4824">
              <w:rPr>
                <w:rFonts w:ascii="Arial" w:eastAsia="Times New Roman" w:hAnsi="Arial" w:cs="Arial"/>
                <w:b/>
                <w:bCs/>
                <w:color w:val="000000"/>
                <w:sz w:val="14"/>
                <w:szCs w:val="14"/>
                <w:lang w:eastAsia="it-IT"/>
              </w:rPr>
              <w:t>Conditioning</w:t>
            </w:r>
            <w:proofErr w:type="spellEnd"/>
            <w:r w:rsidRPr="000B4824">
              <w:rPr>
                <w:rFonts w:ascii="Arial" w:eastAsia="Times New Roman" w:hAnsi="Arial" w:cs="Arial"/>
                <w:b/>
                <w:bCs/>
                <w:color w:val="000000"/>
                <w:sz w:val="14"/>
                <w:szCs w:val="14"/>
                <w:lang w:eastAsia="it-IT"/>
              </w:rPr>
              <w:t xml:space="preserve"> </w:t>
            </w:r>
            <w:proofErr w:type="spellStart"/>
            <w:r w:rsidRPr="000B4824">
              <w:rPr>
                <w:rFonts w:ascii="Arial" w:eastAsia="Times New Roman" w:hAnsi="Arial" w:cs="Arial"/>
                <w:b/>
                <w:bCs/>
                <w:color w:val="000000"/>
                <w:sz w:val="14"/>
                <w:szCs w:val="14"/>
                <w:lang w:eastAsia="it-IT"/>
              </w:rPr>
              <w:t>before</w:t>
            </w:r>
            <w:proofErr w:type="spellEnd"/>
            <w:r w:rsidRPr="000B4824">
              <w:rPr>
                <w:rFonts w:ascii="Arial" w:eastAsia="Times New Roman" w:hAnsi="Arial" w:cs="Arial"/>
                <w:b/>
                <w:bCs/>
                <w:color w:val="000000"/>
                <w:sz w:val="14"/>
                <w:szCs w:val="14"/>
                <w:lang w:eastAsia="it-IT"/>
              </w:rPr>
              <w:t xml:space="preserve"> TCSE</w:t>
            </w:r>
          </w:p>
        </w:tc>
        <w:tc>
          <w:tcPr>
            <w:tcW w:w="627" w:type="dxa"/>
            <w:tcBorders>
              <w:top w:val="single" w:sz="2"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7932EC2F" w14:textId="77777777" w:rsidR="00894148" w:rsidRPr="000B4824" w:rsidRDefault="00894148" w:rsidP="00C63FB0">
            <w:pPr>
              <w:jc w:val="center"/>
              <w:rPr>
                <w:rFonts w:ascii="Arial" w:eastAsia="Times New Roman" w:hAnsi="Arial" w:cs="Arial"/>
                <w:lang w:eastAsia="it-IT"/>
              </w:rPr>
            </w:pPr>
            <w:r w:rsidRPr="000B4824">
              <w:rPr>
                <w:rFonts w:ascii="Arial" w:eastAsia="Times New Roman" w:hAnsi="Arial" w:cs="Arial"/>
                <w:b/>
                <w:bCs/>
                <w:color w:val="000000"/>
                <w:sz w:val="14"/>
                <w:szCs w:val="14"/>
                <w:lang w:eastAsia="it-IT"/>
              </w:rPr>
              <w:t>Relapse</w:t>
            </w:r>
          </w:p>
        </w:tc>
        <w:tc>
          <w:tcPr>
            <w:tcW w:w="509" w:type="dxa"/>
            <w:tcBorders>
              <w:top w:val="single" w:sz="2"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319BC614" w14:textId="77777777" w:rsidR="00894148" w:rsidRPr="000B4824" w:rsidRDefault="00894148" w:rsidP="00C63FB0">
            <w:pPr>
              <w:jc w:val="center"/>
              <w:rPr>
                <w:rFonts w:ascii="Arial" w:eastAsia="Times New Roman" w:hAnsi="Arial" w:cs="Arial"/>
                <w:lang w:val="en-US" w:eastAsia="it-IT"/>
              </w:rPr>
            </w:pPr>
            <w:r w:rsidRPr="000B4824">
              <w:rPr>
                <w:rFonts w:ascii="Arial" w:eastAsia="Times New Roman" w:hAnsi="Arial" w:cs="Arial"/>
                <w:b/>
                <w:bCs/>
                <w:color w:val="000000"/>
                <w:sz w:val="14"/>
                <w:szCs w:val="14"/>
                <w:lang w:val="en-US" w:eastAsia="it-IT"/>
              </w:rPr>
              <w:t>Alive at last follow up </w:t>
            </w:r>
          </w:p>
        </w:tc>
      </w:tr>
      <w:tr w:rsidR="00894148" w:rsidRPr="000B4824" w14:paraId="538CD977" w14:textId="77777777" w:rsidTr="00C63FB0">
        <w:trPr>
          <w:trHeight w:val="405"/>
        </w:trPr>
        <w:tc>
          <w:tcPr>
            <w:tcW w:w="842" w:type="dxa"/>
            <w:tcBorders>
              <w:top w:val="single" w:sz="6" w:space="0" w:color="000000"/>
              <w:left w:val="single" w:sz="6" w:space="0" w:color="000000"/>
              <w:bottom w:val="single" w:sz="6" w:space="0" w:color="000000"/>
              <w:right w:val="single" w:sz="2" w:space="0" w:color="000000"/>
            </w:tcBorders>
            <w:tcMar>
              <w:top w:w="30" w:type="dxa"/>
              <w:left w:w="45" w:type="dxa"/>
              <w:bottom w:w="30" w:type="dxa"/>
              <w:right w:w="45" w:type="dxa"/>
            </w:tcMar>
            <w:vAlign w:val="center"/>
            <w:hideMark/>
          </w:tcPr>
          <w:p w14:paraId="77D8B03D" w14:textId="77777777" w:rsidR="00894148" w:rsidRPr="000B4824" w:rsidRDefault="00894148" w:rsidP="00C63FB0">
            <w:pPr>
              <w:jc w:val="center"/>
              <w:rPr>
                <w:rFonts w:ascii="Times New Roman" w:eastAsia="Times New Roman" w:hAnsi="Times New Roman" w:cs="Times New Roman"/>
                <w:lang w:eastAsia="it-IT"/>
              </w:rPr>
            </w:pPr>
            <w:r w:rsidRPr="000B4824">
              <w:rPr>
                <w:rFonts w:ascii="Times New Roman" w:eastAsia="Times New Roman" w:hAnsi="Times New Roman" w:cs="Times New Roman"/>
                <w:b/>
                <w:bCs/>
                <w:color w:val="000000"/>
                <w:sz w:val="14"/>
                <w:szCs w:val="14"/>
                <w:lang w:eastAsia="it-IT"/>
              </w:rPr>
              <w:t>T-ALL 4</w:t>
            </w:r>
          </w:p>
        </w:tc>
        <w:tc>
          <w:tcPr>
            <w:tcW w:w="374" w:type="dxa"/>
            <w:tcBorders>
              <w:top w:val="single" w:sz="6"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4EEDFEA2" w14:textId="77777777" w:rsidR="00894148" w:rsidRPr="000B4824" w:rsidRDefault="00894148" w:rsidP="00C63FB0">
            <w:pPr>
              <w:jc w:val="center"/>
              <w:rPr>
                <w:rFonts w:ascii="Arial" w:eastAsia="Times New Roman" w:hAnsi="Arial" w:cs="Arial"/>
                <w:lang w:eastAsia="it-IT"/>
              </w:rPr>
            </w:pPr>
            <w:r w:rsidRPr="000B4824">
              <w:rPr>
                <w:rFonts w:ascii="Arial" w:eastAsia="Times New Roman" w:hAnsi="Arial" w:cs="Arial"/>
                <w:color w:val="000000"/>
                <w:sz w:val="14"/>
                <w:szCs w:val="14"/>
                <w:lang w:eastAsia="it-IT"/>
              </w:rPr>
              <w:t>M</w:t>
            </w:r>
          </w:p>
        </w:tc>
        <w:tc>
          <w:tcPr>
            <w:tcW w:w="760" w:type="dxa"/>
            <w:tcBorders>
              <w:top w:val="single" w:sz="6"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1B4E6B0A" w14:textId="77777777" w:rsidR="00894148" w:rsidRPr="000B4824" w:rsidRDefault="00894148" w:rsidP="00C63FB0">
            <w:pPr>
              <w:jc w:val="center"/>
              <w:rPr>
                <w:rFonts w:ascii="Arial" w:eastAsia="Times New Roman" w:hAnsi="Arial" w:cs="Arial"/>
                <w:lang w:eastAsia="it-IT"/>
              </w:rPr>
            </w:pPr>
            <w:r w:rsidRPr="000B4824">
              <w:rPr>
                <w:rFonts w:ascii="Arial" w:eastAsia="Times New Roman" w:hAnsi="Arial" w:cs="Arial"/>
                <w:color w:val="000000"/>
                <w:sz w:val="14"/>
                <w:szCs w:val="14"/>
                <w:lang w:eastAsia="it-IT"/>
              </w:rPr>
              <w:t>6</w:t>
            </w:r>
          </w:p>
        </w:tc>
        <w:tc>
          <w:tcPr>
            <w:tcW w:w="978" w:type="dxa"/>
            <w:tcBorders>
              <w:top w:val="single" w:sz="6"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2A6D1E79" w14:textId="77777777" w:rsidR="00894148" w:rsidRPr="000B4824" w:rsidRDefault="00894148" w:rsidP="00C63FB0">
            <w:pPr>
              <w:jc w:val="center"/>
              <w:rPr>
                <w:rFonts w:ascii="Arial" w:eastAsia="Times New Roman" w:hAnsi="Arial" w:cs="Arial"/>
                <w:lang w:eastAsia="it-IT"/>
              </w:rPr>
            </w:pPr>
            <w:r w:rsidRPr="000B4824">
              <w:rPr>
                <w:rFonts w:ascii="Arial" w:eastAsia="Times New Roman" w:hAnsi="Arial" w:cs="Arial"/>
                <w:color w:val="000000"/>
                <w:sz w:val="14"/>
                <w:szCs w:val="14"/>
                <w:lang w:eastAsia="it-IT"/>
              </w:rPr>
              <w:t>AIEOP BFM ALL 2017</w:t>
            </w:r>
          </w:p>
        </w:tc>
        <w:tc>
          <w:tcPr>
            <w:tcW w:w="986" w:type="dxa"/>
            <w:tcBorders>
              <w:top w:val="single" w:sz="6"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3736D881" w14:textId="77777777" w:rsidR="00894148" w:rsidRPr="000B4824" w:rsidRDefault="00894148" w:rsidP="00C63FB0">
            <w:pPr>
              <w:jc w:val="center"/>
              <w:rPr>
                <w:rFonts w:ascii="Arial" w:eastAsia="Times New Roman" w:hAnsi="Arial" w:cs="Arial"/>
                <w:lang w:eastAsia="it-IT"/>
              </w:rPr>
            </w:pPr>
            <w:r w:rsidRPr="000B4824">
              <w:rPr>
                <w:rFonts w:ascii="Arial" w:eastAsia="Times New Roman" w:hAnsi="Arial" w:cs="Arial"/>
                <w:color w:val="000000"/>
                <w:sz w:val="14"/>
                <w:szCs w:val="14"/>
                <w:lang w:val="en-US" w:eastAsia="it-IT"/>
              </w:rPr>
              <w:t xml:space="preserve">GPR. CNS1. early non-SR. random IB/2 long. </w:t>
            </w:r>
            <w:r w:rsidRPr="000B4824">
              <w:rPr>
                <w:rFonts w:ascii="Arial" w:eastAsia="Times New Roman" w:hAnsi="Arial" w:cs="Arial"/>
                <w:color w:val="000000"/>
                <w:sz w:val="14"/>
                <w:szCs w:val="14"/>
                <w:lang w:eastAsia="it-IT"/>
              </w:rPr>
              <w:t>HR</w:t>
            </w:r>
          </w:p>
        </w:tc>
        <w:tc>
          <w:tcPr>
            <w:tcW w:w="782" w:type="dxa"/>
            <w:tcBorders>
              <w:top w:val="single" w:sz="6"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4E1CB0D1" w14:textId="77777777" w:rsidR="00894148" w:rsidRPr="000B4824" w:rsidRDefault="00894148" w:rsidP="00C63FB0">
            <w:pPr>
              <w:jc w:val="center"/>
              <w:rPr>
                <w:rFonts w:ascii="Arial" w:eastAsia="Times New Roman" w:hAnsi="Arial" w:cs="Arial"/>
                <w:lang w:eastAsia="it-IT"/>
              </w:rPr>
            </w:pPr>
            <w:r w:rsidRPr="000B4824">
              <w:rPr>
                <w:rFonts w:ascii="Arial" w:eastAsia="Times New Roman" w:hAnsi="Arial" w:cs="Arial"/>
                <w:color w:val="000000"/>
                <w:sz w:val="14"/>
                <w:szCs w:val="14"/>
                <w:lang w:eastAsia="it-IT"/>
              </w:rPr>
              <w:t>308.1</w:t>
            </w:r>
          </w:p>
        </w:tc>
        <w:tc>
          <w:tcPr>
            <w:tcW w:w="782" w:type="dxa"/>
            <w:tcBorders>
              <w:top w:val="single" w:sz="6"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3DB8279B" w14:textId="77777777" w:rsidR="00894148" w:rsidRPr="000B4824" w:rsidRDefault="00894148" w:rsidP="00C63FB0">
            <w:pPr>
              <w:jc w:val="center"/>
              <w:rPr>
                <w:rFonts w:ascii="Arial" w:eastAsia="Times New Roman" w:hAnsi="Arial" w:cs="Arial"/>
                <w:lang w:eastAsia="it-IT"/>
              </w:rPr>
            </w:pPr>
            <w:r w:rsidRPr="000B4824">
              <w:rPr>
                <w:rFonts w:ascii="Arial" w:eastAsia="Times New Roman" w:hAnsi="Arial" w:cs="Arial"/>
                <w:color w:val="000000"/>
                <w:sz w:val="14"/>
                <w:szCs w:val="14"/>
                <w:lang w:eastAsia="it-IT"/>
              </w:rPr>
              <w:t>4.05</w:t>
            </w:r>
          </w:p>
        </w:tc>
        <w:tc>
          <w:tcPr>
            <w:tcW w:w="782" w:type="dxa"/>
            <w:tcBorders>
              <w:top w:val="single" w:sz="6"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5CD42B71" w14:textId="77777777" w:rsidR="00894148" w:rsidRPr="000B4824" w:rsidRDefault="00894148" w:rsidP="00C63FB0">
            <w:pPr>
              <w:jc w:val="center"/>
              <w:rPr>
                <w:rFonts w:ascii="Arial" w:eastAsia="Times New Roman" w:hAnsi="Arial" w:cs="Arial"/>
                <w:lang w:eastAsia="it-IT"/>
              </w:rPr>
            </w:pPr>
            <w:r w:rsidRPr="000B4824">
              <w:rPr>
                <w:rFonts w:ascii="Arial" w:eastAsia="Times New Roman" w:hAnsi="Arial" w:cs="Arial"/>
                <w:color w:val="000000"/>
                <w:sz w:val="14"/>
                <w:szCs w:val="14"/>
                <w:lang w:eastAsia="it-IT"/>
              </w:rPr>
              <w:t>96</w:t>
            </w:r>
          </w:p>
        </w:tc>
        <w:tc>
          <w:tcPr>
            <w:tcW w:w="441" w:type="dxa"/>
            <w:tcBorders>
              <w:top w:val="single" w:sz="6"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5293687D" w14:textId="77777777" w:rsidR="00894148" w:rsidRPr="000B4824" w:rsidRDefault="00894148" w:rsidP="00C63FB0">
            <w:pPr>
              <w:jc w:val="center"/>
              <w:rPr>
                <w:rFonts w:ascii="Arial" w:eastAsia="Times New Roman" w:hAnsi="Arial" w:cs="Arial"/>
                <w:lang w:eastAsia="it-IT"/>
              </w:rPr>
            </w:pPr>
            <w:r w:rsidRPr="000B4824">
              <w:rPr>
                <w:rFonts w:ascii="Arial" w:eastAsia="Times New Roman" w:hAnsi="Arial" w:cs="Arial"/>
                <w:color w:val="000000"/>
                <w:sz w:val="14"/>
                <w:szCs w:val="14"/>
                <w:lang w:eastAsia="it-IT"/>
              </w:rPr>
              <w:t>32</w:t>
            </w:r>
          </w:p>
        </w:tc>
        <w:tc>
          <w:tcPr>
            <w:tcW w:w="441" w:type="dxa"/>
            <w:tcBorders>
              <w:top w:val="single" w:sz="6"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7C1C6676" w14:textId="77777777" w:rsidR="00894148" w:rsidRPr="000B4824" w:rsidRDefault="00894148" w:rsidP="00C63FB0">
            <w:pPr>
              <w:jc w:val="center"/>
              <w:rPr>
                <w:rFonts w:ascii="Arial" w:eastAsia="Times New Roman" w:hAnsi="Arial" w:cs="Arial"/>
                <w:lang w:eastAsia="it-IT"/>
              </w:rPr>
            </w:pPr>
            <w:r w:rsidRPr="000B4824">
              <w:rPr>
                <w:rFonts w:ascii="Arial" w:eastAsia="Times New Roman" w:hAnsi="Arial" w:cs="Arial"/>
                <w:color w:val="000000"/>
                <w:sz w:val="14"/>
                <w:szCs w:val="14"/>
                <w:lang w:eastAsia="it-IT"/>
              </w:rPr>
              <w:t>14.02</w:t>
            </w:r>
          </w:p>
        </w:tc>
        <w:tc>
          <w:tcPr>
            <w:tcW w:w="411" w:type="dxa"/>
            <w:tcBorders>
              <w:top w:val="single" w:sz="6"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6893C203" w14:textId="77777777" w:rsidR="00894148" w:rsidRPr="000B4824" w:rsidRDefault="00894148" w:rsidP="00C63FB0">
            <w:pPr>
              <w:jc w:val="center"/>
              <w:rPr>
                <w:rFonts w:ascii="Arial" w:eastAsia="Times New Roman" w:hAnsi="Arial" w:cs="Arial"/>
                <w:lang w:eastAsia="it-IT"/>
              </w:rPr>
            </w:pPr>
            <w:r w:rsidRPr="000B4824">
              <w:rPr>
                <w:rFonts w:ascii="Arial" w:eastAsia="Times New Roman" w:hAnsi="Arial" w:cs="Arial"/>
                <w:color w:val="000000"/>
                <w:sz w:val="14"/>
                <w:szCs w:val="14"/>
                <w:lang w:eastAsia="it-IT"/>
              </w:rPr>
              <w:t>79.2</w:t>
            </w:r>
          </w:p>
        </w:tc>
        <w:tc>
          <w:tcPr>
            <w:tcW w:w="418" w:type="dxa"/>
            <w:tcBorders>
              <w:top w:val="single" w:sz="6"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0786E4C1" w14:textId="77777777" w:rsidR="00894148" w:rsidRPr="000B4824" w:rsidRDefault="00894148" w:rsidP="00C63FB0">
            <w:pPr>
              <w:jc w:val="center"/>
              <w:rPr>
                <w:rFonts w:ascii="Arial" w:eastAsia="Times New Roman" w:hAnsi="Arial" w:cs="Arial"/>
                <w:lang w:eastAsia="it-IT"/>
              </w:rPr>
            </w:pPr>
            <w:r w:rsidRPr="000B4824">
              <w:rPr>
                <w:rFonts w:ascii="Arial" w:eastAsia="Times New Roman" w:hAnsi="Arial" w:cs="Arial"/>
                <w:color w:val="000000"/>
                <w:sz w:val="14"/>
                <w:szCs w:val="14"/>
                <w:lang w:eastAsia="it-IT"/>
              </w:rPr>
              <w:t>35.1</w:t>
            </w:r>
          </w:p>
        </w:tc>
        <w:tc>
          <w:tcPr>
            <w:tcW w:w="522" w:type="dxa"/>
            <w:tcBorders>
              <w:top w:val="single" w:sz="6"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5D0276A9" w14:textId="77777777" w:rsidR="00894148" w:rsidRPr="000B4824" w:rsidRDefault="00894148" w:rsidP="00C63FB0">
            <w:pPr>
              <w:jc w:val="center"/>
              <w:rPr>
                <w:rFonts w:ascii="Arial" w:eastAsia="Times New Roman" w:hAnsi="Arial" w:cs="Arial"/>
                <w:lang w:eastAsia="it-IT"/>
              </w:rPr>
            </w:pPr>
            <w:r w:rsidRPr="000B4824">
              <w:rPr>
                <w:rFonts w:ascii="Arial" w:eastAsia="Times New Roman" w:hAnsi="Arial" w:cs="Arial"/>
                <w:color w:val="000000"/>
                <w:sz w:val="14"/>
                <w:szCs w:val="14"/>
                <w:lang w:eastAsia="it-IT"/>
              </w:rPr>
              <w:t>44.3</w:t>
            </w:r>
          </w:p>
        </w:tc>
        <w:tc>
          <w:tcPr>
            <w:tcW w:w="604" w:type="dxa"/>
            <w:tcBorders>
              <w:top w:val="single" w:sz="6"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428F143A" w14:textId="77777777" w:rsidR="00894148" w:rsidRPr="000B4824" w:rsidRDefault="00894148" w:rsidP="00C63FB0">
            <w:pPr>
              <w:jc w:val="center"/>
              <w:rPr>
                <w:rFonts w:ascii="Arial" w:eastAsia="Times New Roman" w:hAnsi="Arial" w:cs="Arial"/>
                <w:lang w:eastAsia="it-IT"/>
              </w:rPr>
            </w:pPr>
            <w:r w:rsidRPr="000B4824">
              <w:rPr>
                <w:rFonts w:ascii="Arial" w:eastAsia="Times New Roman" w:hAnsi="Arial" w:cs="Arial"/>
                <w:color w:val="000000"/>
                <w:sz w:val="14"/>
                <w:szCs w:val="14"/>
                <w:lang w:eastAsia="it-IT"/>
              </w:rPr>
              <w:t>409</w:t>
            </w:r>
          </w:p>
        </w:tc>
        <w:tc>
          <w:tcPr>
            <w:tcW w:w="518" w:type="dxa"/>
            <w:tcBorders>
              <w:top w:val="single" w:sz="6"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0607BEF4" w14:textId="77777777" w:rsidR="00894148" w:rsidRPr="000B4824" w:rsidRDefault="00894148" w:rsidP="00C63FB0">
            <w:pPr>
              <w:jc w:val="center"/>
              <w:rPr>
                <w:rFonts w:ascii="Arial" w:eastAsia="Times New Roman" w:hAnsi="Arial" w:cs="Arial"/>
                <w:lang w:eastAsia="it-IT"/>
              </w:rPr>
            </w:pPr>
            <w:r w:rsidRPr="000B4824">
              <w:rPr>
                <w:rFonts w:ascii="Arial" w:eastAsia="Times New Roman" w:hAnsi="Arial" w:cs="Arial"/>
                <w:color w:val="000000"/>
                <w:sz w:val="14"/>
                <w:szCs w:val="14"/>
                <w:lang w:eastAsia="it-IT"/>
              </w:rPr>
              <w:t>214</w:t>
            </w:r>
          </w:p>
        </w:tc>
        <w:tc>
          <w:tcPr>
            <w:tcW w:w="879" w:type="dxa"/>
            <w:tcBorders>
              <w:top w:val="single" w:sz="6"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72354DDC" w14:textId="77777777" w:rsidR="00894148" w:rsidRPr="000B4824" w:rsidRDefault="00894148" w:rsidP="00C63FB0">
            <w:pPr>
              <w:jc w:val="center"/>
              <w:rPr>
                <w:rFonts w:ascii="Arial" w:eastAsia="Times New Roman" w:hAnsi="Arial" w:cs="Arial"/>
                <w:lang w:eastAsia="it-IT"/>
              </w:rPr>
            </w:pPr>
            <w:r w:rsidRPr="000B4824">
              <w:rPr>
                <w:rFonts w:ascii="Arial" w:eastAsia="Times New Roman" w:hAnsi="Arial" w:cs="Arial"/>
                <w:color w:val="000000"/>
                <w:sz w:val="14"/>
                <w:szCs w:val="14"/>
                <w:lang w:eastAsia="it-IT"/>
              </w:rPr>
              <w:t>NA</w:t>
            </w:r>
          </w:p>
        </w:tc>
        <w:tc>
          <w:tcPr>
            <w:tcW w:w="604" w:type="dxa"/>
            <w:tcBorders>
              <w:top w:val="single" w:sz="6"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01F8EC1C" w14:textId="77777777" w:rsidR="00894148" w:rsidRPr="000B4824" w:rsidRDefault="00894148" w:rsidP="00C63FB0">
            <w:pPr>
              <w:jc w:val="center"/>
              <w:rPr>
                <w:rFonts w:ascii="Arial" w:eastAsia="Times New Roman" w:hAnsi="Arial" w:cs="Arial"/>
                <w:lang w:eastAsia="it-IT"/>
              </w:rPr>
            </w:pPr>
            <w:r w:rsidRPr="000B4824">
              <w:rPr>
                <w:rFonts w:ascii="Arial" w:eastAsia="Times New Roman" w:hAnsi="Arial" w:cs="Arial"/>
                <w:color w:val="000000"/>
                <w:sz w:val="14"/>
                <w:szCs w:val="14"/>
                <w:lang w:eastAsia="it-IT"/>
              </w:rPr>
              <w:t>1.08</w:t>
            </w:r>
          </w:p>
        </w:tc>
        <w:tc>
          <w:tcPr>
            <w:tcW w:w="413" w:type="dxa"/>
            <w:tcBorders>
              <w:top w:val="single" w:sz="6"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458692F6" w14:textId="77777777" w:rsidR="00894148" w:rsidRPr="000B4824" w:rsidRDefault="00894148" w:rsidP="00C63FB0">
            <w:pPr>
              <w:jc w:val="center"/>
              <w:rPr>
                <w:rFonts w:ascii="Arial" w:eastAsia="Times New Roman" w:hAnsi="Arial" w:cs="Arial"/>
                <w:lang w:eastAsia="it-IT"/>
              </w:rPr>
            </w:pPr>
            <w:r w:rsidRPr="000B4824">
              <w:rPr>
                <w:rFonts w:ascii="Arial" w:eastAsia="Times New Roman" w:hAnsi="Arial" w:cs="Arial"/>
                <w:color w:val="000000"/>
                <w:sz w:val="14"/>
                <w:szCs w:val="14"/>
                <w:lang w:eastAsia="it-IT"/>
              </w:rPr>
              <w:t>244</w:t>
            </w:r>
          </w:p>
        </w:tc>
        <w:tc>
          <w:tcPr>
            <w:tcW w:w="884" w:type="dxa"/>
            <w:tcBorders>
              <w:top w:val="single" w:sz="6"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56C0C853" w14:textId="77777777" w:rsidR="00894148" w:rsidRPr="000B4824" w:rsidRDefault="00894148" w:rsidP="00C63FB0">
            <w:pPr>
              <w:jc w:val="center"/>
              <w:rPr>
                <w:rFonts w:ascii="Arial" w:eastAsia="Times New Roman" w:hAnsi="Arial" w:cs="Arial"/>
                <w:lang w:eastAsia="it-IT"/>
              </w:rPr>
            </w:pPr>
            <w:r w:rsidRPr="000B4824">
              <w:rPr>
                <w:rFonts w:ascii="Arial" w:eastAsia="Times New Roman" w:hAnsi="Arial" w:cs="Arial"/>
                <w:color w:val="000000"/>
                <w:sz w:val="14"/>
                <w:szCs w:val="14"/>
                <w:lang w:eastAsia="it-IT"/>
              </w:rPr>
              <w:t>14.20</w:t>
            </w:r>
          </w:p>
        </w:tc>
        <w:tc>
          <w:tcPr>
            <w:tcW w:w="483" w:type="dxa"/>
            <w:tcBorders>
              <w:top w:val="single" w:sz="6"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3CD20AA5" w14:textId="77777777" w:rsidR="00894148" w:rsidRPr="000B4824" w:rsidRDefault="00894148" w:rsidP="00C63FB0">
            <w:pPr>
              <w:jc w:val="center"/>
              <w:rPr>
                <w:rFonts w:ascii="Arial" w:eastAsia="Times New Roman" w:hAnsi="Arial" w:cs="Arial"/>
                <w:lang w:eastAsia="it-IT"/>
              </w:rPr>
            </w:pPr>
            <w:r w:rsidRPr="000B4824">
              <w:rPr>
                <w:rFonts w:ascii="Arial" w:eastAsia="Times New Roman" w:hAnsi="Arial" w:cs="Arial"/>
                <w:color w:val="000000"/>
                <w:sz w:val="14"/>
                <w:szCs w:val="14"/>
                <w:lang w:eastAsia="it-IT"/>
              </w:rPr>
              <w:t>No</w:t>
            </w:r>
          </w:p>
        </w:tc>
        <w:tc>
          <w:tcPr>
            <w:tcW w:w="954" w:type="dxa"/>
            <w:tcBorders>
              <w:top w:val="single" w:sz="6"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60EF2465" w14:textId="77777777" w:rsidR="00894148" w:rsidRPr="000B4824" w:rsidRDefault="00894148" w:rsidP="00C63FB0">
            <w:pPr>
              <w:rPr>
                <w:rFonts w:ascii="Arial" w:eastAsia="Times New Roman" w:hAnsi="Arial" w:cs="Arial"/>
                <w:sz w:val="18"/>
                <w:szCs w:val="18"/>
                <w:lang w:eastAsia="it-IT"/>
              </w:rPr>
            </w:pPr>
          </w:p>
        </w:tc>
        <w:tc>
          <w:tcPr>
            <w:tcW w:w="627" w:type="dxa"/>
            <w:tcBorders>
              <w:top w:val="single" w:sz="6" w:space="0" w:color="000000"/>
              <w:left w:val="single" w:sz="2" w:space="0" w:color="000000"/>
              <w:bottom w:val="single" w:sz="6" w:space="0" w:color="000000"/>
              <w:right w:val="single" w:sz="2" w:space="0" w:color="000000"/>
            </w:tcBorders>
            <w:tcMar>
              <w:top w:w="30" w:type="dxa"/>
              <w:left w:w="45" w:type="dxa"/>
              <w:bottom w:w="30" w:type="dxa"/>
              <w:right w:w="45" w:type="dxa"/>
            </w:tcMar>
            <w:vAlign w:val="center"/>
            <w:hideMark/>
          </w:tcPr>
          <w:p w14:paraId="51542955" w14:textId="77777777" w:rsidR="00894148" w:rsidRPr="000B4824" w:rsidRDefault="00894148" w:rsidP="00C63FB0">
            <w:pPr>
              <w:jc w:val="center"/>
              <w:rPr>
                <w:rFonts w:ascii="Arial" w:eastAsia="Times New Roman" w:hAnsi="Arial" w:cs="Arial"/>
                <w:lang w:eastAsia="it-IT"/>
              </w:rPr>
            </w:pPr>
            <w:r w:rsidRPr="000B4824">
              <w:rPr>
                <w:rFonts w:ascii="Arial" w:eastAsia="Times New Roman" w:hAnsi="Arial" w:cs="Arial"/>
                <w:color w:val="000000"/>
                <w:sz w:val="14"/>
                <w:szCs w:val="14"/>
                <w:lang w:eastAsia="it-IT"/>
              </w:rPr>
              <w:t>Yes</w:t>
            </w:r>
          </w:p>
        </w:tc>
        <w:tc>
          <w:tcPr>
            <w:tcW w:w="509" w:type="dxa"/>
            <w:tcBorders>
              <w:top w:val="single" w:sz="6" w:space="0" w:color="000000"/>
              <w:left w:val="single" w:sz="2" w:space="0" w:color="000000"/>
              <w:bottom w:val="single" w:sz="6" w:space="0" w:color="000000"/>
              <w:right w:val="single" w:sz="6" w:space="0" w:color="000000"/>
            </w:tcBorders>
            <w:tcMar>
              <w:top w:w="30" w:type="dxa"/>
              <w:left w:w="45" w:type="dxa"/>
              <w:bottom w:w="30" w:type="dxa"/>
              <w:right w:w="45" w:type="dxa"/>
            </w:tcMar>
            <w:vAlign w:val="center"/>
            <w:hideMark/>
          </w:tcPr>
          <w:p w14:paraId="24C27846" w14:textId="77777777" w:rsidR="00894148" w:rsidRPr="000B4824" w:rsidRDefault="00894148" w:rsidP="00C63FB0">
            <w:pPr>
              <w:jc w:val="center"/>
              <w:rPr>
                <w:rFonts w:ascii="Arial" w:eastAsia="Times New Roman" w:hAnsi="Arial" w:cs="Arial"/>
                <w:lang w:eastAsia="it-IT"/>
              </w:rPr>
            </w:pPr>
            <w:r w:rsidRPr="000B4824">
              <w:rPr>
                <w:rFonts w:ascii="Arial" w:eastAsia="Times New Roman" w:hAnsi="Arial" w:cs="Arial"/>
                <w:color w:val="000000"/>
                <w:sz w:val="14"/>
                <w:szCs w:val="14"/>
                <w:lang w:eastAsia="it-IT"/>
              </w:rPr>
              <w:t>No</w:t>
            </w:r>
          </w:p>
        </w:tc>
      </w:tr>
    </w:tbl>
    <w:p w14:paraId="5D7F815F" w14:textId="23CC1B31" w:rsidR="00894148" w:rsidRDefault="00894148" w:rsidP="00894148">
      <w:pPr>
        <w:rPr>
          <w:rFonts w:ascii="Arial" w:hAnsi="Arial" w:cs="Arial"/>
          <w:lang w:val="en-US"/>
        </w:rPr>
        <w:sectPr w:rsidR="00894148" w:rsidSect="00D31F86">
          <w:pgSz w:w="16840" w:h="11900" w:orient="landscape"/>
          <w:pgMar w:top="1134" w:right="1134" w:bottom="1134" w:left="1418" w:header="709" w:footer="709" w:gutter="0"/>
          <w:lnNumType w:countBy="1" w:restart="continuous"/>
          <w:cols w:space="708"/>
          <w:docGrid w:linePitch="360"/>
        </w:sectPr>
      </w:pPr>
      <w:r w:rsidRPr="00B6189A">
        <w:rPr>
          <w:rFonts w:ascii="Arial" w:hAnsi="Arial" w:cs="Arial"/>
          <w:lang w:val="en-US"/>
        </w:rPr>
        <w:t>Table SM</w:t>
      </w:r>
      <w:r>
        <w:rPr>
          <w:rFonts w:ascii="Arial" w:hAnsi="Arial" w:cs="Arial"/>
          <w:lang w:val="en-US"/>
        </w:rPr>
        <w:t>1</w:t>
      </w:r>
      <w:r w:rsidRPr="00B6189A">
        <w:rPr>
          <w:rFonts w:ascii="Arial" w:hAnsi="Arial" w:cs="Arial"/>
          <w:lang w:val="en-US"/>
        </w:rPr>
        <w:t xml:space="preserve">: Clinical and hematological data from medical records of </w:t>
      </w:r>
      <w:r>
        <w:rPr>
          <w:rFonts w:ascii="Arial" w:hAnsi="Arial" w:cs="Arial"/>
          <w:lang w:val="en-US"/>
        </w:rPr>
        <w:t>1</w:t>
      </w:r>
      <w:r w:rsidRPr="00B6189A">
        <w:rPr>
          <w:rFonts w:ascii="Arial" w:hAnsi="Arial" w:cs="Arial"/>
          <w:lang w:val="en-US"/>
        </w:rPr>
        <w:t xml:space="preserve"> newly diagnosed patient</w:t>
      </w:r>
      <w:r>
        <w:rPr>
          <w:rFonts w:ascii="Arial" w:hAnsi="Arial" w:cs="Arial"/>
          <w:lang w:val="en-US"/>
        </w:rPr>
        <w:t xml:space="preserve"> </w:t>
      </w:r>
      <w:r w:rsidRPr="00B6189A">
        <w:rPr>
          <w:rFonts w:ascii="Arial" w:hAnsi="Arial" w:cs="Arial"/>
          <w:lang w:val="en-US"/>
        </w:rPr>
        <w:t>with T-ALL treated at the Meyer Children’s Hospital IRCCS between December 2019 and December 2023.</w:t>
      </w:r>
    </w:p>
    <w:p w14:paraId="15B80FE6" w14:textId="77777777" w:rsidR="00A678DC" w:rsidRPr="003D580C" w:rsidRDefault="00A678DC">
      <w:pPr>
        <w:rPr>
          <w:rFonts w:ascii="Arial" w:hAnsi="Arial" w:cs="Arial"/>
          <w:b/>
          <w:bCs/>
          <w:lang w:val="en-US"/>
        </w:rPr>
      </w:pPr>
    </w:p>
    <w:tbl>
      <w:tblPr>
        <w:tblW w:w="9026" w:type="dxa"/>
        <w:tblCellMar>
          <w:top w:w="15" w:type="dxa"/>
          <w:left w:w="15" w:type="dxa"/>
          <w:bottom w:w="15" w:type="dxa"/>
          <w:right w:w="15" w:type="dxa"/>
        </w:tblCellMar>
        <w:tblLook w:val="04A0" w:firstRow="1" w:lastRow="0" w:firstColumn="1" w:lastColumn="0" w:noHBand="0" w:noVBand="1"/>
      </w:tblPr>
      <w:tblGrid>
        <w:gridCol w:w="947"/>
        <w:gridCol w:w="1654"/>
        <w:gridCol w:w="2161"/>
        <w:gridCol w:w="2949"/>
        <w:gridCol w:w="1508"/>
      </w:tblGrid>
      <w:tr w:rsidR="00A678DC" w:rsidRPr="00A678DC" w14:paraId="0126B951" w14:textId="77777777" w:rsidTr="00A678D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6A885" w14:textId="77777777" w:rsidR="00A678DC" w:rsidRPr="00A678DC" w:rsidRDefault="00A678DC" w:rsidP="00A678DC">
            <w:pPr>
              <w:rPr>
                <w:rFonts w:ascii="Arial" w:eastAsia="Times New Roman" w:hAnsi="Arial" w:cs="Arial"/>
                <w:color w:val="000000" w:themeColor="text1"/>
                <w:lang w:eastAsia="it-IT"/>
              </w:rPr>
            </w:pPr>
            <w:r w:rsidRPr="00A678DC">
              <w:rPr>
                <w:rFonts w:ascii="Arial" w:eastAsia="Times New Roman" w:hAnsi="Arial" w:cs="Arial"/>
                <w:color w:val="000000" w:themeColor="text1"/>
                <w:lang w:eastAsia="it-IT"/>
              </w:rPr>
              <w:t>Cell line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BD87A" w14:textId="77777777" w:rsidR="00A678DC" w:rsidRPr="00A678DC" w:rsidRDefault="00A678DC" w:rsidP="00A678DC">
            <w:pPr>
              <w:rPr>
                <w:rFonts w:ascii="Arial" w:eastAsia="Times New Roman" w:hAnsi="Arial" w:cs="Arial"/>
                <w:color w:val="000000" w:themeColor="text1"/>
                <w:lang w:eastAsia="it-IT"/>
              </w:rPr>
            </w:pPr>
            <w:proofErr w:type="spellStart"/>
            <w:r w:rsidRPr="00A678DC">
              <w:rPr>
                <w:rFonts w:ascii="Arial" w:eastAsia="Times New Roman" w:hAnsi="Arial" w:cs="Arial"/>
                <w:color w:val="000000" w:themeColor="text1"/>
                <w:lang w:eastAsia="it-IT"/>
              </w:rPr>
              <w:t>Origin</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6C71DA" w14:textId="77777777" w:rsidR="00A678DC" w:rsidRPr="00A678DC" w:rsidRDefault="00A678DC" w:rsidP="00A678DC">
            <w:pPr>
              <w:rPr>
                <w:rFonts w:ascii="Arial" w:eastAsia="Times New Roman" w:hAnsi="Arial" w:cs="Arial"/>
                <w:color w:val="000000" w:themeColor="text1"/>
                <w:lang w:eastAsia="it-IT"/>
              </w:rPr>
            </w:pPr>
            <w:proofErr w:type="spellStart"/>
            <w:r w:rsidRPr="00A678DC">
              <w:rPr>
                <w:rFonts w:ascii="Arial" w:eastAsia="Times New Roman" w:hAnsi="Arial" w:cs="Arial"/>
                <w:color w:val="000000" w:themeColor="text1"/>
                <w:lang w:eastAsia="it-IT"/>
              </w:rPr>
              <w:t>Immunology</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86E26" w14:textId="77777777" w:rsidR="00A678DC" w:rsidRPr="00A678DC" w:rsidRDefault="00A678DC" w:rsidP="00A678DC">
            <w:pPr>
              <w:rPr>
                <w:rFonts w:ascii="Arial" w:eastAsia="Times New Roman" w:hAnsi="Arial" w:cs="Arial"/>
                <w:color w:val="000000" w:themeColor="text1"/>
                <w:lang w:eastAsia="it-IT"/>
              </w:rPr>
            </w:pPr>
            <w:proofErr w:type="spellStart"/>
            <w:r w:rsidRPr="00A678DC">
              <w:rPr>
                <w:rFonts w:ascii="Arial" w:eastAsia="Times New Roman" w:hAnsi="Arial" w:cs="Arial"/>
                <w:color w:val="000000" w:themeColor="text1"/>
                <w:lang w:eastAsia="it-IT"/>
              </w:rPr>
              <w:t>Cytogenetics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652E4" w14:textId="77777777" w:rsidR="00A678DC" w:rsidRPr="00A678DC" w:rsidRDefault="00A678DC" w:rsidP="00A678DC">
            <w:pPr>
              <w:rPr>
                <w:rFonts w:ascii="Arial" w:eastAsia="Times New Roman" w:hAnsi="Arial" w:cs="Arial"/>
                <w:color w:val="000000" w:themeColor="text1"/>
                <w:lang w:eastAsia="it-IT"/>
              </w:rPr>
            </w:pPr>
            <w:proofErr w:type="spellStart"/>
            <w:r w:rsidRPr="00A678DC">
              <w:rPr>
                <w:rFonts w:ascii="Arial" w:eastAsia="Times New Roman" w:hAnsi="Arial" w:cs="Arial"/>
                <w:color w:val="000000" w:themeColor="text1"/>
                <w:lang w:eastAsia="it-IT"/>
              </w:rPr>
              <w:t>Molec</w:t>
            </w:r>
            <w:proofErr w:type="spellEnd"/>
            <w:r w:rsidRPr="00A678DC">
              <w:rPr>
                <w:rFonts w:ascii="Arial" w:eastAsia="Times New Roman" w:hAnsi="Arial" w:cs="Arial"/>
                <w:color w:val="000000" w:themeColor="text1"/>
                <w:lang w:eastAsia="it-IT"/>
              </w:rPr>
              <w:t>. Genet</w:t>
            </w:r>
          </w:p>
        </w:tc>
      </w:tr>
      <w:tr w:rsidR="00A678DC" w:rsidRPr="00D31F86" w14:paraId="65E129F3" w14:textId="77777777" w:rsidTr="00A678D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A00CA7" w14:textId="77777777" w:rsidR="00A678DC" w:rsidRPr="00A678DC" w:rsidRDefault="00A678DC" w:rsidP="00A678DC">
            <w:pPr>
              <w:jc w:val="center"/>
              <w:rPr>
                <w:rFonts w:ascii="Arial" w:eastAsia="Times New Roman" w:hAnsi="Arial" w:cs="Arial"/>
                <w:color w:val="000000" w:themeColor="text1"/>
                <w:lang w:eastAsia="it-IT"/>
              </w:rPr>
            </w:pPr>
            <w:r w:rsidRPr="00A678DC">
              <w:rPr>
                <w:rFonts w:ascii="Arial" w:eastAsia="Times New Roman" w:hAnsi="Arial" w:cs="Arial"/>
                <w:color w:val="000000" w:themeColor="text1"/>
                <w:lang w:eastAsia="it-IT"/>
              </w:rPr>
              <w:t>CCRF-CEM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122D4D" w14:textId="77777777" w:rsidR="00A678DC" w:rsidRPr="00A678DC" w:rsidRDefault="00A678DC" w:rsidP="00A678DC">
            <w:pPr>
              <w:rPr>
                <w:rFonts w:ascii="Arial" w:eastAsia="Times New Roman" w:hAnsi="Arial" w:cs="Arial"/>
                <w:color w:val="000000" w:themeColor="text1"/>
                <w:lang w:val="en-US" w:eastAsia="it-IT"/>
              </w:rPr>
            </w:pPr>
            <w:r w:rsidRPr="00A678DC">
              <w:rPr>
                <w:rFonts w:ascii="Arial" w:eastAsia="Times New Roman" w:hAnsi="Arial" w:cs="Arial"/>
                <w:color w:val="000000" w:themeColor="text1"/>
                <w:lang w:val="en-US" w:eastAsia="it-IT"/>
              </w:rPr>
              <w:t>established from the peripheral blood of a 3-year-old girl with acute lymphoblastic leukemia (ALL) at relapse (terminal) in 1964 (first continuous human T-ALL cell line).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609E9D" w14:textId="77777777" w:rsidR="00A678DC" w:rsidRPr="00A678DC" w:rsidRDefault="00A678DC" w:rsidP="00A678DC">
            <w:pPr>
              <w:rPr>
                <w:rFonts w:ascii="Arial" w:eastAsia="Times New Roman" w:hAnsi="Arial" w:cs="Arial"/>
                <w:color w:val="000000" w:themeColor="text1"/>
                <w:lang w:eastAsia="it-IT"/>
              </w:rPr>
            </w:pPr>
            <w:r w:rsidRPr="00A678DC">
              <w:rPr>
                <w:rFonts w:ascii="Arial" w:eastAsia="Times New Roman" w:hAnsi="Arial" w:cs="Arial"/>
                <w:color w:val="000000" w:themeColor="text1"/>
                <w:lang w:eastAsia="it-IT"/>
              </w:rPr>
              <w:t xml:space="preserve">CD2 -, CD3 +, CD4 +, CD5 +, CD6 +, CD7 +, CD8 -, CD13 -, CD14 -, CD15 +, CD19 -, CD33 -, CD34 -, HLA-DR -, </w:t>
            </w:r>
            <w:proofErr w:type="spellStart"/>
            <w:r w:rsidRPr="00A678DC">
              <w:rPr>
                <w:rFonts w:ascii="Arial" w:eastAsia="Times New Roman" w:hAnsi="Arial" w:cs="Arial"/>
                <w:color w:val="000000" w:themeColor="text1"/>
                <w:lang w:eastAsia="it-IT"/>
              </w:rPr>
              <w:t>TCRalpha</w:t>
            </w:r>
            <w:proofErr w:type="spellEnd"/>
            <w:r w:rsidRPr="00A678DC">
              <w:rPr>
                <w:rFonts w:ascii="Arial" w:eastAsia="Times New Roman" w:hAnsi="Arial" w:cs="Arial"/>
                <w:color w:val="000000" w:themeColor="text1"/>
                <w:lang w:eastAsia="it-IT"/>
              </w:rPr>
              <w:t xml:space="preserve">/beta +, </w:t>
            </w:r>
            <w:proofErr w:type="spellStart"/>
            <w:r w:rsidRPr="00A678DC">
              <w:rPr>
                <w:rFonts w:ascii="Arial" w:eastAsia="Times New Roman" w:hAnsi="Arial" w:cs="Arial"/>
                <w:color w:val="000000" w:themeColor="text1"/>
                <w:lang w:eastAsia="it-IT"/>
              </w:rPr>
              <w:t>TCRgamma</w:t>
            </w:r>
            <w:proofErr w:type="spellEnd"/>
            <w:r w:rsidRPr="00A678DC">
              <w:rPr>
                <w:rFonts w:ascii="Arial" w:eastAsia="Times New Roman" w:hAnsi="Arial" w:cs="Arial"/>
                <w:color w:val="000000" w:themeColor="text1"/>
                <w:lang w:eastAsia="it-IT"/>
              </w:rPr>
              <w:t>/delta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1DD5B" w14:textId="77777777" w:rsidR="00A678DC" w:rsidRPr="00A678DC" w:rsidRDefault="00A678DC" w:rsidP="00A678DC">
            <w:pPr>
              <w:rPr>
                <w:rFonts w:ascii="Arial" w:eastAsia="Times New Roman" w:hAnsi="Arial" w:cs="Arial"/>
                <w:color w:val="000000" w:themeColor="text1"/>
                <w:lang w:val="en-US" w:eastAsia="it-IT"/>
              </w:rPr>
            </w:pPr>
            <w:r w:rsidRPr="00A678DC">
              <w:rPr>
                <w:rFonts w:ascii="Arial" w:eastAsia="Times New Roman" w:hAnsi="Arial" w:cs="Arial"/>
                <w:color w:val="000000" w:themeColor="text1"/>
                <w:lang w:val="en-US" w:eastAsia="it-IT"/>
              </w:rPr>
              <w:t xml:space="preserve">human near-tetraploid karyotype with extensive </w:t>
            </w:r>
            <w:proofErr w:type="spellStart"/>
            <w:r w:rsidRPr="00A678DC">
              <w:rPr>
                <w:rFonts w:ascii="Arial" w:eastAsia="Times New Roman" w:hAnsi="Arial" w:cs="Arial"/>
                <w:color w:val="000000" w:themeColor="text1"/>
                <w:lang w:val="en-US" w:eastAsia="it-IT"/>
              </w:rPr>
              <w:t>subclonal</w:t>
            </w:r>
            <w:proofErr w:type="spellEnd"/>
            <w:r w:rsidRPr="00A678DC">
              <w:rPr>
                <w:rFonts w:ascii="Arial" w:eastAsia="Times New Roman" w:hAnsi="Arial" w:cs="Arial"/>
                <w:color w:val="000000" w:themeColor="text1"/>
                <w:lang w:val="en-US" w:eastAsia="it-IT"/>
              </w:rPr>
              <w:t xml:space="preserve"> variation - 90(88-</w:t>
            </w:r>
            <w:proofErr w:type="gramStart"/>
            <w:r w:rsidRPr="00A678DC">
              <w:rPr>
                <w:rFonts w:ascii="Arial" w:eastAsia="Times New Roman" w:hAnsi="Arial" w:cs="Arial"/>
                <w:color w:val="000000" w:themeColor="text1"/>
                <w:lang w:val="en-US" w:eastAsia="it-IT"/>
              </w:rPr>
              <w:t>101)&lt;</w:t>
            </w:r>
            <w:proofErr w:type="gramEnd"/>
            <w:r w:rsidRPr="00A678DC">
              <w:rPr>
                <w:rFonts w:ascii="Arial" w:eastAsia="Times New Roman" w:hAnsi="Arial" w:cs="Arial"/>
                <w:color w:val="000000" w:themeColor="text1"/>
                <w:lang w:val="en-US" w:eastAsia="it-IT"/>
              </w:rPr>
              <w:t>4n&gt;XX, -X, -X, +20, +20, t(8;9)(p11;p24)x2, der(9)del(9)(p21-22)del(9)(q11q13-21)x2 - sideline with +5, +21, add(13)(q3?3), del(16)(q12)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85AA40" w14:textId="77777777" w:rsidR="00A678DC" w:rsidRPr="00A678DC" w:rsidRDefault="00A678DC" w:rsidP="00A678DC">
            <w:pPr>
              <w:rPr>
                <w:rFonts w:ascii="Arial" w:eastAsia="Times New Roman" w:hAnsi="Arial" w:cs="Arial"/>
                <w:color w:val="000000" w:themeColor="text1"/>
                <w:lang w:val="en-US" w:eastAsia="it-IT"/>
              </w:rPr>
            </w:pPr>
            <w:r w:rsidRPr="00A678DC">
              <w:rPr>
                <w:rFonts w:ascii="Arial" w:eastAsia="Times New Roman" w:hAnsi="Arial" w:cs="Arial"/>
                <w:color w:val="000000" w:themeColor="text1"/>
                <w:lang w:val="en-US" w:eastAsia="it-IT"/>
              </w:rPr>
              <w:t>expression of NKX2-5 (</w:t>
            </w:r>
            <w:r w:rsidRPr="00A678DC">
              <w:rPr>
                <w:rFonts w:ascii="Arial" w:eastAsia="Times New Roman" w:hAnsi="Arial" w:cs="Arial"/>
                <w:color w:val="000000" w:themeColor="text1"/>
                <w:shd w:val="clear" w:color="auto" w:fill="FFFFFF"/>
                <w:lang w:val="en-US" w:eastAsia="it-IT"/>
              </w:rPr>
              <w:t>This gene encodes a homeobox-containing transcription factor)</w:t>
            </w:r>
          </w:p>
        </w:tc>
      </w:tr>
      <w:tr w:rsidR="00A678DC" w:rsidRPr="00A678DC" w14:paraId="22055EED" w14:textId="77777777" w:rsidTr="00A678D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1331D0" w14:textId="77777777" w:rsidR="00A678DC" w:rsidRPr="00A678DC" w:rsidRDefault="00A678DC" w:rsidP="00A678DC">
            <w:pPr>
              <w:jc w:val="center"/>
              <w:rPr>
                <w:rFonts w:ascii="Arial" w:eastAsia="Times New Roman" w:hAnsi="Arial" w:cs="Arial"/>
                <w:color w:val="000000" w:themeColor="text1"/>
                <w:lang w:eastAsia="it-IT"/>
              </w:rPr>
            </w:pPr>
            <w:r w:rsidRPr="00A678DC">
              <w:rPr>
                <w:rFonts w:ascii="Arial" w:eastAsia="Times New Roman" w:hAnsi="Arial" w:cs="Arial"/>
                <w:color w:val="000000" w:themeColor="text1"/>
                <w:lang w:eastAsia="it-IT"/>
              </w:rPr>
              <w:t>Molt-3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6AA692" w14:textId="77777777" w:rsidR="00A678DC" w:rsidRPr="00A678DC" w:rsidRDefault="00A678DC" w:rsidP="00A678DC">
            <w:pPr>
              <w:rPr>
                <w:rFonts w:ascii="Arial" w:eastAsia="Times New Roman" w:hAnsi="Arial" w:cs="Arial"/>
                <w:color w:val="000000" w:themeColor="text1"/>
                <w:lang w:val="en-US" w:eastAsia="it-IT"/>
              </w:rPr>
            </w:pPr>
            <w:r w:rsidRPr="00A678DC">
              <w:rPr>
                <w:rFonts w:ascii="Arial" w:eastAsia="Times New Roman" w:hAnsi="Arial" w:cs="Arial"/>
                <w:color w:val="000000" w:themeColor="text1"/>
                <w:lang w:val="en-US" w:eastAsia="it-IT"/>
              </w:rPr>
              <w:t>established from the peripheral blood of a 19-year-old man with acute lymphoblastic leukemia (ALL) in relapse in 1971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84F6BF" w14:textId="77777777" w:rsidR="00A678DC" w:rsidRPr="00A678DC" w:rsidRDefault="00A678DC" w:rsidP="00A678DC">
            <w:pPr>
              <w:rPr>
                <w:rFonts w:ascii="Arial" w:eastAsia="Times New Roman" w:hAnsi="Arial" w:cs="Arial"/>
                <w:color w:val="000000" w:themeColor="text1"/>
                <w:lang w:eastAsia="it-IT"/>
              </w:rPr>
            </w:pPr>
            <w:r w:rsidRPr="00A678DC">
              <w:rPr>
                <w:rFonts w:ascii="Arial" w:eastAsia="Times New Roman" w:hAnsi="Arial" w:cs="Arial"/>
                <w:color w:val="000000" w:themeColor="text1"/>
                <w:lang w:eastAsia="it-IT"/>
              </w:rPr>
              <w:t xml:space="preserve">CD2+, CD3-, CD4(+), CD5+, CD6+, CD7+, CD8+, CD13-, CD19-, CD34(+), </w:t>
            </w:r>
            <w:proofErr w:type="spellStart"/>
            <w:r w:rsidRPr="00A678DC">
              <w:rPr>
                <w:rFonts w:ascii="Arial" w:eastAsia="Times New Roman" w:hAnsi="Arial" w:cs="Arial"/>
                <w:color w:val="000000" w:themeColor="text1"/>
                <w:lang w:eastAsia="it-IT"/>
              </w:rPr>
              <w:t>TCRalpha</w:t>
            </w:r>
            <w:proofErr w:type="spellEnd"/>
            <w:r w:rsidRPr="00A678DC">
              <w:rPr>
                <w:rFonts w:ascii="Arial" w:eastAsia="Times New Roman" w:hAnsi="Arial" w:cs="Arial"/>
                <w:color w:val="000000" w:themeColor="text1"/>
                <w:lang w:eastAsia="it-IT"/>
              </w:rPr>
              <w:t xml:space="preserve">/beta-, </w:t>
            </w:r>
            <w:proofErr w:type="spellStart"/>
            <w:r w:rsidRPr="00A678DC">
              <w:rPr>
                <w:rFonts w:ascii="Arial" w:eastAsia="Times New Roman" w:hAnsi="Arial" w:cs="Arial"/>
                <w:color w:val="000000" w:themeColor="text1"/>
                <w:lang w:eastAsia="it-IT"/>
              </w:rPr>
              <w:t>TCRgamma</w:t>
            </w:r>
            <w:proofErr w:type="spellEnd"/>
            <w:r w:rsidRPr="00A678DC">
              <w:rPr>
                <w:rFonts w:ascii="Arial" w:eastAsia="Times New Roman" w:hAnsi="Arial" w:cs="Arial"/>
                <w:color w:val="000000" w:themeColor="text1"/>
                <w:lang w:eastAsia="it-IT"/>
              </w:rPr>
              <w:t>/delta-, cyCD3+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FAD0B5" w14:textId="77777777" w:rsidR="00A678DC" w:rsidRPr="00A678DC" w:rsidRDefault="00A678DC" w:rsidP="00A678DC">
            <w:pPr>
              <w:rPr>
                <w:rFonts w:ascii="Arial" w:eastAsia="Times New Roman" w:hAnsi="Arial" w:cs="Arial"/>
                <w:color w:val="000000" w:themeColor="text1"/>
                <w:lang w:val="en-US" w:eastAsia="it-IT"/>
              </w:rPr>
            </w:pPr>
            <w:r w:rsidRPr="00A678DC">
              <w:rPr>
                <w:rFonts w:ascii="Arial" w:eastAsia="Times New Roman" w:hAnsi="Arial" w:cs="Arial"/>
                <w:color w:val="000000" w:themeColor="text1"/>
                <w:lang w:val="en-US" w:eastAsia="it-IT"/>
              </w:rPr>
              <w:t xml:space="preserve">human </w:t>
            </w:r>
            <w:proofErr w:type="spellStart"/>
            <w:r w:rsidRPr="00A678DC">
              <w:rPr>
                <w:rFonts w:ascii="Arial" w:eastAsia="Times New Roman" w:hAnsi="Arial" w:cs="Arial"/>
                <w:color w:val="000000" w:themeColor="text1"/>
                <w:lang w:val="en-US" w:eastAsia="it-IT"/>
              </w:rPr>
              <w:t>hypertetraploid</w:t>
            </w:r>
            <w:proofErr w:type="spellEnd"/>
            <w:r w:rsidRPr="00A678DC">
              <w:rPr>
                <w:rFonts w:ascii="Arial" w:eastAsia="Times New Roman" w:hAnsi="Arial" w:cs="Arial"/>
                <w:color w:val="000000" w:themeColor="text1"/>
                <w:lang w:val="en-US" w:eastAsia="it-IT"/>
              </w:rPr>
              <w:t xml:space="preserve"> karyotype - 98(94-</w:t>
            </w:r>
            <w:proofErr w:type="gramStart"/>
            <w:r w:rsidRPr="00A678DC">
              <w:rPr>
                <w:rFonts w:ascii="Arial" w:eastAsia="Times New Roman" w:hAnsi="Arial" w:cs="Arial"/>
                <w:color w:val="000000" w:themeColor="text1"/>
                <w:lang w:val="en-US" w:eastAsia="it-IT"/>
              </w:rPr>
              <w:t>101)&lt;</w:t>
            </w:r>
            <w:proofErr w:type="gramEnd"/>
            <w:r w:rsidRPr="00A678DC">
              <w:rPr>
                <w:rFonts w:ascii="Arial" w:eastAsia="Times New Roman" w:hAnsi="Arial" w:cs="Arial"/>
                <w:color w:val="000000" w:themeColor="text1"/>
                <w:lang w:val="en-US" w:eastAsia="it-IT"/>
              </w:rPr>
              <w:t>4n&gt;XXYY, +6, +7, +8, +8, +17, +20, del(6)(q16)x2, der(7)t(7;7)(p15;q11)x2 - identity confirmed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588FF" w14:textId="77777777" w:rsidR="00A678DC" w:rsidRPr="00A678DC" w:rsidRDefault="00A678DC" w:rsidP="00A678DC">
            <w:pPr>
              <w:rPr>
                <w:rFonts w:ascii="Arial" w:eastAsia="Times New Roman" w:hAnsi="Arial" w:cs="Arial"/>
                <w:color w:val="000000" w:themeColor="text1"/>
                <w:lang w:eastAsia="it-IT"/>
              </w:rPr>
            </w:pPr>
            <w:r w:rsidRPr="00A678DC">
              <w:rPr>
                <w:rFonts w:ascii="Arial" w:eastAsia="Times New Roman" w:hAnsi="Arial" w:cs="Arial"/>
                <w:color w:val="000000" w:themeColor="text1"/>
                <w:lang w:eastAsia="it-IT"/>
              </w:rPr>
              <w:t>-</w:t>
            </w:r>
          </w:p>
        </w:tc>
      </w:tr>
      <w:tr w:rsidR="00A678DC" w:rsidRPr="00D31F86" w14:paraId="3B436162" w14:textId="77777777" w:rsidTr="00A678D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77E18" w14:textId="77777777" w:rsidR="00A678DC" w:rsidRPr="00A678DC" w:rsidRDefault="00A678DC" w:rsidP="00A678DC">
            <w:pPr>
              <w:jc w:val="center"/>
              <w:rPr>
                <w:rFonts w:ascii="Arial" w:eastAsia="Times New Roman" w:hAnsi="Arial" w:cs="Arial"/>
                <w:color w:val="000000" w:themeColor="text1"/>
                <w:lang w:eastAsia="it-IT"/>
              </w:rPr>
            </w:pPr>
            <w:proofErr w:type="spellStart"/>
            <w:r w:rsidRPr="00A678DC">
              <w:rPr>
                <w:rFonts w:ascii="Arial" w:eastAsia="Times New Roman" w:hAnsi="Arial" w:cs="Arial"/>
                <w:color w:val="000000" w:themeColor="text1"/>
                <w:lang w:eastAsia="it-IT"/>
              </w:rPr>
              <w:t>Jurkat</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4D29F2" w14:textId="77777777" w:rsidR="00A678DC" w:rsidRPr="00A678DC" w:rsidRDefault="00A678DC" w:rsidP="00A678DC">
            <w:pPr>
              <w:rPr>
                <w:rFonts w:ascii="Arial" w:eastAsia="Times New Roman" w:hAnsi="Arial" w:cs="Arial"/>
                <w:color w:val="000000" w:themeColor="text1"/>
                <w:lang w:val="en-US" w:eastAsia="it-IT"/>
              </w:rPr>
            </w:pPr>
            <w:r w:rsidRPr="00A678DC">
              <w:rPr>
                <w:rFonts w:ascii="Arial" w:eastAsia="Times New Roman" w:hAnsi="Arial" w:cs="Arial"/>
                <w:color w:val="000000" w:themeColor="text1"/>
                <w:lang w:val="en-US" w:eastAsia="it-IT"/>
              </w:rPr>
              <w:t>established from the peripheral blood of a 14-year-old boy with acute lymphoblastic leukemia (ALL) at first relapse in 1976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F10D6" w14:textId="77777777" w:rsidR="00A678DC" w:rsidRPr="00A678DC" w:rsidRDefault="00A678DC" w:rsidP="00A678DC">
            <w:pPr>
              <w:rPr>
                <w:rFonts w:ascii="Arial" w:eastAsia="Times New Roman" w:hAnsi="Arial" w:cs="Arial"/>
                <w:color w:val="000000" w:themeColor="text1"/>
                <w:lang w:eastAsia="it-IT"/>
              </w:rPr>
            </w:pPr>
            <w:r w:rsidRPr="00A678DC">
              <w:rPr>
                <w:rFonts w:ascii="Arial" w:eastAsia="Times New Roman" w:hAnsi="Arial" w:cs="Arial"/>
                <w:color w:val="000000" w:themeColor="text1"/>
                <w:lang w:eastAsia="it-IT"/>
              </w:rPr>
              <w:t xml:space="preserve">CD2+, CD3+, CD4-, CD5+, CD6+, CD7+, CD8-, CD13-, CD19-, CD34(+), cyCD3+, </w:t>
            </w:r>
            <w:proofErr w:type="spellStart"/>
            <w:r w:rsidRPr="00A678DC">
              <w:rPr>
                <w:rFonts w:ascii="Arial" w:eastAsia="Times New Roman" w:hAnsi="Arial" w:cs="Arial"/>
                <w:color w:val="000000" w:themeColor="text1"/>
                <w:lang w:eastAsia="it-IT"/>
              </w:rPr>
              <w:t>TCRalpha</w:t>
            </w:r>
            <w:proofErr w:type="spellEnd"/>
            <w:r w:rsidRPr="00A678DC">
              <w:rPr>
                <w:rFonts w:ascii="Arial" w:eastAsia="Times New Roman" w:hAnsi="Arial" w:cs="Arial"/>
                <w:color w:val="000000" w:themeColor="text1"/>
                <w:lang w:eastAsia="it-IT"/>
              </w:rPr>
              <w:t xml:space="preserve">/beta+, </w:t>
            </w:r>
            <w:proofErr w:type="spellStart"/>
            <w:r w:rsidRPr="00A678DC">
              <w:rPr>
                <w:rFonts w:ascii="Arial" w:eastAsia="Times New Roman" w:hAnsi="Arial" w:cs="Arial"/>
                <w:color w:val="000000" w:themeColor="text1"/>
                <w:lang w:eastAsia="it-IT"/>
              </w:rPr>
              <w:t>TCRgamma</w:t>
            </w:r>
            <w:proofErr w:type="spellEnd"/>
            <w:r w:rsidRPr="00A678DC">
              <w:rPr>
                <w:rFonts w:ascii="Arial" w:eastAsia="Times New Roman" w:hAnsi="Arial" w:cs="Arial"/>
                <w:color w:val="000000" w:themeColor="text1"/>
                <w:lang w:eastAsia="it-IT"/>
              </w:rPr>
              <w:t>/delta-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5DF8D" w14:textId="77777777" w:rsidR="00A678DC" w:rsidRPr="00A678DC" w:rsidRDefault="00A678DC" w:rsidP="00A678DC">
            <w:pPr>
              <w:rPr>
                <w:rFonts w:ascii="Arial" w:eastAsia="Times New Roman" w:hAnsi="Arial" w:cs="Arial"/>
                <w:color w:val="000000" w:themeColor="text1"/>
                <w:lang w:val="en-US" w:eastAsia="it-IT"/>
              </w:rPr>
            </w:pPr>
            <w:r w:rsidRPr="00A678DC">
              <w:rPr>
                <w:rFonts w:ascii="Arial" w:eastAsia="Times New Roman" w:hAnsi="Arial" w:cs="Arial"/>
                <w:color w:val="000000" w:themeColor="text1"/>
                <w:lang w:val="en-US" w:eastAsia="it-IT"/>
              </w:rPr>
              <w:t>human flat-</w:t>
            </w:r>
            <w:proofErr w:type="spellStart"/>
            <w:r w:rsidRPr="00A678DC">
              <w:rPr>
                <w:rFonts w:ascii="Arial" w:eastAsia="Times New Roman" w:hAnsi="Arial" w:cs="Arial"/>
                <w:color w:val="000000" w:themeColor="text1"/>
                <w:lang w:val="en-US" w:eastAsia="it-IT"/>
              </w:rPr>
              <w:t>moded</w:t>
            </w:r>
            <w:proofErr w:type="spellEnd"/>
            <w:r w:rsidRPr="00A678DC">
              <w:rPr>
                <w:rFonts w:ascii="Arial" w:eastAsia="Times New Roman" w:hAnsi="Arial" w:cs="Arial"/>
                <w:color w:val="000000" w:themeColor="text1"/>
                <w:lang w:val="en-US" w:eastAsia="it-IT"/>
              </w:rPr>
              <w:t xml:space="preserve"> </w:t>
            </w:r>
            <w:proofErr w:type="spellStart"/>
            <w:r w:rsidRPr="00A678DC">
              <w:rPr>
                <w:rFonts w:ascii="Arial" w:eastAsia="Times New Roman" w:hAnsi="Arial" w:cs="Arial"/>
                <w:color w:val="000000" w:themeColor="text1"/>
                <w:lang w:val="en-US" w:eastAsia="it-IT"/>
              </w:rPr>
              <w:t>hypotetraploid</w:t>
            </w:r>
            <w:proofErr w:type="spellEnd"/>
            <w:r w:rsidRPr="00A678DC">
              <w:rPr>
                <w:rFonts w:ascii="Arial" w:eastAsia="Times New Roman" w:hAnsi="Arial" w:cs="Arial"/>
                <w:color w:val="000000" w:themeColor="text1"/>
                <w:lang w:val="en-US" w:eastAsia="it-IT"/>
              </w:rPr>
              <w:t xml:space="preserve"> karyotype with 7.8% polyploidy - 87(78-</w:t>
            </w:r>
            <w:proofErr w:type="gramStart"/>
            <w:r w:rsidRPr="00A678DC">
              <w:rPr>
                <w:rFonts w:ascii="Arial" w:eastAsia="Times New Roman" w:hAnsi="Arial" w:cs="Arial"/>
                <w:color w:val="000000" w:themeColor="text1"/>
                <w:lang w:val="en-US" w:eastAsia="it-IT"/>
              </w:rPr>
              <w:t>91)&lt;</w:t>
            </w:r>
            <w:proofErr w:type="gramEnd"/>
            <w:r w:rsidRPr="00A678DC">
              <w:rPr>
                <w:rFonts w:ascii="Arial" w:eastAsia="Times New Roman" w:hAnsi="Arial" w:cs="Arial"/>
                <w:color w:val="000000" w:themeColor="text1"/>
                <w:lang w:val="en-US" w:eastAsia="it-IT"/>
              </w:rPr>
              <w:t>4n&gt;XX, -Y, -Y, -5, -16, -17, -22, add(2)(p21)/del(2)(p23)x2 - sideline with additional der(5)t(5;10)(q11;p15), del(9)(p11)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9DD6B9" w14:textId="77777777" w:rsidR="00A678DC" w:rsidRPr="00A678DC" w:rsidRDefault="00A678DC" w:rsidP="00A678DC">
            <w:pPr>
              <w:rPr>
                <w:rFonts w:ascii="Arial" w:eastAsia="Times New Roman" w:hAnsi="Arial" w:cs="Arial"/>
                <w:color w:val="000000" w:themeColor="text1"/>
                <w:lang w:val="en-US" w:eastAsia="it-IT"/>
              </w:rPr>
            </w:pPr>
          </w:p>
        </w:tc>
      </w:tr>
    </w:tbl>
    <w:p w14:paraId="22FBC5D8" w14:textId="77777777" w:rsidR="00A678DC" w:rsidRPr="003D580C" w:rsidRDefault="00A678DC">
      <w:pPr>
        <w:rPr>
          <w:rFonts w:ascii="Arial" w:hAnsi="Arial" w:cs="Arial"/>
          <w:lang w:val="en-US"/>
        </w:rPr>
      </w:pPr>
    </w:p>
    <w:p w14:paraId="453A2963" w14:textId="7479221B" w:rsidR="000B4824" w:rsidRDefault="00D12F03">
      <w:pPr>
        <w:rPr>
          <w:rFonts w:ascii="Arial" w:hAnsi="Arial" w:cs="Arial"/>
          <w:lang w:val="en-US"/>
        </w:rPr>
        <w:sectPr w:rsidR="000B4824" w:rsidSect="00A61DD6">
          <w:pgSz w:w="11900" w:h="16840"/>
          <w:pgMar w:top="1418" w:right="1134" w:bottom="1134" w:left="1134" w:header="709" w:footer="709" w:gutter="0"/>
          <w:lnNumType w:countBy="1" w:restart="continuous"/>
          <w:cols w:space="708"/>
          <w:docGrid w:linePitch="360"/>
        </w:sectPr>
      </w:pPr>
      <w:r w:rsidRPr="003D580C">
        <w:rPr>
          <w:rFonts w:ascii="Arial" w:hAnsi="Arial" w:cs="Arial"/>
          <w:lang w:val="en-US"/>
        </w:rPr>
        <w:t>Table SM</w:t>
      </w:r>
      <w:r w:rsidR="00894148">
        <w:rPr>
          <w:rFonts w:ascii="Arial" w:hAnsi="Arial" w:cs="Arial"/>
          <w:lang w:val="en-US"/>
        </w:rPr>
        <w:t>2</w:t>
      </w:r>
      <w:r w:rsidRPr="003D580C">
        <w:rPr>
          <w:rFonts w:ascii="Arial" w:hAnsi="Arial" w:cs="Arial"/>
          <w:lang w:val="en-US"/>
        </w:rPr>
        <w:t>: Origin, immunophenotype, cytogenetics, and key mutations of the T-ALL cell models used in this study</w:t>
      </w:r>
    </w:p>
    <w:p w14:paraId="0020797A" w14:textId="77777777" w:rsidR="008D1BFE" w:rsidRPr="003D580C" w:rsidRDefault="008D1BFE">
      <w:pPr>
        <w:rPr>
          <w:rFonts w:ascii="Arial" w:hAnsi="Arial" w:cs="Arial"/>
          <w:lang w:val="en-US"/>
        </w:rPr>
      </w:pPr>
    </w:p>
    <w:tbl>
      <w:tblPr>
        <w:tblW w:w="0" w:type="auto"/>
        <w:tblCellMar>
          <w:left w:w="0" w:type="dxa"/>
          <w:right w:w="0" w:type="dxa"/>
        </w:tblCellMar>
        <w:tblLook w:val="04A0" w:firstRow="1" w:lastRow="0" w:firstColumn="1" w:lastColumn="0" w:noHBand="0" w:noVBand="1"/>
      </w:tblPr>
      <w:tblGrid>
        <w:gridCol w:w="1425"/>
        <w:gridCol w:w="1425"/>
        <w:gridCol w:w="4088"/>
        <w:gridCol w:w="2268"/>
      </w:tblGrid>
      <w:tr w:rsidR="008D1BFE" w:rsidRPr="008D1BFE" w14:paraId="2A5FED69" w14:textId="77777777" w:rsidTr="008D1BFE">
        <w:trPr>
          <w:trHeight w:val="195"/>
        </w:trPr>
        <w:tc>
          <w:tcPr>
            <w:tcW w:w="1425" w:type="dxa"/>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14:paraId="78E0E22F" w14:textId="77777777" w:rsidR="008D1BFE" w:rsidRPr="008D1BFE" w:rsidRDefault="008D1BFE" w:rsidP="008D1BFE">
            <w:pPr>
              <w:jc w:val="center"/>
              <w:rPr>
                <w:rFonts w:ascii="Arial" w:eastAsia="Times New Roman" w:hAnsi="Arial" w:cs="Arial"/>
                <w:lang w:eastAsia="it-IT"/>
              </w:rPr>
            </w:pPr>
            <w:proofErr w:type="spellStart"/>
            <w:r w:rsidRPr="008D1BFE">
              <w:rPr>
                <w:rFonts w:ascii="Arial" w:eastAsia="Times New Roman" w:hAnsi="Arial" w:cs="Arial"/>
                <w:b/>
                <w:bCs/>
                <w:color w:val="000000"/>
                <w:lang w:eastAsia="it-IT"/>
              </w:rPr>
              <w:t>Antibody</w:t>
            </w:r>
            <w:proofErr w:type="spellEnd"/>
          </w:p>
        </w:tc>
        <w:tc>
          <w:tcPr>
            <w:tcW w:w="1425" w:type="dxa"/>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14:paraId="66520D00" w14:textId="77777777" w:rsidR="008D1BFE" w:rsidRPr="008D1BFE" w:rsidRDefault="008D1BFE" w:rsidP="008D1BFE">
            <w:pPr>
              <w:jc w:val="center"/>
              <w:rPr>
                <w:rFonts w:ascii="Arial" w:eastAsia="Times New Roman" w:hAnsi="Arial" w:cs="Arial"/>
                <w:lang w:eastAsia="it-IT"/>
              </w:rPr>
            </w:pPr>
            <w:proofErr w:type="spellStart"/>
            <w:r w:rsidRPr="008D1BFE">
              <w:rPr>
                <w:rFonts w:ascii="Arial" w:eastAsia="Times New Roman" w:hAnsi="Arial" w:cs="Arial"/>
                <w:b/>
                <w:bCs/>
                <w:color w:val="000000"/>
                <w:lang w:eastAsia="it-IT"/>
              </w:rPr>
              <w:t>Dilution</w:t>
            </w:r>
            <w:proofErr w:type="spellEnd"/>
          </w:p>
        </w:tc>
        <w:tc>
          <w:tcPr>
            <w:tcW w:w="4088" w:type="dxa"/>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14:paraId="74C99EAD" w14:textId="77777777" w:rsidR="008D1BFE" w:rsidRPr="008D1BFE" w:rsidRDefault="008D1BFE" w:rsidP="008D1BFE">
            <w:pPr>
              <w:jc w:val="center"/>
              <w:rPr>
                <w:rFonts w:ascii="Arial" w:eastAsia="Times New Roman" w:hAnsi="Arial" w:cs="Arial"/>
                <w:lang w:eastAsia="it-IT"/>
              </w:rPr>
            </w:pPr>
            <w:r w:rsidRPr="008D1BFE">
              <w:rPr>
                <w:rFonts w:ascii="Arial" w:eastAsia="Times New Roman" w:hAnsi="Arial" w:cs="Arial"/>
                <w:b/>
                <w:bCs/>
                <w:color w:val="000000"/>
                <w:lang w:eastAsia="it-IT"/>
              </w:rPr>
              <w:t>Company</w:t>
            </w:r>
          </w:p>
        </w:tc>
        <w:tc>
          <w:tcPr>
            <w:tcW w:w="2268" w:type="dxa"/>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14:paraId="75D93F57" w14:textId="77777777" w:rsidR="008D1BFE" w:rsidRPr="008D1BFE" w:rsidRDefault="008D1BFE" w:rsidP="008D1BFE">
            <w:pPr>
              <w:jc w:val="center"/>
              <w:rPr>
                <w:rFonts w:ascii="Arial" w:eastAsia="Times New Roman" w:hAnsi="Arial" w:cs="Arial"/>
                <w:lang w:eastAsia="it-IT"/>
              </w:rPr>
            </w:pPr>
            <w:proofErr w:type="spellStart"/>
            <w:r w:rsidRPr="008D1BFE">
              <w:rPr>
                <w:rFonts w:ascii="Arial" w:eastAsia="Times New Roman" w:hAnsi="Arial" w:cs="Arial"/>
                <w:b/>
                <w:bCs/>
                <w:color w:val="000000"/>
                <w:lang w:eastAsia="it-IT"/>
              </w:rPr>
              <w:t>Catalog</w:t>
            </w:r>
            <w:proofErr w:type="spellEnd"/>
            <w:r w:rsidRPr="008D1BFE">
              <w:rPr>
                <w:rFonts w:ascii="Arial" w:eastAsia="Times New Roman" w:hAnsi="Arial" w:cs="Arial"/>
                <w:b/>
                <w:bCs/>
                <w:color w:val="000000"/>
                <w:lang w:eastAsia="it-IT"/>
              </w:rPr>
              <w:t xml:space="preserve"> </w:t>
            </w:r>
            <w:proofErr w:type="spellStart"/>
            <w:r w:rsidRPr="008D1BFE">
              <w:rPr>
                <w:rFonts w:ascii="Arial" w:eastAsia="Times New Roman" w:hAnsi="Arial" w:cs="Arial"/>
                <w:b/>
                <w:bCs/>
                <w:color w:val="000000"/>
                <w:lang w:eastAsia="it-IT"/>
              </w:rPr>
              <w:t>Number</w:t>
            </w:r>
            <w:proofErr w:type="spellEnd"/>
          </w:p>
        </w:tc>
      </w:tr>
      <w:tr w:rsidR="008D1BFE" w:rsidRPr="008D1BFE" w14:paraId="57972343" w14:textId="77777777" w:rsidTr="008D1BFE">
        <w:trPr>
          <w:trHeight w:val="405"/>
        </w:trPr>
        <w:tc>
          <w:tcPr>
            <w:tcW w:w="1425" w:type="dxa"/>
            <w:tcBorders>
              <w:top w:val="single" w:sz="4" w:space="0" w:color="auto"/>
              <w:left w:val="single" w:sz="6" w:space="0" w:color="000000"/>
              <w:bottom w:val="single" w:sz="4" w:space="0" w:color="auto"/>
            </w:tcBorders>
            <w:tcMar>
              <w:top w:w="15" w:type="dxa"/>
              <w:left w:w="15" w:type="dxa"/>
              <w:bottom w:w="15" w:type="dxa"/>
              <w:right w:w="15" w:type="dxa"/>
            </w:tcMar>
            <w:vAlign w:val="center"/>
            <w:hideMark/>
          </w:tcPr>
          <w:p w14:paraId="3D2391E9" w14:textId="77777777" w:rsidR="008D1BFE" w:rsidRPr="008D1BFE" w:rsidRDefault="008D1BFE" w:rsidP="008D1BFE">
            <w:pPr>
              <w:jc w:val="center"/>
              <w:rPr>
                <w:rFonts w:ascii="Arial" w:eastAsia="Times New Roman" w:hAnsi="Arial" w:cs="Arial"/>
                <w:lang w:eastAsia="it-IT"/>
              </w:rPr>
            </w:pPr>
            <w:r w:rsidRPr="008D1BFE">
              <w:rPr>
                <w:rFonts w:ascii="Arial" w:eastAsia="Times New Roman" w:hAnsi="Arial" w:cs="Arial"/>
                <w:color w:val="000000"/>
                <w:lang w:eastAsia="it-IT"/>
              </w:rPr>
              <w:t>ADRB3</w:t>
            </w:r>
          </w:p>
        </w:tc>
        <w:tc>
          <w:tcPr>
            <w:tcW w:w="1425" w:type="dxa"/>
            <w:tcBorders>
              <w:top w:val="single" w:sz="4" w:space="0" w:color="auto"/>
              <w:bottom w:val="single" w:sz="4" w:space="0" w:color="auto"/>
            </w:tcBorders>
            <w:tcMar>
              <w:top w:w="15" w:type="dxa"/>
              <w:left w:w="15" w:type="dxa"/>
              <w:bottom w:w="15" w:type="dxa"/>
              <w:right w:w="15" w:type="dxa"/>
            </w:tcMar>
            <w:vAlign w:val="center"/>
            <w:hideMark/>
          </w:tcPr>
          <w:p w14:paraId="18A17D66" w14:textId="77777777" w:rsidR="008D1BFE" w:rsidRPr="008D1BFE" w:rsidRDefault="008D1BFE" w:rsidP="008D1BFE">
            <w:pPr>
              <w:jc w:val="center"/>
              <w:rPr>
                <w:rFonts w:ascii="Arial" w:eastAsia="Times New Roman" w:hAnsi="Arial" w:cs="Arial"/>
                <w:lang w:eastAsia="it-IT"/>
              </w:rPr>
            </w:pPr>
            <w:r w:rsidRPr="008D1BFE">
              <w:rPr>
                <w:rFonts w:ascii="Arial" w:eastAsia="Times New Roman" w:hAnsi="Arial" w:cs="Arial"/>
                <w:color w:val="000000"/>
                <w:lang w:eastAsia="it-IT"/>
              </w:rPr>
              <w:t>1:1000</w:t>
            </w:r>
          </w:p>
        </w:tc>
        <w:tc>
          <w:tcPr>
            <w:tcW w:w="4088" w:type="dxa"/>
            <w:tcBorders>
              <w:top w:val="single" w:sz="4" w:space="0" w:color="auto"/>
              <w:bottom w:val="single" w:sz="4" w:space="0" w:color="auto"/>
            </w:tcBorders>
            <w:tcMar>
              <w:top w:w="15" w:type="dxa"/>
              <w:left w:w="15" w:type="dxa"/>
              <w:bottom w:w="15" w:type="dxa"/>
              <w:right w:w="15" w:type="dxa"/>
            </w:tcMar>
            <w:vAlign w:val="center"/>
            <w:hideMark/>
          </w:tcPr>
          <w:p w14:paraId="06547F29" w14:textId="77777777" w:rsidR="008D1BFE" w:rsidRPr="008D1BFE" w:rsidRDefault="008D1BFE" w:rsidP="008D1BFE">
            <w:pPr>
              <w:jc w:val="center"/>
              <w:rPr>
                <w:rFonts w:ascii="Arial" w:eastAsia="Times New Roman" w:hAnsi="Arial" w:cs="Arial"/>
                <w:lang w:eastAsia="it-IT"/>
              </w:rPr>
            </w:pPr>
            <w:proofErr w:type="spellStart"/>
            <w:r w:rsidRPr="008D1BFE">
              <w:rPr>
                <w:rFonts w:ascii="Arial" w:eastAsia="Times New Roman" w:hAnsi="Arial" w:cs="Arial"/>
                <w:color w:val="000000"/>
                <w:lang w:eastAsia="it-IT"/>
              </w:rPr>
              <w:t>Abcam</w:t>
            </w:r>
            <w:proofErr w:type="spellEnd"/>
            <w:r w:rsidRPr="008D1BFE">
              <w:rPr>
                <w:rFonts w:ascii="Arial" w:eastAsia="Times New Roman" w:hAnsi="Arial" w:cs="Arial"/>
                <w:color w:val="000000"/>
                <w:lang w:eastAsia="it-IT"/>
              </w:rPr>
              <w:t xml:space="preserve"> (Cambridge, MA, USA)</w:t>
            </w:r>
          </w:p>
        </w:tc>
        <w:tc>
          <w:tcPr>
            <w:tcW w:w="2268" w:type="dxa"/>
            <w:tcBorders>
              <w:top w:val="single" w:sz="4" w:space="0" w:color="auto"/>
              <w:bottom w:val="single" w:sz="4" w:space="0" w:color="auto"/>
              <w:right w:val="single" w:sz="6" w:space="0" w:color="000000"/>
            </w:tcBorders>
            <w:tcMar>
              <w:top w:w="15" w:type="dxa"/>
              <w:left w:w="15" w:type="dxa"/>
              <w:bottom w:w="15" w:type="dxa"/>
              <w:right w:w="15" w:type="dxa"/>
            </w:tcMar>
            <w:vAlign w:val="center"/>
            <w:hideMark/>
          </w:tcPr>
          <w:p w14:paraId="729EF7D9" w14:textId="77777777" w:rsidR="008D1BFE" w:rsidRPr="008D1BFE" w:rsidRDefault="008D1BFE" w:rsidP="008D1BFE">
            <w:pPr>
              <w:jc w:val="center"/>
              <w:rPr>
                <w:rFonts w:ascii="Arial" w:eastAsia="Times New Roman" w:hAnsi="Arial" w:cs="Arial"/>
                <w:lang w:eastAsia="it-IT"/>
              </w:rPr>
            </w:pPr>
            <w:r w:rsidRPr="008D1BFE">
              <w:rPr>
                <w:rFonts w:ascii="Arial" w:eastAsia="Times New Roman" w:hAnsi="Arial" w:cs="Arial"/>
                <w:color w:val="000000"/>
                <w:lang w:eastAsia="it-IT"/>
              </w:rPr>
              <w:t>ab9406</w:t>
            </w:r>
          </w:p>
        </w:tc>
      </w:tr>
      <w:tr w:rsidR="008D1BFE" w:rsidRPr="008D1BFE" w14:paraId="43C354A2" w14:textId="77777777" w:rsidTr="008D1BFE">
        <w:trPr>
          <w:trHeight w:val="405"/>
        </w:trPr>
        <w:tc>
          <w:tcPr>
            <w:tcW w:w="1425" w:type="dxa"/>
            <w:tcBorders>
              <w:top w:val="single" w:sz="4" w:space="0" w:color="auto"/>
              <w:left w:val="single" w:sz="6" w:space="0" w:color="000000"/>
              <w:bottom w:val="single" w:sz="4" w:space="0" w:color="auto"/>
            </w:tcBorders>
            <w:tcMar>
              <w:top w:w="15" w:type="dxa"/>
              <w:left w:w="15" w:type="dxa"/>
              <w:bottom w:w="15" w:type="dxa"/>
              <w:right w:w="15" w:type="dxa"/>
            </w:tcMar>
            <w:vAlign w:val="center"/>
            <w:hideMark/>
          </w:tcPr>
          <w:p w14:paraId="5C309CAD" w14:textId="77777777" w:rsidR="008D1BFE" w:rsidRPr="008D1BFE" w:rsidRDefault="008D1BFE" w:rsidP="008D1BFE">
            <w:pPr>
              <w:jc w:val="center"/>
              <w:rPr>
                <w:rFonts w:ascii="Arial" w:eastAsia="Times New Roman" w:hAnsi="Arial" w:cs="Arial"/>
                <w:lang w:eastAsia="it-IT"/>
              </w:rPr>
            </w:pPr>
            <w:r w:rsidRPr="008D1BFE">
              <w:rPr>
                <w:rFonts w:ascii="Arial" w:eastAsia="Times New Roman" w:hAnsi="Arial" w:cs="Arial"/>
                <w:color w:val="000000"/>
                <w:lang w:eastAsia="it-IT"/>
              </w:rPr>
              <w:t>FTH1 (D1D4)</w:t>
            </w:r>
          </w:p>
        </w:tc>
        <w:tc>
          <w:tcPr>
            <w:tcW w:w="1425" w:type="dxa"/>
            <w:tcBorders>
              <w:top w:val="single" w:sz="4" w:space="0" w:color="auto"/>
              <w:bottom w:val="single" w:sz="4" w:space="0" w:color="auto"/>
            </w:tcBorders>
            <w:tcMar>
              <w:top w:w="15" w:type="dxa"/>
              <w:left w:w="15" w:type="dxa"/>
              <w:bottom w:w="15" w:type="dxa"/>
              <w:right w:w="15" w:type="dxa"/>
            </w:tcMar>
            <w:vAlign w:val="center"/>
            <w:hideMark/>
          </w:tcPr>
          <w:p w14:paraId="4FF782CC" w14:textId="77777777" w:rsidR="008D1BFE" w:rsidRPr="008D1BFE" w:rsidRDefault="008D1BFE" w:rsidP="008D1BFE">
            <w:pPr>
              <w:jc w:val="center"/>
              <w:rPr>
                <w:rFonts w:ascii="Arial" w:eastAsia="Times New Roman" w:hAnsi="Arial" w:cs="Arial"/>
                <w:lang w:eastAsia="it-IT"/>
              </w:rPr>
            </w:pPr>
            <w:r w:rsidRPr="008D1BFE">
              <w:rPr>
                <w:rFonts w:ascii="Arial" w:eastAsia="Times New Roman" w:hAnsi="Arial" w:cs="Arial"/>
                <w:color w:val="000000"/>
                <w:lang w:eastAsia="it-IT"/>
              </w:rPr>
              <w:t>1:1000</w:t>
            </w:r>
          </w:p>
        </w:tc>
        <w:tc>
          <w:tcPr>
            <w:tcW w:w="4088" w:type="dxa"/>
            <w:tcBorders>
              <w:top w:val="single" w:sz="4" w:space="0" w:color="auto"/>
              <w:bottom w:val="single" w:sz="4" w:space="0" w:color="auto"/>
            </w:tcBorders>
            <w:tcMar>
              <w:top w:w="15" w:type="dxa"/>
              <w:left w:w="15" w:type="dxa"/>
              <w:bottom w:w="15" w:type="dxa"/>
              <w:right w:w="15" w:type="dxa"/>
            </w:tcMar>
            <w:vAlign w:val="center"/>
            <w:hideMark/>
          </w:tcPr>
          <w:p w14:paraId="65619FCD" w14:textId="77777777" w:rsidR="008D1BFE" w:rsidRPr="008D1BFE" w:rsidRDefault="008D1BFE" w:rsidP="008D1BFE">
            <w:pPr>
              <w:jc w:val="center"/>
              <w:rPr>
                <w:rFonts w:ascii="Arial" w:eastAsia="Times New Roman" w:hAnsi="Arial" w:cs="Arial"/>
                <w:lang w:val="en-US" w:eastAsia="it-IT"/>
              </w:rPr>
            </w:pPr>
            <w:r w:rsidRPr="008D1BFE">
              <w:rPr>
                <w:rFonts w:ascii="Arial" w:eastAsia="Times New Roman" w:hAnsi="Arial" w:cs="Arial"/>
                <w:color w:val="000000"/>
                <w:lang w:val="en-US" w:eastAsia="it-IT"/>
              </w:rPr>
              <w:t>Cell Signaling Technology (Danvers, MA, USA)</w:t>
            </w:r>
          </w:p>
        </w:tc>
        <w:tc>
          <w:tcPr>
            <w:tcW w:w="2268" w:type="dxa"/>
            <w:tcBorders>
              <w:top w:val="single" w:sz="4" w:space="0" w:color="auto"/>
              <w:bottom w:val="single" w:sz="4" w:space="0" w:color="auto"/>
              <w:right w:val="single" w:sz="6" w:space="0" w:color="000000"/>
            </w:tcBorders>
            <w:tcMar>
              <w:top w:w="15" w:type="dxa"/>
              <w:left w:w="15" w:type="dxa"/>
              <w:bottom w:w="15" w:type="dxa"/>
              <w:right w:w="15" w:type="dxa"/>
            </w:tcMar>
            <w:vAlign w:val="center"/>
            <w:hideMark/>
          </w:tcPr>
          <w:p w14:paraId="6D3C778D" w14:textId="77777777" w:rsidR="008D1BFE" w:rsidRPr="008D1BFE" w:rsidRDefault="008D1BFE" w:rsidP="008D1BFE">
            <w:pPr>
              <w:jc w:val="center"/>
              <w:rPr>
                <w:rFonts w:ascii="Arial" w:eastAsia="Times New Roman" w:hAnsi="Arial" w:cs="Arial"/>
                <w:lang w:eastAsia="it-IT"/>
              </w:rPr>
            </w:pPr>
            <w:r w:rsidRPr="008D1BFE">
              <w:rPr>
                <w:rFonts w:ascii="Arial" w:eastAsia="Times New Roman" w:hAnsi="Arial" w:cs="Arial"/>
                <w:color w:val="000000"/>
                <w:lang w:eastAsia="it-IT"/>
              </w:rPr>
              <w:t>#4393</w:t>
            </w:r>
          </w:p>
        </w:tc>
      </w:tr>
      <w:tr w:rsidR="008D1BFE" w:rsidRPr="008D1BFE" w14:paraId="2D443B04" w14:textId="77777777" w:rsidTr="008D1BFE">
        <w:trPr>
          <w:trHeight w:val="405"/>
        </w:trPr>
        <w:tc>
          <w:tcPr>
            <w:tcW w:w="1425" w:type="dxa"/>
            <w:tcBorders>
              <w:top w:val="single" w:sz="4" w:space="0" w:color="auto"/>
              <w:left w:val="single" w:sz="6" w:space="0" w:color="000000"/>
              <w:bottom w:val="single" w:sz="4" w:space="0" w:color="auto"/>
            </w:tcBorders>
            <w:tcMar>
              <w:top w:w="15" w:type="dxa"/>
              <w:left w:w="15" w:type="dxa"/>
              <w:bottom w:w="15" w:type="dxa"/>
              <w:right w:w="15" w:type="dxa"/>
            </w:tcMar>
            <w:vAlign w:val="center"/>
            <w:hideMark/>
          </w:tcPr>
          <w:p w14:paraId="3792A0CC" w14:textId="77777777" w:rsidR="008D1BFE" w:rsidRPr="008D1BFE" w:rsidRDefault="008D1BFE" w:rsidP="008D1BFE">
            <w:pPr>
              <w:jc w:val="center"/>
              <w:rPr>
                <w:rFonts w:ascii="Arial" w:eastAsia="Times New Roman" w:hAnsi="Arial" w:cs="Arial"/>
                <w:lang w:eastAsia="it-IT"/>
              </w:rPr>
            </w:pPr>
            <w:r w:rsidRPr="008D1BFE">
              <w:rPr>
                <w:rFonts w:ascii="Arial" w:eastAsia="Times New Roman" w:hAnsi="Arial" w:cs="Arial"/>
                <w:color w:val="000000"/>
                <w:lang w:eastAsia="it-IT"/>
              </w:rPr>
              <w:t>CD71 (D7G9X)</w:t>
            </w:r>
          </w:p>
        </w:tc>
        <w:tc>
          <w:tcPr>
            <w:tcW w:w="1425" w:type="dxa"/>
            <w:tcBorders>
              <w:top w:val="single" w:sz="4" w:space="0" w:color="auto"/>
              <w:bottom w:val="single" w:sz="4" w:space="0" w:color="auto"/>
            </w:tcBorders>
            <w:tcMar>
              <w:top w:w="15" w:type="dxa"/>
              <w:left w:w="15" w:type="dxa"/>
              <w:bottom w:w="15" w:type="dxa"/>
              <w:right w:w="15" w:type="dxa"/>
            </w:tcMar>
            <w:vAlign w:val="center"/>
            <w:hideMark/>
          </w:tcPr>
          <w:p w14:paraId="0F2F72B3" w14:textId="77777777" w:rsidR="008D1BFE" w:rsidRPr="008D1BFE" w:rsidRDefault="008D1BFE" w:rsidP="008D1BFE">
            <w:pPr>
              <w:jc w:val="center"/>
              <w:rPr>
                <w:rFonts w:ascii="Arial" w:eastAsia="Times New Roman" w:hAnsi="Arial" w:cs="Arial"/>
                <w:lang w:eastAsia="it-IT"/>
              </w:rPr>
            </w:pPr>
            <w:r w:rsidRPr="008D1BFE">
              <w:rPr>
                <w:rFonts w:ascii="Arial" w:eastAsia="Times New Roman" w:hAnsi="Arial" w:cs="Arial"/>
                <w:color w:val="000000"/>
                <w:lang w:eastAsia="it-IT"/>
              </w:rPr>
              <w:t>1:1000</w:t>
            </w:r>
          </w:p>
        </w:tc>
        <w:tc>
          <w:tcPr>
            <w:tcW w:w="4088" w:type="dxa"/>
            <w:tcBorders>
              <w:top w:val="single" w:sz="4" w:space="0" w:color="auto"/>
              <w:bottom w:val="single" w:sz="4" w:space="0" w:color="auto"/>
            </w:tcBorders>
            <w:tcMar>
              <w:top w:w="15" w:type="dxa"/>
              <w:left w:w="15" w:type="dxa"/>
              <w:bottom w:w="15" w:type="dxa"/>
              <w:right w:w="15" w:type="dxa"/>
            </w:tcMar>
            <w:vAlign w:val="center"/>
            <w:hideMark/>
          </w:tcPr>
          <w:p w14:paraId="2A500689" w14:textId="77777777" w:rsidR="008D1BFE" w:rsidRPr="008D1BFE" w:rsidRDefault="008D1BFE" w:rsidP="008D1BFE">
            <w:pPr>
              <w:jc w:val="center"/>
              <w:rPr>
                <w:rFonts w:ascii="Arial" w:eastAsia="Times New Roman" w:hAnsi="Arial" w:cs="Arial"/>
                <w:lang w:val="en-US" w:eastAsia="it-IT"/>
              </w:rPr>
            </w:pPr>
            <w:r w:rsidRPr="008D1BFE">
              <w:rPr>
                <w:rFonts w:ascii="Arial" w:eastAsia="Times New Roman" w:hAnsi="Arial" w:cs="Arial"/>
                <w:color w:val="000000"/>
                <w:lang w:val="en-US" w:eastAsia="it-IT"/>
              </w:rPr>
              <w:t>Cell Signaling Technology (Danvers, MA, USA)</w:t>
            </w:r>
          </w:p>
        </w:tc>
        <w:tc>
          <w:tcPr>
            <w:tcW w:w="2268" w:type="dxa"/>
            <w:tcBorders>
              <w:top w:val="single" w:sz="4" w:space="0" w:color="auto"/>
              <w:bottom w:val="single" w:sz="4" w:space="0" w:color="auto"/>
              <w:right w:val="single" w:sz="6" w:space="0" w:color="000000"/>
            </w:tcBorders>
            <w:tcMar>
              <w:top w:w="15" w:type="dxa"/>
              <w:left w:w="15" w:type="dxa"/>
              <w:bottom w:w="15" w:type="dxa"/>
              <w:right w:w="15" w:type="dxa"/>
            </w:tcMar>
            <w:vAlign w:val="center"/>
            <w:hideMark/>
          </w:tcPr>
          <w:p w14:paraId="5B177083" w14:textId="77777777" w:rsidR="008D1BFE" w:rsidRPr="008D1BFE" w:rsidRDefault="008D1BFE" w:rsidP="008D1BFE">
            <w:pPr>
              <w:jc w:val="center"/>
              <w:rPr>
                <w:rFonts w:ascii="Arial" w:eastAsia="Times New Roman" w:hAnsi="Arial" w:cs="Arial"/>
                <w:lang w:eastAsia="it-IT"/>
              </w:rPr>
            </w:pPr>
            <w:r w:rsidRPr="008D1BFE">
              <w:rPr>
                <w:rFonts w:ascii="Arial" w:eastAsia="Times New Roman" w:hAnsi="Arial" w:cs="Arial"/>
                <w:color w:val="000000"/>
                <w:lang w:eastAsia="it-IT"/>
              </w:rPr>
              <w:t>#13113</w:t>
            </w:r>
          </w:p>
        </w:tc>
      </w:tr>
      <w:tr w:rsidR="008D1BFE" w:rsidRPr="008D1BFE" w14:paraId="1B374E62" w14:textId="77777777" w:rsidTr="008D1BFE">
        <w:trPr>
          <w:trHeight w:val="405"/>
        </w:trPr>
        <w:tc>
          <w:tcPr>
            <w:tcW w:w="1425" w:type="dxa"/>
            <w:tcBorders>
              <w:top w:val="single" w:sz="4" w:space="0" w:color="auto"/>
              <w:left w:val="single" w:sz="6" w:space="0" w:color="000000"/>
              <w:bottom w:val="single" w:sz="4" w:space="0" w:color="auto"/>
            </w:tcBorders>
            <w:tcMar>
              <w:top w:w="15" w:type="dxa"/>
              <w:left w:w="15" w:type="dxa"/>
              <w:bottom w:w="15" w:type="dxa"/>
              <w:right w:w="15" w:type="dxa"/>
            </w:tcMar>
            <w:vAlign w:val="center"/>
            <w:hideMark/>
          </w:tcPr>
          <w:p w14:paraId="2D98D1BC" w14:textId="77777777" w:rsidR="008D1BFE" w:rsidRPr="008D1BFE" w:rsidRDefault="008D1BFE" w:rsidP="008D1BFE">
            <w:pPr>
              <w:jc w:val="center"/>
              <w:rPr>
                <w:rFonts w:ascii="Arial" w:eastAsia="Times New Roman" w:hAnsi="Arial" w:cs="Arial"/>
                <w:lang w:eastAsia="it-IT"/>
              </w:rPr>
            </w:pPr>
            <w:r w:rsidRPr="008D1BFE">
              <w:rPr>
                <w:rFonts w:ascii="Arial" w:eastAsia="Times New Roman" w:hAnsi="Arial" w:cs="Arial"/>
                <w:color w:val="000000"/>
                <w:lang w:eastAsia="it-IT"/>
              </w:rPr>
              <w:t>LDHA</w:t>
            </w:r>
          </w:p>
        </w:tc>
        <w:tc>
          <w:tcPr>
            <w:tcW w:w="1425" w:type="dxa"/>
            <w:tcBorders>
              <w:top w:val="single" w:sz="4" w:space="0" w:color="auto"/>
              <w:bottom w:val="single" w:sz="4" w:space="0" w:color="auto"/>
            </w:tcBorders>
            <w:tcMar>
              <w:top w:w="15" w:type="dxa"/>
              <w:left w:w="15" w:type="dxa"/>
              <w:bottom w:w="15" w:type="dxa"/>
              <w:right w:w="15" w:type="dxa"/>
            </w:tcMar>
            <w:vAlign w:val="center"/>
            <w:hideMark/>
          </w:tcPr>
          <w:p w14:paraId="5AB2E57F" w14:textId="77777777" w:rsidR="008D1BFE" w:rsidRPr="008D1BFE" w:rsidRDefault="008D1BFE" w:rsidP="008D1BFE">
            <w:pPr>
              <w:jc w:val="center"/>
              <w:rPr>
                <w:rFonts w:ascii="Arial" w:eastAsia="Times New Roman" w:hAnsi="Arial" w:cs="Arial"/>
                <w:lang w:eastAsia="it-IT"/>
              </w:rPr>
            </w:pPr>
            <w:r w:rsidRPr="008D1BFE">
              <w:rPr>
                <w:rFonts w:ascii="Arial" w:eastAsia="Times New Roman" w:hAnsi="Arial" w:cs="Arial"/>
                <w:color w:val="000000"/>
                <w:lang w:eastAsia="it-IT"/>
              </w:rPr>
              <w:t>1:1000</w:t>
            </w:r>
          </w:p>
        </w:tc>
        <w:tc>
          <w:tcPr>
            <w:tcW w:w="4088" w:type="dxa"/>
            <w:tcBorders>
              <w:top w:val="single" w:sz="4" w:space="0" w:color="auto"/>
              <w:bottom w:val="single" w:sz="4" w:space="0" w:color="auto"/>
            </w:tcBorders>
            <w:tcMar>
              <w:top w:w="15" w:type="dxa"/>
              <w:left w:w="15" w:type="dxa"/>
              <w:bottom w:w="15" w:type="dxa"/>
              <w:right w:w="15" w:type="dxa"/>
            </w:tcMar>
            <w:vAlign w:val="center"/>
            <w:hideMark/>
          </w:tcPr>
          <w:p w14:paraId="1C1B2EED" w14:textId="77777777" w:rsidR="008D1BFE" w:rsidRPr="008D1BFE" w:rsidRDefault="008D1BFE" w:rsidP="008D1BFE">
            <w:pPr>
              <w:jc w:val="center"/>
              <w:rPr>
                <w:rFonts w:ascii="Arial" w:eastAsia="Times New Roman" w:hAnsi="Arial" w:cs="Arial"/>
                <w:lang w:val="en-US" w:eastAsia="it-IT"/>
              </w:rPr>
            </w:pPr>
            <w:r w:rsidRPr="008D1BFE">
              <w:rPr>
                <w:rFonts w:ascii="Arial" w:eastAsia="Times New Roman" w:hAnsi="Arial" w:cs="Arial"/>
                <w:color w:val="000000"/>
                <w:lang w:val="en-US" w:eastAsia="it-IT"/>
              </w:rPr>
              <w:t>Cell Signaling Technology (Danvers, MA, USA)</w:t>
            </w:r>
          </w:p>
        </w:tc>
        <w:tc>
          <w:tcPr>
            <w:tcW w:w="2268" w:type="dxa"/>
            <w:tcBorders>
              <w:top w:val="single" w:sz="4" w:space="0" w:color="auto"/>
              <w:bottom w:val="single" w:sz="4" w:space="0" w:color="auto"/>
              <w:right w:val="single" w:sz="6" w:space="0" w:color="000000"/>
            </w:tcBorders>
            <w:tcMar>
              <w:top w:w="15" w:type="dxa"/>
              <w:left w:w="15" w:type="dxa"/>
              <w:bottom w:w="15" w:type="dxa"/>
              <w:right w:w="15" w:type="dxa"/>
            </w:tcMar>
            <w:vAlign w:val="center"/>
            <w:hideMark/>
          </w:tcPr>
          <w:p w14:paraId="59E40241" w14:textId="77777777" w:rsidR="008D1BFE" w:rsidRPr="008D1BFE" w:rsidRDefault="008D1BFE" w:rsidP="008D1BFE">
            <w:pPr>
              <w:jc w:val="center"/>
              <w:rPr>
                <w:rFonts w:ascii="Arial" w:eastAsia="Times New Roman" w:hAnsi="Arial" w:cs="Arial"/>
                <w:lang w:eastAsia="it-IT"/>
              </w:rPr>
            </w:pPr>
            <w:r w:rsidRPr="008D1BFE">
              <w:rPr>
                <w:rFonts w:ascii="Arial" w:eastAsia="Times New Roman" w:hAnsi="Arial" w:cs="Arial"/>
                <w:color w:val="000000"/>
                <w:lang w:eastAsia="it-IT"/>
              </w:rPr>
              <w:t>#3582</w:t>
            </w:r>
          </w:p>
        </w:tc>
      </w:tr>
      <w:tr w:rsidR="008D1BFE" w:rsidRPr="008D1BFE" w14:paraId="67DDB61A" w14:textId="77777777" w:rsidTr="008D1BFE">
        <w:trPr>
          <w:trHeight w:val="405"/>
        </w:trPr>
        <w:tc>
          <w:tcPr>
            <w:tcW w:w="1425" w:type="dxa"/>
            <w:tcBorders>
              <w:top w:val="single" w:sz="4" w:space="0" w:color="auto"/>
              <w:left w:val="single" w:sz="6" w:space="0" w:color="000000"/>
              <w:bottom w:val="single" w:sz="6" w:space="0" w:color="000000"/>
            </w:tcBorders>
            <w:tcMar>
              <w:top w:w="15" w:type="dxa"/>
              <w:left w:w="15" w:type="dxa"/>
              <w:bottom w:w="15" w:type="dxa"/>
              <w:right w:w="15" w:type="dxa"/>
            </w:tcMar>
            <w:vAlign w:val="center"/>
            <w:hideMark/>
          </w:tcPr>
          <w:p w14:paraId="33C6C61E" w14:textId="77777777" w:rsidR="008D1BFE" w:rsidRPr="008D1BFE" w:rsidRDefault="008D1BFE" w:rsidP="008D1BFE">
            <w:pPr>
              <w:jc w:val="center"/>
              <w:rPr>
                <w:rFonts w:ascii="Arial" w:eastAsia="Times New Roman" w:hAnsi="Arial" w:cs="Arial"/>
                <w:lang w:eastAsia="it-IT"/>
              </w:rPr>
            </w:pPr>
            <w:r w:rsidRPr="008D1BFE">
              <w:rPr>
                <w:rFonts w:ascii="Arial" w:eastAsia="Times New Roman" w:hAnsi="Arial" w:cs="Arial"/>
                <w:color w:val="000000"/>
                <w:lang w:eastAsia="it-IT"/>
              </w:rPr>
              <w:t>GPX4</w:t>
            </w:r>
          </w:p>
        </w:tc>
        <w:tc>
          <w:tcPr>
            <w:tcW w:w="1425" w:type="dxa"/>
            <w:tcBorders>
              <w:top w:val="single" w:sz="4" w:space="0" w:color="auto"/>
              <w:bottom w:val="single" w:sz="6" w:space="0" w:color="000000"/>
            </w:tcBorders>
            <w:tcMar>
              <w:top w:w="15" w:type="dxa"/>
              <w:left w:w="15" w:type="dxa"/>
              <w:bottom w:w="15" w:type="dxa"/>
              <w:right w:w="15" w:type="dxa"/>
            </w:tcMar>
            <w:vAlign w:val="center"/>
            <w:hideMark/>
          </w:tcPr>
          <w:p w14:paraId="6BAB2F6F" w14:textId="77777777" w:rsidR="008D1BFE" w:rsidRPr="008D1BFE" w:rsidRDefault="008D1BFE" w:rsidP="008D1BFE">
            <w:pPr>
              <w:jc w:val="center"/>
              <w:rPr>
                <w:rFonts w:ascii="Arial" w:eastAsia="Times New Roman" w:hAnsi="Arial" w:cs="Arial"/>
                <w:lang w:eastAsia="it-IT"/>
              </w:rPr>
            </w:pPr>
            <w:r w:rsidRPr="008D1BFE">
              <w:rPr>
                <w:rFonts w:ascii="Arial" w:eastAsia="Times New Roman" w:hAnsi="Arial" w:cs="Arial"/>
                <w:color w:val="000000"/>
                <w:lang w:eastAsia="it-IT"/>
              </w:rPr>
              <w:t>1:1000</w:t>
            </w:r>
          </w:p>
        </w:tc>
        <w:tc>
          <w:tcPr>
            <w:tcW w:w="4088" w:type="dxa"/>
            <w:tcBorders>
              <w:top w:val="single" w:sz="4" w:space="0" w:color="auto"/>
              <w:bottom w:val="single" w:sz="6" w:space="0" w:color="000000"/>
            </w:tcBorders>
            <w:tcMar>
              <w:top w:w="15" w:type="dxa"/>
              <w:left w:w="15" w:type="dxa"/>
              <w:bottom w:w="15" w:type="dxa"/>
              <w:right w:w="15" w:type="dxa"/>
            </w:tcMar>
            <w:vAlign w:val="center"/>
            <w:hideMark/>
          </w:tcPr>
          <w:p w14:paraId="21479A8E" w14:textId="77777777" w:rsidR="008D1BFE" w:rsidRPr="008D1BFE" w:rsidRDefault="008D1BFE" w:rsidP="008D1BFE">
            <w:pPr>
              <w:jc w:val="center"/>
              <w:rPr>
                <w:rFonts w:ascii="Arial" w:eastAsia="Times New Roman" w:hAnsi="Arial" w:cs="Arial"/>
                <w:lang w:val="en-US" w:eastAsia="it-IT"/>
              </w:rPr>
            </w:pPr>
            <w:r w:rsidRPr="008D1BFE">
              <w:rPr>
                <w:rFonts w:ascii="Arial" w:eastAsia="Times New Roman" w:hAnsi="Arial" w:cs="Arial"/>
                <w:color w:val="000000"/>
                <w:lang w:val="en-US" w:eastAsia="it-IT"/>
              </w:rPr>
              <w:t>Cell Signaling Technology (Danvers, MA, USA)</w:t>
            </w:r>
          </w:p>
        </w:tc>
        <w:tc>
          <w:tcPr>
            <w:tcW w:w="2268" w:type="dxa"/>
            <w:tcBorders>
              <w:top w:val="single" w:sz="4" w:space="0" w:color="auto"/>
              <w:bottom w:val="single" w:sz="6" w:space="0" w:color="000000"/>
              <w:right w:val="single" w:sz="6" w:space="0" w:color="000000"/>
            </w:tcBorders>
            <w:tcMar>
              <w:top w:w="15" w:type="dxa"/>
              <w:left w:w="15" w:type="dxa"/>
              <w:bottom w:w="15" w:type="dxa"/>
              <w:right w:w="15" w:type="dxa"/>
            </w:tcMar>
            <w:vAlign w:val="center"/>
            <w:hideMark/>
          </w:tcPr>
          <w:p w14:paraId="5300FC59" w14:textId="77777777" w:rsidR="008D1BFE" w:rsidRPr="008D1BFE" w:rsidRDefault="008D1BFE" w:rsidP="008D1BFE">
            <w:pPr>
              <w:jc w:val="center"/>
              <w:rPr>
                <w:rFonts w:ascii="Arial" w:eastAsia="Times New Roman" w:hAnsi="Arial" w:cs="Arial"/>
                <w:lang w:eastAsia="it-IT"/>
              </w:rPr>
            </w:pPr>
            <w:r w:rsidRPr="008D1BFE">
              <w:rPr>
                <w:rFonts w:ascii="Arial" w:eastAsia="Times New Roman" w:hAnsi="Arial" w:cs="Arial"/>
                <w:color w:val="000000"/>
                <w:lang w:eastAsia="it-IT"/>
              </w:rPr>
              <w:t>#52455</w:t>
            </w:r>
          </w:p>
        </w:tc>
      </w:tr>
    </w:tbl>
    <w:p w14:paraId="3F9FE022" w14:textId="77777777" w:rsidR="008D1BFE" w:rsidRPr="003D580C" w:rsidRDefault="008D1BFE">
      <w:pPr>
        <w:rPr>
          <w:rFonts w:ascii="Arial" w:hAnsi="Arial" w:cs="Arial"/>
          <w:lang w:val="en-US"/>
        </w:rPr>
      </w:pPr>
    </w:p>
    <w:p w14:paraId="73664646" w14:textId="63A4C545" w:rsidR="00141CF6" w:rsidRPr="003D580C" w:rsidRDefault="008D1BFE">
      <w:pPr>
        <w:rPr>
          <w:rFonts w:ascii="Arial" w:hAnsi="Arial" w:cs="Arial"/>
          <w:lang w:val="en-US"/>
        </w:rPr>
      </w:pPr>
      <w:r w:rsidRPr="003D580C">
        <w:rPr>
          <w:rFonts w:ascii="Arial" w:hAnsi="Arial" w:cs="Arial"/>
          <w:lang w:val="en-US"/>
        </w:rPr>
        <w:t>Table SM</w:t>
      </w:r>
      <w:r w:rsidR="000B4824">
        <w:rPr>
          <w:rFonts w:ascii="Arial" w:hAnsi="Arial" w:cs="Arial"/>
          <w:lang w:val="en-US"/>
        </w:rPr>
        <w:t>3</w:t>
      </w:r>
      <w:r w:rsidRPr="003D580C">
        <w:rPr>
          <w:rFonts w:ascii="Arial" w:hAnsi="Arial" w:cs="Arial"/>
          <w:lang w:val="en-US"/>
        </w:rPr>
        <w:t>: Primary antibodies used for Western blot analysis, including dilution, supplier, and catalog number.</w:t>
      </w:r>
    </w:p>
    <w:p w14:paraId="35A2E809" w14:textId="77777777" w:rsidR="008D1BFE" w:rsidRPr="003D580C" w:rsidRDefault="008D1BFE">
      <w:pPr>
        <w:rPr>
          <w:rFonts w:ascii="Arial" w:hAnsi="Arial" w:cs="Arial"/>
          <w:lang w:val="en-US"/>
        </w:rPr>
      </w:pPr>
    </w:p>
    <w:tbl>
      <w:tblPr>
        <w:tblW w:w="0" w:type="auto"/>
        <w:tblCellMar>
          <w:left w:w="0" w:type="dxa"/>
          <w:right w:w="0" w:type="dxa"/>
        </w:tblCellMar>
        <w:tblLook w:val="04A0" w:firstRow="1" w:lastRow="0" w:firstColumn="1" w:lastColumn="0" w:noHBand="0" w:noVBand="1"/>
      </w:tblPr>
      <w:tblGrid>
        <w:gridCol w:w="2004"/>
        <w:gridCol w:w="2910"/>
        <w:gridCol w:w="1657"/>
        <w:gridCol w:w="225"/>
        <w:gridCol w:w="2410"/>
      </w:tblGrid>
      <w:tr w:rsidR="005E0D94" w:rsidRPr="005E0D94" w14:paraId="67CB5DD7" w14:textId="77777777" w:rsidTr="00572B7E">
        <w:trPr>
          <w:trHeight w:val="195"/>
        </w:trPr>
        <w:tc>
          <w:tcPr>
            <w:tcW w:w="2004" w:type="dxa"/>
            <w:tcBorders>
              <w:top w:val="single" w:sz="6" w:space="0" w:color="000000"/>
              <w:left w:val="single" w:sz="6" w:space="0" w:color="000000"/>
              <w:bottom w:val="single" w:sz="6" w:space="0" w:color="000000"/>
              <w:right w:val="single" w:sz="2" w:space="0" w:color="000000"/>
            </w:tcBorders>
            <w:tcMar>
              <w:top w:w="15" w:type="dxa"/>
              <w:left w:w="15" w:type="dxa"/>
              <w:bottom w:w="15" w:type="dxa"/>
              <w:right w:w="15" w:type="dxa"/>
            </w:tcMar>
            <w:vAlign w:val="center"/>
            <w:hideMark/>
          </w:tcPr>
          <w:p w14:paraId="45AC7DCE"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b/>
                <w:bCs/>
                <w:color w:val="000000"/>
                <w:lang w:eastAsia="it-IT"/>
              </w:rPr>
              <w:t>Test</w:t>
            </w:r>
          </w:p>
        </w:tc>
        <w:tc>
          <w:tcPr>
            <w:tcW w:w="2910" w:type="dxa"/>
            <w:tcBorders>
              <w:top w:val="single" w:sz="6" w:space="0" w:color="000000"/>
              <w:left w:val="single" w:sz="2" w:space="0" w:color="000000"/>
              <w:bottom w:val="single" w:sz="4" w:space="0" w:color="auto"/>
              <w:right w:val="single" w:sz="2" w:space="0" w:color="000000"/>
            </w:tcBorders>
            <w:tcMar>
              <w:top w:w="15" w:type="dxa"/>
              <w:left w:w="15" w:type="dxa"/>
              <w:bottom w:w="15" w:type="dxa"/>
              <w:right w:w="15" w:type="dxa"/>
            </w:tcMar>
            <w:vAlign w:val="center"/>
            <w:hideMark/>
          </w:tcPr>
          <w:p w14:paraId="05632E31"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b/>
                <w:bCs/>
                <w:color w:val="000000"/>
                <w:lang w:eastAsia="it-IT"/>
              </w:rPr>
              <w:t xml:space="preserve">Injection / </w:t>
            </w:r>
            <w:proofErr w:type="spellStart"/>
            <w:r w:rsidRPr="005E0D94">
              <w:rPr>
                <w:rFonts w:ascii="Arial" w:eastAsia="Times New Roman" w:hAnsi="Arial" w:cs="Arial"/>
                <w:b/>
                <w:bCs/>
                <w:color w:val="000000"/>
                <w:lang w:eastAsia="it-IT"/>
              </w:rPr>
              <w:t>Pretreatment</w:t>
            </w:r>
            <w:proofErr w:type="spellEnd"/>
          </w:p>
        </w:tc>
        <w:tc>
          <w:tcPr>
            <w:tcW w:w="1882" w:type="dxa"/>
            <w:gridSpan w:val="2"/>
            <w:tcBorders>
              <w:top w:val="single" w:sz="6" w:space="0" w:color="000000"/>
              <w:left w:val="single" w:sz="2" w:space="0" w:color="000000"/>
              <w:bottom w:val="single" w:sz="4" w:space="0" w:color="auto"/>
              <w:right w:val="single" w:sz="2" w:space="0" w:color="000000"/>
            </w:tcBorders>
            <w:tcMar>
              <w:top w:w="15" w:type="dxa"/>
              <w:left w:w="15" w:type="dxa"/>
              <w:bottom w:w="15" w:type="dxa"/>
              <w:right w:w="15" w:type="dxa"/>
            </w:tcMar>
            <w:vAlign w:val="center"/>
            <w:hideMark/>
          </w:tcPr>
          <w:p w14:paraId="48EFC5EC" w14:textId="77777777" w:rsidR="005E0D94" w:rsidRPr="005E0D94" w:rsidRDefault="005E0D94" w:rsidP="005E0D94">
            <w:pPr>
              <w:jc w:val="center"/>
              <w:rPr>
                <w:rFonts w:ascii="Arial" w:eastAsia="Times New Roman" w:hAnsi="Arial" w:cs="Arial"/>
                <w:lang w:eastAsia="it-IT"/>
              </w:rPr>
            </w:pPr>
            <w:proofErr w:type="spellStart"/>
            <w:r w:rsidRPr="005E0D94">
              <w:rPr>
                <w:rFonts w:ascii="Arial" w:eastAsia="Times New Roman" w:hAnsi="Arial" w:cs="Arial"/>
                <w:b/>
                <w:bCs/>
                <w:color w:val="000000"/>
                <w:lang w:eastAsia="it-IT"/>
              </w:rPr>
              <w:t>Concentration</w:t>
            </w:r>
            <w:proofErr w:type="spellEnd"/>
          </w:p>
        </w:tc>
        <w:tc>
          <w:tcPr>
            <w:tcW w:w="2410" w:type="dxa"/>
            <w:tcBorders>
              <w:top w:val="single" w:sz="6" w:space="0" w:color="000000"/>
              <w:left w:val="single" w:sz="2" w:space="0" w:color="000000"/>
              <w:bottom w:val="single" w:sz="4" w:space="0" w:color="auto"/>
              <w:right w:val="single" w:sz="6" w:space="0" w:color="000000"/>
            </w:tcBorders>
            <w:tcMar>
              <w:top w:w="15" w:type="dxa"/>
              <w:left w:w="15" w:type="dxa"/>
              <w:bottom w:w="15" w:type="dxa"/>
              <w:right w:w="15" w:type="dxa"/>
            </w:tcMar>
            <w:vAlign w:val="center"/>
            <w:hideMark/>
          </w:tcPr>
          <w:p w14:paraId="3188CA73"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b/>
                <w:bCs/>
                <w:color w:val="000000"/>
                <w:lang w:eastAsia="it-IT"/>
              </w:rPr>
              <w:t>Source / Company</w:t>
            </w:r>
          </w:p>
        </w:tc>
      </w:tr>
      <w:tr w:rsidR="005E0D94" w:rsidRPr="005E0D94" w14:paraId="70D23C5A" w14:textId="77777777" w:rsidTr="00572B7E">
        <w:trPr>
          <w:trHeight w:val="210"/>
        </w:trPr>
        <w:tc>
          <w:tcPr>
            <w:tcW w:w="2004" w:type="dxa"/>
            <w:vMerge w:val="restart"/>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hideMark/>
          </w:tcPr>
          <w:p w14:paraId="7FDBE68E"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b/>
                <w:bCs/>
                <w:color w:val="000000"/>
                <w:lang w:eastAsia="it-IT"/>
              </w:rPr>
              <w:t>Mito Stress Test</w:t>
            </w:r>
          </w:p>
        </w:tc>
        <w:tc>
          <w:tcPr>
            <w:tcW w:w="2910" w:type="dxa"/>
            <w:tcBorders>
              <w:top w:val="single" w:sz="4" w:space="0" w:color="auto"/>
              <w:left w:val="single" w:sz="4" w:space="0" w:color="auto"/>
            </w:tcBorders>
            <w:tcMar>
              <w:top w:w="15" w:type="dxa"/>
              <w:left w:w="15" w:type="dxa"/>
              <w:bottom w:w="15" w:type="dxa"/>
              <w:right w:w="15" w:type="dxa"/>
            </w:tcMar>
            <w:vAlign w:val="center"/>
            <w:hideMark/>
          </w:tcPr>
          <w:p w14:paraId="3228D38B" w14:textId="77777777" w:rsidR="005E0D94" w:rsidRPr="005E0D94" w:rsidRDefault="005E0D94" w:rsidP="005E0D94">
            <w:pPr>
              <w:jc w:val="center"/>
              <w:rPr>
                <w:rFonts w:ascii="Arial" w:eastAsia="Times New Roman" w:hAnsi="Arial" w:cs="Arial"/>
                <w:lang w:eastAsia="it-IT"/>
              </w:rPr>
            </w:pPr>
            <w:proofErr w:type="spellStart"/>
            <w:r w:rsidRPr="005E0D94">
              <w:rPr>
                <w:rFonts w:ascii="Arial" w:eastAsia="Times New Roman" w:hAnsi="Arial" w:cs="Arial"/>
                <w:color w:val="000000"/>
                <w:lang w:eastAsia="it-IT"/>
              </w:rPr>
              <w:t>Oligomycin</w:t>
            </w:r>
            <w:proofErr w:type="spellEnd"/>
          </w:p>
        </w:tc>
        <w:tc>
          <w:tcPr>
            <w:tcW w:w="1657" w:type="dxa"/>
            <w:tcBorders>
              <w:top w:val="single" w:sz="4" w:space="0" w:color="auto"/>
            </w:tcBorders>
            <w:tcMar>
              <w:top w:w="15" w:type="dxa"/>
              <w:left w:w="15" w:type="dxa"/>
              <w:bottom w:w="15" w:type="dxa"/>
              <w:right w:w="15" w:type="dxa"/>
            </w:tcMar>
            <w:vAlign w:val="center"/>
            <w:hideMark/>
          </w:tcPr>
          <w:p w14:paraId="63483C02"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1.5 µM</w:t>
            </w:r>
          </w:p>
        </w:tc>
        <w:tc>
          <w:tcPr>
            <w:tcW w:w="2635" w:type="dxa"/>
            <w:gridSpan w:val="2"/>
            <w:tcBorders>
              <w:top w:val="single" w:sz="4" w:space="0" w:color="auto"/>
              <w:right w:val="single" w:sz="4" w:space="0" w:color="auto"/>
            </w:tcBorders>
            <w:tcMar>
              <w:top w:w="15" w:type="dxa"/>
              <w:left w:w="15" w:type="dxa"/>
              <w:bottom w:w="15" w:type="dxa"/>
              <w:right w:w="15" w:type="dxa"/>
            </w:tcMar>
            <w:vAlign w:val="center"/>
            <w:hideMark/>
          </w:tcPr>
          <w:p w14:paraId="653301A0"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Sigma-Merck</w:t>
            </w:r>
          </w:p>
        </w:tc>
      </w:tr>
      <w:tr w:rsidR="005E0D94" w:rsidRPr="005E0D94" w14:paraId="27826774" w14:textId="77777777" w:rsidTr="00572B7E">
        <w:trPr>
          <w:trHeight w:val="210"/>
        </w:trPr>
        <w:tc>
          <w:tcPr>
            <w:tcW w:w="0" w:type="auto"/>
            <w:vMerge/>
            <w:tcBorders>
              <w:top w:val="single" w:sz="6" w:space="0" w:color="000000"/>
              <w:left w:val="single" w:sz="6" w:space="0" w:color="000000"/>
              <w:bottom w:val="single" w:sz="6" w:space="0" w:color="000000"/>
              <w:right w:val="single" w:sz="4" w:space="0" w:color="auto"/>
            </w:tcBorders>
            <w:vAlign w:val="center"/>
            <w:hideMark/>
          </w:tcPr>
          <w:p w14:paraId="4C6231BF" w14:textId="77777777" w:rsidR="005E0D94" w:rsidRPr="005E0D94" w:rsidRDefault="005E0D94" w:rsidP="005E0D94">
            <w:pPr>
              <w:rPr>
                <w:rFonts w:ascii="Arial" w:eastAsia="Times New Roman" w:hAnsi="Arial" w:cs="Arial"/>
                <w:lang w:eastAsia="it-IT"/>
              </w:rPr>
            </w:pPr>
          </w:p>
        </w:tc>
        <w:tc>
          <w:tcPr>
            <w:tcW w:w="2910" w:type="dxa"/>
            <w:tcBorders>
              <w:left w:val="single" w:sz="4" w:space="0" w:color="auto"/>
            </w:tcBorders>
            <w:tcMar>
              <w:top w:w="15" w:type="dxa"/>
              <w:left w:w="15" w:type="dxa"/>
              <w:bottom w:w="15" w:type="dxa"/>
              <w:right w:w="15" w:type="dxa"/>
            </w:tcMar>
            <w:vAlign w:val="center"/>
            <w:hideMark/>
          </w:tcPr>
          <w:p w14:paraId="6E1B3930"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FCCP</w:t>
            </w:r>
          </w:p>
        </w:tc>
        <w:tc>
          <w:tcPr>
            <w:tcW w:w="1657" w:type="dxa"/>
            <w:tcMar>
              <w:top w:w="15" w:type="dxa"/>
              <w:left w:w="15" w:type="dxa"/>
              <w:bottom w:w="15" w:type="dxa"/>
              <w:right w:w="15" w:type="dxa"/>
            </w:tcMar>
            <w:vAlign w:val="center"/>
            <w:hideMark/>
          </w:tcPr>
          <w:p w14:paraId="256DC73F"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1 µM</w:t>
            </w:r>
          </w:p>
        </w:tc>
        <w:tc>
          <w:tcPr>
            <w:tcW w:w="2635" w:type="dxa"/>
            <w:gridSpan w:val="2"/>
            <w:tcBorders>
              <w:right w:val="single" w:sz="4" w:space="0" w:color="auto"/>
            </w:tcBorders>
            <w:tcMar>
              <w:top w:w="15" w:type="dxa"/>
              <w:left w:w="15" w:type="dxa"/>
              <w:bottom w:w="15" w:type="dxa"/>
              <w:right w:w="15" w:type="dxa"/>
            </w:tcMar>
            <w:vAlign w:val="center"/>
            <w:hideMark/>
          </w:tcPr>
          <w:p w14:paraId="7F81896F"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Sigma-Merck</w:t>
            </w:r>
          </w:p>
        </w:tc>
      </w:tr>
      <w:tr w:rsidR="005E0D94" w:rsidRPr="005E0D94" w14:paraId="1178AE15" w14:textId="77777777" w:rsidTr="00572B7E">
        <w:trPr>
          <w:trHeight w:val="195"/>
        </w:trPr>
        <w:tc>
          <w:tcPr>
            <w:tcW w:w="0" w:type="auto"/>
            <w:vMerge/>
            <w:tcBorders>
              <w:top w:val="single" w:sz="6" w:space="0" w:color="000000"/>
              <w:left w:val="single" w:sz="6" w:space="0" w:color="000000"/>
              <w:bottom w:val="single" w:sz="6" w:space="0" w:color="000000"/>
              <w:right w:val="single" w:sz="4" w:space="0" w:color="auto"/>
            </w:tcBorders>
            <w:vAlign w:val="center"/>
            <w:hideMark/>
          </w:tcPr>
          <w:p w14:paraId="50C797D8" w14:textId="77777777" w:rsidR="005E0D94" w:rsidRPr="005E0D94" w:rsidRDefault="005E0D94" w:rsidP="005E0D94">
            <w:pPr>
              <w:rPr>
                <w:rFonts w:ascii="Arial" w:eastAsia="Times New Roman" w:hAnsi="Arial" w:cs="Arial"/>
                <w:lang w:eastAsia="it-IT"/>
              </w:rPr>
            </w:pPr>
          </w:p>
        </w:tc>
        <w:tc>
          <w:tcPr>
            <w:tcW w:w="2910" w:type="dxa"/>
            <w:tcBorders>
              <w:left w:val="single" w:sz="4" w:space="0" w:color="auto"/>
              <w:bottom w:val="single" w:sz="4" w:space="0" w:color="auto"/>
            </w:tcBorders>
            <w:tcMar>
              <w:top w:w="15" w:type="dxa"/>
              <w:left w:w="15" w:type="dxa"/>
              <w:bottom w:w="15" w:type="dxa"/>
              <w:right w:w="15" w:type="dxa"/>
            </w:tcMar>
            <w:vAlign w:val="center"/>
            <w:hideMark/>
          </w:tcPr>
          <w:p w14:paraId="141916FB" w14:textId="77777777" w:rsidR="005E0D94" w:rsidRPr="005E0D94" w:rsidRDefault="005E0D94" w:rsidP="005E0D94">
            <w:pPr>
              <w:jc w:val="center"/>
              <w:rPr>
                <w:rFonts w:ascii="Arial" w:eastAsia="Times New Roman" w:hAnsi="Arial" w:cs="Arial"/>
                <w:lang w:eastAsia="it-IT"/>
              </w:rPr>
            </w:pPr>
            <w:proofErr w:type="spellStart"/>
            <w:r w:rsidRPr="005E0D94">
              <w:rPr>
                <w:rFonts w:ascii="Arial" w:eastAsia="Times New Roman" w:hAnsi="Arial" w:cs="Arial"/>
                <w:color w:val="000000"/>
                <w:lang w:eastAsia="it-IT"/>
              </w:rPr>
              <w:t>Rotenone</w:t>
            </w:r>
            <w:proofErr w:type="spellEnd"/>
            <w:r w:rsidRPr="005E0D94">
              <w:rPr>
                <w:rFonts w:ascii="Arial" w:eastAsia="Times New Roman" w:hAnsi="Arial" w:cs="Arial"/>
                <w:color w:val="000000"/>
                <w:lang w:eastAsia="it-IT"/>
              </w:rPr>
              <w:t>/</w:t>
            </w:r>
            <w:proofErr w:type="spellStart"/>
            <w:r w:rsidRPr="005E0D94">
              <w:rPr>
                <w:rFonts w:ascii="Arial" w:eastAsia="Times New Roman" w:hAnsi="Arial" w:cs="Arial"/>
                <w:color w:val="000000"/>
                <w:lang w:eastAsia="it-IT"/>
              </w:rPr>
              <w:t>Antimycin</w:t>
            </w:r>
            <w:proofErr w:type="spellEnd"/>
            <w:r w:rsidRPr="005E0D94">
              <w:rPr>
                <w:rFonts w:ascii="Arial" w:eastAsia="Times New Roman" w:hAnsi="Arial" w:cs="Arial"/>
                <w:color w:val="000000"/>
                <w:lang w:eastAsia="it-IT"/>
              </w:rPr>
              <w:t xml:space="preserve"> A (Rot/AA)</w:t>
            </w:r>
          </w:p>
        </w:tc>
        <w:tc>
          <w:tcPr>
            <w:tcW w:w="1657" w:type="dxa"/>
            <w:tcBorders>
              <w:bottom w:val="single" w:sz="4" w:space="0" w:color="auto"/>
            </w:tcBorders>
            <w:tcMar>
              <w:top w:w="15" w:type="dxa"/>
              <w:left w:w="15" w:type="dxa"/>
              <w:bottom w:w="15" w:type="dxa"/>
              <w:right w:w="15" w:type="dxa"/>
            </w:tcMar>
            <w:vAlign w:val="center"/>
            <w:hideMark/>
          </w:tcPr>
          <w:p w14:paraId="21936909"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0.5 µM</w:t>
            </w:r>
          </w:p>
        </w:tc>
        <w:tc>
          <w:tcPr>
            <w:tcW w:w="2635" w:type="dxa"/>
            <w:gridSpan w:val="2"/>
            <w:tcBorders>
              <w:bottom w:val="single" w:sz="4" w:space="0" w:color="auto"/>
              <w:right w:val="single" w:sz="4" w:space="0" w:color="auto"/>
            </w:tcBorders>
            <w:tcMar>
              <w:top w:w="15" w:type="dxa"/>
              <w:left w:w="15" w:type="dxa"/>
              <w:bottom w:w="15" w:type="dxa"/>
              <w:right w:w="15" w:type="dxa"/>
            </w:tcMar>
            <w:vAlign w:val="center"/>
            <w:hideMark/>
          </w:tcPr>
          <w:p w14:paraId="2F314D8C"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Sigma-Merck</w:t>
            </w:r>
          </w:p>
        </w:tc>
      </w:tr>
      <w:tr w:rsidR="005E0D94" w:rsidRPr="005E0D94" w14:paraId="2B598D34" w14:textId="77777777" w:rsidTr="00572B7E">
        <w:trPr>
          <w:trHeight w:val="195"/>
        </w:trPr>
        <w:tc>
          <w:tcPr>
            <w:tcW w:w="2004" w:type="dxa"/>
            <w:vMerge w:val="restart"/>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hideMark/>
          </w:tcPr>
          <w:p w14:paraId="5DBB1446" w14:textId="77777777" w:rsidR="005E0D94" w:rsidRPr="005E0D94" w:rsidRDefault="005E0D94" w:rsidP="005E0D94">
            <w:pPr>
              <w:jc w:val="center"/>
              <w:rPr>
                <w:rFonts w:ascii="Arial" w:eastAsia="Times New Roman" w:hAnsi="Arial" w:cs="Arial"/>
                <w:lang w:eastAsia="it-IT"/>
              </w:rPr>
            </w:pPr>
            <w:proofErr w:type="spellStart"/>
            <w:r w:rsidRPr="005E0D94">
              <w:rPr>
                <w:rFonts w:ascii="Arial" w:eastAsia="Times New Roman" w:hAnsi="Arial" w:cs="Arial"/>
                <w:b/>
                <w:bCs/>
                <w:color w:val="000000"/>
                <w:lang w:eastAsia="it-IT"/>
              </w:rPr>
              <w:t>Glycolysis</w:t>
            </w:r>
            <w:proofErr w:type="spellEnd"/>
            <w:r w:rsidRPr="005E0D94">
              <w:rPr>
                <w:rFonts w:ascii="Arial" w:eastAsia="Times New Roman" w:hAnsi="Arial" w:cs="Arial"/>
                <w:b/>
                <w:bCs/>
                <w:color w:val="000000"/>
                <w:lang w:eastAsia="it-IT"/>
              </w:rPr>
              <w:t xml:space="preserve"> Stress Test</w:t>
            </w:r>
          </w:p>
        </w:tc>
        <w:tc>
          <w:tcPr>
            <w:tcW w:w="2910" w:type="dxa"/>
            <w:tcBorders>
              <w:top w:val="single" w:sz="4" w:space="0" w:color="auto"/>
              <w:left w:val="single" w:sz="4" w:space="0" w:color="auto"/>
            </w:tcBorders>
            <w:tcMar>
              <w:top w:w="15" w:type="dxa"/>
              <w:left w:w="15" w:type="dxa"/>
              <w:bottom w:w="15" w:type="dxa"/>
              <w:right w:w="15" w:type="dxa"/>
            </w:tcMar>
            <w:vAlign w:val="center"/>
            <w:hideMark/>
          </w:tcPr>
          <w:p w14:paraId="6D05A78E"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Rot/AA</w:t>
            </w:r>
          </w:p>
        </w:tc>
        <w:tc>
          <w:tcPr>
            <w:tcW w:w="1657" w:type="dxa"/>
            <w:tcBorders>
              <w:top w:val="single" w:sz="4" w:space="0" w:color="auto"/>
            </w:tcBorders>
            <w:tcMar>
              <w:top w:w="15" w:type="dxa"/>
              <w:left w:w="15" w:type="dxa"/>
              <w:bottom w:w="15" w:type="dxa"/>
              <w:right w:w="15" w:type="dxa"/>
            </w:tcMar>
            <w:vAlign w:val="center"/>
            <w:hideMark/>
          </w:tcPr>
          <w:p w14:paraId="0CF9E288"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5 µM</w:t>
            </w:r>
          </w:p>
        </w:tc>
        <w:tc>
          <w:tcPr>
            <w:tcW w:w="2635" w:type="dxa"/>
            <w:gridSpan w:val="2"/>
            <w:tcBorders>
              <w:top w:val="single" w:sz="4" w:space="0" w:color="auto"/>
              <w:right w:val="single" w:sz="4" w:space="0" w:color="auto"/>
            </w:tcBorders>
            <w:tcMar>
              <w:top w:w="15" w:type="dxa"/>
              <w:left w:w="15" w:type="dxa"/>
              <w:bottom w:w="15" w:type="dxa"/>
              <w:right w:w="15" w:type="dxa"/>
            </w:tcMar>
            <w:vAlign w:val="center"/>
            <w:hideMark/>
          </w:tcPr>
          <w:p w14:paraId="69743D1E"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Sigma-Merck</w:t>
            </w:r>
          </w:p>
        </w:tc>
      </w:tr>
      <w:tr w:rsidR="005E0D94" w:rsidRPr="005E0D94" w14:paraId="2B13D9AA" w14:textId="77777777" w:rsidTr="00572B7E">
        <w:trPr>
          <w:trHeight w:val="195"/>
        </w:trPr>
        <w:tc>
          <w:tcPr>
            <w:tcW w:w="0" w:type="auto"/>
            <w:vMerge/>
            <w:tcBorders>
              <w:top w:val="single" w:sz="6" w:space="0" w:color="000000"/>
              <w:left w:val="single" w:sz="6" w:space="0" w:color="000000"/>
              <w:bottom w:val="single" w:sz="6" w:space="0" w:color="000000"/>
              <w:right w:val="single" w:sz="4" w:space="0" w:color="auto"/>
            </w:tcBorders>
            <w:vAlign w:val="center"/>
            <w:hideMark/>
          </w:tcPr>
          <w:p w14:paraId="258ACD8C" w14:textId="77777777" w:rsidR="005E0D94" w:rsidRPr="005E0D94" w:rsidRDefault="005E0D94" w:rsidP="005E0D94">
            <w:pPr>
              <w:rPr>
                <w:rFonts w:ascii="Arial" w:eastAsia="Times New Roman" w:hAnsi="Arial" w:cs="Arial"/>
                <w:lang w:eastAsia="it-IT"/>
              </w:rPr>
            </w:pPr>
          </w:p>
        </w:tc>
        <w:tc>
          <w:tcPr>
            <w:tcW w:w="2910" w:type="dxa"/>
            <w:tcBorders>
              <w:left w:val="single" w:sz="4" w:space="0" w:color="auto"/>
            </w:tcBorders>
            <w:tcMar>
              <w:top w:w="15" w:type="dxa"/>
              <w:left w:w="15" w:type="dxa"/>
              <w:bottom w:w="15" w:type="dxa"/>
              <w:right w:w="15" w:type="dxa"/>
            </w:tcMar>
            <w:vAlign w:val="center"/>
            <w:hideMark/>
          </w:tcPr>
          <w:p w14:paraId="58FC3C8A"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2-Deoxy-D-glucose (2-DG)</w:t>
            </w:r>
          </w:p>
        </w:tc>
        <w:tc>
          <w:tcPr>
            <w:tcW w:w="1657" w:type="dxa"/>
            <w:tcMar>
              <w:top w:w="15" w:type="dxa"/>
              <w:left w:w="15" w:type="dxa"/>
              <w:bottom w:w="15" w:type="dxa"/>
              <w:right w:w="15" w:type="dxa"/>
            </w:tcMar>
            <w:vAlign w:val="center"/>
            <w:hideMark/>
          </w:tcPr>
          <w:p w14:paraId="5FAB5B50"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50 mM</w:t>
            </w:r>
          </w:p>
        </w:tc>
        <w:tc>
          <w:tcPr>
            <w:tcW w:w="2635" w:type="dxa"/>
            <w:gridSpan w:val="2"/>
            <w:tcBorders>
              <w:right w:val="single" w:sz="4" w:space="0" w:color="auto"/>
            </w:tcBorders>
            <w:tcMar>
              <w:top w:w="15" w:type="dxa"/>
              <w:left w:w="15" w:type="dxa"/>
              <w:bottom w:w="15" w:type="dxa"/>
              <w:right w:w="15" w:type="dxa"/>
            </w:tcMar>
            <w:vAlign w:val="center"/>
            <w:hideMark/>
          </w:tcPr>
          <w:p w14:paraId="4BDAFC74"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Sigma-Merck</w:t>
            </w:r>
          </w:p>
        </w:tc>
      </w:tr>
      <w:tr w:rsidR="005E0D94" w:rsidRPr="005E0D94" w14:paraId="2B681A4C" w14:textId="77777777" w:rsidTr="00572B7E">
        <w:trPr>
          <w:trHeight w:val="210"/>
        </w:trPr>
        <w:tc>
          <w:tcPr>
            <w:tcW w:w="2004" w:type="dxa"/>
            <w:vMerge w:val="restart"/>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hideMark/>
          </w:tcPr>
          <w:p w14:paraId="33921B56"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b/>
                <w:bCs/>
                <w:color w:val="000000"/>
                <w:lang w:eastAsia="it-IT"/>
              </w:rPr>
              <w:t xml:space="preserve">ATP Rate </w:t>
            </w:r>
            <w:proofErr w:type="spellStart"/>
            <w:r w:rsidRPr="005E0D94">
              <w:rPr>
                <w:rFonts w:ascii="Arial" w:eastAsia="Times New Roman" w:hAnsi="Arial" w:cs="Arial"/>
                <w:b/>
                <w:bCs/>
                <w:color w:val="000000"/>
                <w:lang w:eastAsia="it-IT"/>
              </w:rPr>
              <w:t>Assay</w:t>
            </w:r>
            <w:proofErr w:type="spellEnd"/>
          </w:p>
        </w:tc>
        <w:tc>
          <w:tcPr>
            <w:tcW w:w="2910" w:type="dxa"/>
            <w:tcBorders>
              <w:left w:val="single" w:sz="4" w:space="0" w:color="auto"/>
            </w:tcBorders>
            <w:tcMar>
              <w:top w:w="15" w:type="dxa"/>
              <w:left w:w="15" w:type="dxa"/>
              <w:bottom w:w="15" w:type="dxa"/>
              <w:right w:w="15" w:type="dxa"/>
            </w:tcMar>
            <w:vAlign w:val="center"/>
            <w:hideMark/>
          </w:tcPr>
          <w:p w14:paraId="072F7E26" w14:textId="77777777" w:rsidR="005E0D94" w:rsidRPr="005E0D94" w:rsidRDefault="005E0D94" w:rsidP="005E0D94">
            <w:pPr>
              <w:jc w:val="center"/>
              <w:rPr>
                <w:rFonts w:ascii="Arial" w:eastAsia="Times New Roman" w:hAnsi="Arial" w:cs="Arial"/>
                <w:lang w:eastAsia="it-IT"/>
              </w:rPr>
            </w:pPr>
            <w:proofErr w:type="spellStart"/>
            <w:r w:rsidRPr="005E0D94">
              <w:rPr>
                <w:rFonts w:ascii="Arial" w:eastAsia="Times New Roman" w:hAnsi="Arial" w:cs="Arial"/>
                <w:color w:val="000000"/>
                <w:lang w:eastAsia="it-IT"/>
              </w:rPr>
              <w:t>Oligomycin</w:t>
            </w:r>
            <w:proofErr w:type="spellEnd"/>
          </w:p>
        </w:tc>
        <w:tc>
          <w:tcPr>
            <w:tcW w:w="1657" w:type="dxa"/>
            <w:tcMar>
              <w:top w:w="15" w:type="dxa"/>
              <w:left w:w="15" w:type="dxa"/>
              <w:bottom w:w="15" w:type="dxa"/>
              <w:right w:w="15" w:type="dxa"/>
            </w:tcMar>
            <w:vAlign w:val="center"/>
            <w:hideMark/>
          </w:tcPr>
          <w:p w14:paraId="44072B5B"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1.5 µM</w:t>
            </w:r>
          </w:p>
        </w:tc>
        <w:tc>
          <w:tcPr>
            <w:tcW w:w="2635" w:type="dxa"/>
            <w:gridSpan w:val="2"/>
            <w:tcBorders>
              <w:right w:val="single" w:sz="4" w:space="0" w:color="auto"/>
            </w:tcBorders>
            <w:tcMar>
              <w:top w:w="15" w:type="dxa"/>
              <w:left w:w="15" w:type="dxa"/>
              <w:bottom w:w="15" w:type="dxa"/>
              <w:right w:w="15" w:type="dxa"/>
            </w:tcMar>
            <w:vAlign w:val="center"/>
            <w:hideMark/>
          </w:tcPr>
          <w:p w14:paraId="62171AB2"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Sigma-Merck</w:t>
            </w:r>
          </w:p>
        </w:tc>
      </w:tr>
      <w:tr w:rsidR="005E0D94" w:rsidRPr="005E0D94" w14:paraId="1BF19F3D" w14:textId="77777777" w:rsidTr="00572B7E">
        <w:trPr>
          <w:trHeight w:val="195"/>
        </w:trPr>
        <w:tc>
          <w:tcPr>
            <w:tcW w:w="0" w:type="auto"/>
            <w:vMerge/>
            <w:tcBorders>
              <w:top w:val="single" w:sz="6" w:space="0" w:color="000000"/>
              <w:left w:val="single" w:sz="6" w:space="0" w:color="000000"/>
              <w:bottom w:val="single" w:sz="6" w:space="0" w:color="000000"/>
              <w:right w:val="single" w:sz="4" w:space="0" w:color="auto"/>
            </w:tcBorders>
            <w:vAlign w:val="center"/>
            <w:hideMark/>
          </w:tcPr>
          <w:p w14:paraId="53C5A435" w14:textId="77777777" w:rsidR="005E0D94" w:rsidRPr="005E0D94" w:rsidRDefault="005E0D94" w:rsidP="005E0D94">
            <w:pPr>
              <w:rPr>
                <w:rFonts w:ascii="Arial" w:eastAsia="Times New Roman" w:hAnsi="Arial" w:cs="Arial"/>
                <w:lang w:eastAsia="it-IT"/>
              </w:rPr>
            </w:pPr>
          </w:p>
        </w:tc>
        <w:tc>
          <w:tcPr>
            <w:tcW w:w="2910" w:type="dxa"/>
            <w:tcBorders>
              <w:left w:val="single" w:sz="4" w:space="0" w:color="auto"/>
              <w:bottom w:val="single" w:sz="4" w:space="0" w:color="auto"/>
            </w:tcBorders>
            <w:tcMar>
              <w:top w:w="15" w:type="dxa"/>
              <w:left w:w="15" w:type="dxa"/>
              <w:bottom w:w="15" w:type="dxa"/>
              <w:right w:w="15" w:type="dxa"/>
            </w:tcMar>
            <w:vAlign w:val="center"/>
            <w:hideMark/>
          </w:tcPr>
          <w:p w14:paraId="603973D9"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Rot/AA</w:t>
            </w:r>
          </w:p>
        </w:tc>
        <w:tc>
          <w:tcPr>
            <w:tcW w:w="1657" w:type="dxa"/>
            <w:tcBorders>
              <w:bottom w:val="single" w:sz="4" w:space="0" w:color="auto"/>
            </w:tcBorders>
            <w:tcMar>
              <w:top w:w="15" w:type="dxa"/>
              <w:left w:w="15" w:type="dxa"/>
              <w:bottom w:w="15" w:type="dxa"/>
              <w:right w:w="15" w:type="dxa"/>
            </w:tcMar>
            <w:vAlign w:val="center"/>
            <w:hideMark/>
          </w:tcPr>
          <w:p w14:paraId="171E2992"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0.5 µM</w:t>
            </w:r>
          </w:p>
        </w:tc>
        <w:tc>
          <w:tcPr>
            <w:tcW w:w="2635" w:type="dxa"/>
            <w:gridSpan w:val="2"/>
            <w:tcBorders>
              <w:bottom w:val="single" w:sz="4" w:space="0" w:color="auto"/>
              <w:right w:val="single" w:sz="4" w:space="0" w:color="auto"/>
            </w:tcBorders>
            <w:tcMar>
              <w:top w:w="15" w:type="dxa"/>
              <w:left w:w="15" w:type="dxa"/>
              <w:bottom w:w="15" w:type="dxa"/>
              <w:right w:w="15" w:type="dxa"/>
            </w:tcMar>
            <w:vAlign w:val="center"/>
            <w:hideMark/>
          </w:tcPr>
          <w:p w14:paraId="7B2D826E"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Sigma-Merck</w:t>
            </w:r>
          </w:p>
        </w:tc>
      </w:tr>
      <w:tr w:rsidR="005E0D94" w:rsidRPr="005E0D94" w14:paraId="34D94FE3" w14:textId="77777777" w:rsidTr="00572B7E">
        <w:trPr>
          <w:trHeight w:val="195"/>
        </w:trPr>
        <w:tc>
          <w:tcPr>
            <w:tcW w:w="2004" w:type="dxa"/>
            <w:vMerge w:val="restart"/>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hideMark/>
          </w:tcPr>
          <w:p w14:paraId="1F76A295" w14:textId="77777777" w:rsidR="005E0D94" w:rsidRPr="005E0D94" w:rsidRDefault="005E0D94" w:rsidP="005E0D94">
            <w:pPr>
              <w:jc w:val="center"/>
              <w:rPr>
                <w:rFonts w:ascii="Arial" w:eastAsia="Times New Roman" w:hAnsi="Arial" w:cs="Arial"/>
                <w:lang w:eastAsia="it-IT"/>
              </w:rPr>
            </w:pPr>
            <w:proofErr w:type="spellStart"/>
            <w:r w:rsidRPr="005E0D94">
              <w:rPr>
                <w:rFonts w:ascii="Arial" w:eastAsia="Times New Roman" w:hAnsi="Arial" w:cs="Arial"/>
                <w:b/>
                <w:bCs/>
                <w:color w:val="000000"/>
                <w:lang w:eastAsia="it-IT"/>
              </w:rPr>
              <w:t>Substrate</w:t>
            </w:r>
            <w:proofErr w:type="spellEnd"/>
            <w:r w:rsidRPr="005E0D94">
              <w:rPr>
                <w:rFonts w:ascii="Arial" w:eastAsia="Times New Roman" w:hAnsi="Arial" w:cs="Arial"/>
                <w:b/>
                <w:bCs/>
                <w:color w:val="000000"/>
                <w:lang w:eastAsia="it-IT"/>
              </w:rPr>
              <w:t xml:space="preserve"> Oxidation Test</w:t>
            </w:r>
          </w:p>
        </w:tc>
        <w:tc>
          <w:tcPr>
            <w:tcW w:w="2910" w:type="dxa"/>
            <w:tcBorders>
              <w:top w:val="single" w:sz="4" w:space="0" w:color="auto"/>
              <w:left w:val="single" w:sz="4" w:space="0" w:color="auto"/>
            </w:tcBorders>
            <w:tcMar>
              <w:top w:w="15" w:type="dxa"/>
              <w:left w:w="15" w:type="dxa"/>
              <w:bottom w:w="15" w:type="dxa"/>
              <w:right w:w="15" w:type="dxa"/>
            </w:tcMar>
            <w:vAlign w:val="center"/>
            <w:hideMark/>
          </w:tcPr>
          <w:p w14:paraId="2547E32E"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 xml:space="preserve">UK5099 (MPC </w:t>
            </w:r>
            <w:proofErr w:type="spellStart"/>
            <w:r w:rsidRPr="005E0D94">
              <w:rPr>
                <w:rFonts w:ascii="Arial" w:eastAsia="Times New Roman" w:hAnsi="Arial" w:cs="Arial"/>
                <w:color w:val="000000"/>
                <w:lang w:eastAsia="it-IT"/>
              </w:rPr>
              <w:t>inhibitor</w:t>
            </w:r>
            <w:proofErr w:type="spellEnd"/>
            <w:r w:rsidRPr="005E0D94">
              <w:rPr>
                <w:rFonts w:ascii="Arial" w:eastAsia="Times New Roman" w:hAnsi="Arial" w:cs="Arial"/>
                <w:color w:val="000000"/>
                <w:lang w:eastAsia="it-IT"/>
              </w:rPr>
              <w:t>)</w:t>
            </w:r>
          </w:p>
        </w:tc>
        <w:tc>
          <w:tcPr>
            <w:tcW w:w="1657" w:type="dxa"/>
            <w:tcBorders>
              <w:top w:val="single" w:sz="4" w:space="0" w:color="auto"/>
            </w:tcBorders>
            <w:tcMar>
              <w:top w:w="15" w:type="dxa"/>
              <w:left w:w="15" w:type="dxa"/>
              <w:bottom w:w="15" w:type="dxa"/>
              <w:right w:w="15" w:type="dxa"/>
            </w:tcMar>
            <w:vAlign w:val="center"/>
            <w:hideMark/>
          </w:tcPr>
          <w:p w14:paraId="51E32644"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2 µM</w:t>
            </w:r>
          </w:p>
        </w:tc>
        <w:tc>
          <w:tcPr>
            <w:tcW w:w="2635" w:type="dxa"/>
            <w:gridSpan w:val="2"/>
            <w:tcBorders>
              <w:top w:val="single" w:sz="4" w:space="0" w:color="auto"/>
              <w:right w:val="single" w:sz="4" w:space="0" w:color="auto"/>
            </w:tcBorders>
            <w:tcMar>
              <w:top w:w="15" w:type="dxa"/>
              <w:left w:w="15" w:type="dxa"/>
              <w:bottom w:w="15" w:type="dxa"/>
              <w:right w:w="15" w:type="dxa"/>
            </w:tcMar>
            <w:vAlign w:val="center"/>
            <w:hideMark/>
          </w:tcPr>
          <w:p w14:paraId="123FCE48"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Sigma-Merck</w:t>
            </w:r>
          </w:p>
        </w:tc>
      </w:tr>
      <w:tr w:rsidR="005E0D94" w:rsidRPr="005E0D94" w14:paraId="3A1C48A9" w14:textId="77777777" w:rsidTr="00572B7E">
        <w:trPr>
          <w:trHeight w:val="210"/>
        </w:trPr>
        <w:tc>
          <w:tcPr>
            <w:tcW w:w="0" w:type="auto"/>
            <w:vMerge/>
            <w:tcBorders>
              <w:top w:val="single" w:sz="6" w:space="0" w:color="000000"/>
              <w:left w:val="single" w:sz="6" w:space="0" w:color="000000"/>
              <w:bottom w:val="single" w:sz="6" w:space="0" w:color="000000"/>
              <w:right w:val="single" w:sz="4" w:space="0" w:color="auto"/>
            </w:tcBorders>
            <w:vAlign w:val="center"/>
            <w:hideMark/>
          </w:tcPr>
          <w:p w14:paraId="0FDA85FE" w14:textId="77777777" w:rsidR="005E0D94" w:rsidRPr="005E0D94" w:rsidRDefault="005E0D94" w:rsidP="005E0D94">
            <w:pPr>
              <w:rPr>
                <w:rFonts w:ascii="Arial" w:eastAsia="Times New Roman" w:hAnsi="Arial" w:cs="Arial"/>
                <w:lang w:eastAsia="it-IT"/>
              </w:rPr>
            </w:pPr>
          </w:p>
        </w:tc>
        <w:tc>
          <w:tcPr>
            <w:tcW w:w="2910" w:type="dxa"/>
            <w:tcBorders>
              <w:left w:val="single" w:sz="4" w:space="0" w:color="auto"/>
            </w:tcBorders>
            <w:tcMar>
              <w:top w:w="15" w:type="dxa"/>
              <w:left w:w="15" w:type="dxa"/>
              <w:bottom w:w="15" w:type="dxa"/>
              <w:right w:w="15" w:type="dxa"/>
            </w:tcMar>
            <w:vAlign w:val="center"/>
            <w:hideMark/>
          </w:tcPr>
          <w:p w14:paraId="4D532289"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 xml:space="preserve">BPTES (GLS1 </w:t>
            </w:r>
            <w:proofErr w:type="spellStart"/>
            <w:r w:rsidRPr="005E0D94">
              <w:rPr>
                <w:rFonts w:ascii="Arial" w:eastAsia="Times New Roman" w:hAnsi="Arial" w:cs="Arial"/>
                <w:color w:val="000000"/>
                <w:lang w:eastAsia="it-IT"/>
              </w:rPr>
              <w:t>inhibitor</w:t>
            </w:r>
            <w:proofErr w:type="spellEnd"/>
            <w:r w:rsidRPr="005E0D94">
              <w:rPr>
                <w:rFonts w:ascii="Arial" w:eastAsia="Times New Roman" w:hAnsi="Arial" w:cs="Arial"/>
                <w:color w:val="000000"/>
                <w:lang w:eastAsia="it-IT"/>
              </w:rPr>
              <w:t>)</w:t>
            </w:r>
          </w:p>
        </w:tc>
        <w:tc>
          <w:tcPr>
            <w:tcW w:w="1657" w:type="dxa"/>
            <w:tcMar>
              <w:top w:w="15" w:type="dxa"/>
              <w:left w:w="15" w:type="dxa"/>
              <w:bottom w:w="15" w:type="dxa"/>
              <w:right w:w="15" w:type="dxa"/>
            </w:tcMar>
            <w:vAlign w:val="center"/>
            <w:hideMark/>
          </w:tcPr>
          <w:p w14:paraId="0960C3A1"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3 µM</w:t>
            </w:r>
          </w:p>
        </w:tc>
        <w:tc>
          <w:tcPr>
            <w:tcW w:w="2635" w:type="dxa"/>
            <w:gridSpan w:val="2"/>
            <w:tcBorders>
              <w:right w:val="single" w:sz="4" w:space="0" w:color="auto"/>
            </w:tcBorders>
            <w:tcMar>
              <w:top w:w="15" w:type="dxa"/>
              <w:left w:w="15" w:type="dxa"/>
              <w:bottom w:w="15" w:type="dxa"/>
              <w:right w:w="15" w:type="dxa"/>
            </w:tcMar>
            <w:vAlign w:val="center"/>
            <w:hideMark/>
          </w:tcPr>
          <w:p w14:paraId="603DB381"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Sigma-Merck</w:t>
            </w:r>
          </w:p>
        </w:tc>
      </w:tr>
      <w:tr w:rsidR="005E0D94" w:rsidRPr="005E0D94" w14:paraId="2251FBFA" w14:textId="77777777" w:rsidTr="00572B7E">
        <w:trPr>
          <w:trHeight w:val="405"/>
        </w:trPr>
        <w:tc>
          <w:tcPr>
            <w:tcW w:w="0" w:type="auto"/>
            <w:vMerge/>
            <w:tcBorders>
              <w:top w:val="single" w:sz="6" w:space="0" w:color="000000"/>
              <w:left w:val="single" w:sz="6" w:space="0" w:color="000000"/>
              <w:bottom w:val="single" w:sz="6" w:space="0" w:color="000000"/>
              <w:right w:val="single" w:sz="4" w:space="0" w:color="auto"/>
            </w:tcBorders>
            <w:vAlign w:val="center"/>
            <w:hideMark/>
          </w:tcPr>
          <w:p w14:paraId="6A1C4B57" w14:textId="77777777" w:rsidR="005E0D94" w:rsidRPr="005E0D94" w:rsidRDefault="005E0D94" w:rsidP="005E0D94">
            <w:pPr>
              <w:rPr>
                <w:rFonts w:ascii="Arial" w:eastAsia="Times New Roman" w:hAnsi="Arial" w:cs="Arial"/>
                <w:lang w:eastAsia="it-IT"/>
              </w:rPr>
            </w:pPr>
          </w:p>
        </w:tc>
        <w:tc>
          <w:tcPr>
            <w:tcW w:w="2910" w:type="dxa"/>
            <w:tcBorders>
              <w:left w:val="single" w:sz="4" w:space="0" w:color="auto"/>
            </w:tcBorders>
            <w:tcMar>
              <w:top w:w="15" w:type="dxa"/>
              <w:left w:w="15" w:type="dxa"/>
              <w:bottom w:w="15" w:type="dxa"/>
              <w:right w:w="15" w:type="dxa"/>
            </w:tcMar>
            <w:vAlign w:val="center"/>
            <w:hideMark/>
          </w:tcPr>
          <w:p w14:paraId="5A83418A" w14:textId="77777777" w:rsidR="005E0D94" w:rsidRPr="005E0D94" w:rsidRDefault="005E0D94" w:rsidP="005E0D94">
            <w:pPr>
              <w:jc w:val="center"/>
              <w:rPr>
                <w:rFonts w:ascii="Arial" w:eastAsia="Times New Roman" w:hAnsi="Arial" w:cs="Arial"/>
                <w:lang w:val="en-US" w:eastAsia="it-IT"/>
              </w:rPr>
            </w:pPr>
            <w:r w:rsidRPr="005E0D94">
              <w:rPr>
                <w:rFonts w:ascii="Arial" w:eastAsia="Times New Roman" w:hAnsi="Arial" w:cs="Arial"/>
                <w:color w:val="000000"/>
                <w:lang w:val="en-US" w:eastAsia="it-IT"/>
              </w:rPr>
              <w:t>Perhexiline maleate salt (CPT1A/2 inhibitor)</w:t>
            </w:r>
          </w:p>
        </w:tc>
        <w:tc>
          <w:tcPr>
            <w:tcW w:w="1657" w:type="dxa"/>
            <w:tcMar>
              <w:top w:w="15" w:type="dxa"/>
              <w:left w:w="15" w:type="dxa"/>
              <w:bottom w:w="15" w:type="dxa"/>
              <w:right w:w="15" w:type="dxa"/>
            </w:tcMar>
            <w:vAlign w:val="center"/>
            <w:hideMark/>
          </w:tcPr>
          <w:p w14:paraId="78762B6A"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4 µM</w:t>
            </w:r>
          </w:p>
        </w:tc>
        <w:tc>
          <w:tcPr>
            <w:tcW w:w="2635" w:type="dxa"/>
            <w:gridSpan w:val="2"/>
            <w:tcBorders>
              <w:right w:val="single" w:sz="4" w:space="0" w:color="auto"/>
            </w:tcBorders>
            <w:tcMar>
              <w:top w:w="15" w:type="dxa"/>
              <w:left w:w="15" w:type="dxa"/>
              <w:bottom w:w="15" w:type="dxa"/>
              <w:right w:w="15" w:type="dxa"/>
            </w:tcMar>
            <w:vAlign w:val="center"/>
            <w:hideMark/>
          </w:tcPr>
          <w:p w14:paraId="686C6B01"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Sigma-Merck</w:t>
            </w:r>
          </w:p>
        </w:tc>
      </w:tr>
      <w:tr w:rsidR="005E0D94" w:rsidRPr="005E0D94" w14:paraId="45CE2438" w14:textId="77777777" w:rsidTr="00572B7E">
        <w:trPr>
          <w:trHeight w:val="210"/>
        </w:trPr>
        <w:tc>
          <w:tcPr>
            <w:tcW w:w="0" w:type="auto"/>
            <w:vMerge/>
            <w:tcBorders>
              <w:top w:val="single" w:sz="6" w:space="0" w:color="000000"/>
              <w:left w:val="single" w:sz="6" w:space="0" w:color="000000"/>
              <w:bottom w:val="single" w:sz="6" w:space="0" w:color="000000"/>
              <w:right w:val="single" w:sz="4" w:space="0" w:color="auto"/>
            </w:tcBorders>
            <w:vAlign w:val="center"/>
            <w:hideMark/>
          </w:tcPr>
          <w:p w14:paraId="3E3C6DE7" w14:textId="77777777" w:rsidR="005E0D94" w:rsidRPr="005E0D94" w:rsidRDefault="005E0D94" w:rsidP="005E0D94">
            <w:pPr>
              <w:rPr>
                <w:rFonts w:ascii="Arial" w:eastAsia="Times New Roman" w:hAnsi="Arial" w:cs="Arial"/>
                <w:lang w:eastAsia="it-IT"/>
              </w:rPr>
            </w:pPr>
          </w:p>
        </w:tc>
        <w:tc>
          <w:tcPr>
            <w:tcW w:w="2910" w:type="dxa"/>
            <w:tcBorders>
              <w:left w:val="single" w:sz="4" w:space="0" w:color="auto"/>
            </w:tcBorders>
            <w:tcMar>
              <w:top w:w="15" w:type="dxa"/>
              <w:left w:w="15" w:type="dxa"/>
              <w:bottom w:w="15" w:type="dxa"/>
              <w:right w:w="15" w:type="dxa"/>
            </w:tcMar>
            <w:vAlign w:val="center"/>
            <w:hideMark/>
          </w:tcPr>
          <w:p w14:paraId="2F5106B8" w14:textId="77777777" w:rsidR="005E0D94" w:rsidRPr="005E0D94" w:rsidRDefault="005E0D94" w:rsidP="005E0D94">
            <w:pPr>
              <w:jc w:val="center"/>
              <w:rPr>
                <w:rFonts w:ascii="Arial" w:eastAsia="Times New Roman" w:hAnsi="Arial" w:cs="Arial"/>
                <w:lang w:eastAsia="it-IT"/>
              </w:rPr>
            </w:pPr>
            <w:proofErr w:type="spellStart"/>
            <w:r w:rsidRPr="005E0D94">
              <w:rPr>
                <w:rFonts w:ascii="Arial" w:eastAsia="Times New Roman" w:hAnsi="Arial" w:cs="Arial"/>
                <w:color w:val="000000"/>
                <w:lang w:eastAsia="it-IT"/>
              </w:rPr>
              <w:t>Oligomycin</w:t>
            </w:r>
            <w:proofErr w:type="spellEnd"/>
          </w:p>
        </w:tc>
        <w:tc>
          <w:tcPr>
            <w:tcW w:w="1657" w:type="dxa"/>
            <w:tcMar>
              <w:top w:w="15" w:type="dxa"/>
              <w:left w:w="15" w:type="dxa"/>
              <w:bottom w:w="15" w:type="dxa"/>
              <w:right w:w="15" w:type="dxa"/>
            </w:tcMar>
            <w:vAlign w:val="center"/>
            <w:hideMark/>
          </w:tcPr>
          <w:p w14:paraId="527B857A"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1.5 µM</w:t>
            </w:r>
          </w:p>
        </w:tc>
        <w:tc>
          <w:tcPr>
            <w:tcW w:w="2635" w:type="dxa"/>
            <w:gridSpan w:val="2"/>
            <w:tcBorders>
              <w:right w:val="single" w:sz="4" w:space="0" w:color="auto"/>
            </w:tcBorders>
            <w:tcMar>
              <w:top w:w="15" w:type="dxa"/>
              <w:left w:w="15" w:type="dxa"/>
              <w:bottom w:w="15" w:type="dxa"/>
              <w:right w:w="15" w:type="dxa"/>
            </w:tcMar>
            <w:vAlign w:val="center"/>
            <w:hideMark/>
          </w:tcPr>
          <w:p w14:paraId="67BC81D8"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Sigma-Merck</w:t>
            </w:r>
          </w:p>
        </w:tc>
      </w:tr>
      <w:tr w:rsidR="005E0D94" w:rsidRPr="005E0D94" w14:paraId="26FE9565" w14:textId="77777777" w:rsidTr="00572B7E">
        <w:trPr>
          <w:trHeight w:val="210"/>
        </w:trPr>
        <w:tc>
          <w:tcPr>
            <w:tcW w:w="0" w:type="auto"/>
            <w:vMerge/>
            <w:tcBorders>
              <w:top w:val="single" w:sz="6" w:space="0" w:color="000000"/>
              <w:left w:val="single" w:sz="6" w:space="0" w:color="000000"/>
              <w:bottom w:val="single" w:sz="6" w:space="0" w:color="000000"/>
              <w:right w:val="single" w:sz="4" w:space="0" w:color="auto"/>
            </w:tcBorders>
            <w:vAlign w:val="center"/>
            <w:hideMark/>
          </w:tcPr>
          <w:p w14:paraId="10504FA3" w14:textId="77777777" w:rsidR="005E0D94" w:rsidRPr="005E0D94" w:rsidRDefault="005E0D94" w:rsidP="005E0D94">
            <w:pPr>
              <w:rPr>
                <w:rFonts w:ascii="Arial" w:eastAsia="Times New Roman" w:hAnsi="Arial" w:cs="Arial"/>
                <w:lang w:eastAsia="it-IT"/>
              </w:rPr>
            </w:pPr>
          </w:p>
        </w:tc>
        <w:tc>
          <w:tcPr>
            <w:tcW w:w="2910" w:type="dxa"/>
            <w:tcBorders>
              <w:left w:val="single" w:sz="4" w:space="0" w:color="auto"/>
            </w:tcBorders>
            <w:tcMar>
              <w:top w:w="15" w:type="dxa"/>
              <w:left w:w="15" w:type="dxa"/>
              <w:bottom w:w="15" w:type="dxa"/>
              <w:right w:w="15" w:type="dxa"/>
            </w:tcMar>
            <w:vAlign w:val="center"/>
            <w:hideMark/>
          </w:tcPr>
          <w:p w14:paraId="740BEB24"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FCCP</w:t>
            </w:r>
          </w:p>
        </w:tc>
        <w:tc>
          <w:tcPr>
            <w:tcW w:w="1657" w:type="dxa"/>
            <w:tcMar>
              <w:top w:w="15" w:type="dxa"/>
              <w:left w:w="15" w:type="dxa"/>
              <w:bottom w:w="15" w:type="dxa"/>
              <w:right w:w="15" w:type="dxa"/>
            </w:tcMar>
            <w:vAlign w:val="center"/>
            <w:hideMark/>
          </w:tcPr>
          <w:p w14:paraId="0848B67F"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1 µM</w:t>
            </w:r>
          </w:p>
        </w:tc>
        <w:tc>
          <w:tcPr>
            <w:tcW w:w="2635" w:type="dxa"/>
            <w:gridSpan w:val="2"/>
            <w:tcBorders>
              <w:right w:val="single" w:sz="4" w:space="0" w:color="auto"/>
            </w:tcBorders>
            <w:tcMar>
              <w:top w:w="15" w:type="dxa"/>
              <w:left w:w="15" w:type="dxa"/>
              <w:bottom w:w="15" w:type="dxa"/>
              <w:right w:w="15" w:type="dxa"/>
            </w:tcMar>
            <w:vAlign w:val="center"/>
            <w:hideMark/>
          </w:tcPr>
          <w:p w14:paraId="688DE7B2"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Sigma-Merck</w:t>
            </w:r>
          </w:p>
        </w:tc>
      </w:tr>
      <w:tr w:rsidR="005E0D94" w:rsidRPr="005E0D94" w14:paraId="304AF59E" w14:textId="77777777" w:rsidTr="00572B7E">
        <w:trPr>
          <w:trHeight w:val="195"/>
        </w:trPr>
        <w:tc>
          <w:tcPr>
            <w:tcW w:w="0" w:type="auto"/>
            <w:vMerge/>
            <w:tcBorders>
              <w:top w:val="single" w:sz="6" w:space="0" w:color="000000"/>
              <w:left w:val="single" w:sz="6" w:space="0" w:color="000000"/>
              <w:bottom w:val="single" w:sz="6" w:space="0" w:color="000000"/>
              <w:right w:val="single" w:sz="4" w:space="0" w:color="auto"/>
            </w:tcBorders>
            <w:vAlign w:val="center"/>
            <w:hideMark/>
          </w:tcPr>
          <w:p w14:paraId="0FB61597" w14:textId="77777777" w:rsidR="005E0D94" w:rsidRPr="005E0D94" w:rsidRDefault="005E0D94" w:rsidP="005E0D94">
            <w:pPr>
              <w:rPr>
                <w:rFonts w:ascii="Arial" w:eastAsia="Times New Roman" w:hAnsi="Arial" w:cs="Arial"/>
                <w:lang w:eastAsia="it-IT"/>
              </w:rPr>
            </w:pPr>
          </w:p>
        </w:tc>
        <w:tc>
          <w:tcPr>
            <w:tcW w:w="2910" w:type="dxa"/>
            <w:tcBorders>
              <w:left w:val="single" w:sz="4" w:space="0" w:color="auto"/>
              <w:bottom w:val="single" w:sz="4" w:space="0" w:color="auto"/>
            </w:tcBorders>
            <w:tcMar>
              <w:top w:w="15" w:type="dxa"/>
              <w:left w:w="15" w:type="dxa"/>
              <w:bottom w:w="15" w:type="dxa"/>
              <w:right w:w="15" w:type="dxa"/>
            </w:tcMar>
            <w:vAlign w:val="center"/>
            <w:hideMark/>
          </w:tcPr>
          <w:p w14:paraId="576709C9" w14:textId="77777777" w:rsidR="005E0D94" w:rsidRPr="005E0D94" w:rsidRDefault="005E0D94" w:rsidP="005E0D94">
            <w:pPr>
              <w:jc w:val="center"/>
              <w:rPr>
                <w:rFonts w:ascii="Arial" w:eastAsia="Times New Roman" w:hAnsi="Arial" w:cs="Arial"/>
                <w:lang w:eastAsia="it-IT"/>
              </w:rPr>
            </w:pPr>
            <w:proofErr w:type="spellStart"/>
            <w:r w:rsidRPr="005E0D94">
              <w:rPr>
                <w:rFonts w:ascii="Arial" w:eastAsia="Times New Roman" w:hAnsi="Arial" w:cs="Arial"/>
                <w:color w:val="000000"/>
                <w:lang w:eastAsia="it-IT"/>
              </w:rPr>
              <w:t>Rotenone</w:t>
            </w:r>
            <w:proofErr w:type="spellEnd"/>
            <w:r w:rsidRPr="005E0D94">
              <w:rPr>
                <w:rFonts w:ascii="Arial" w:eastAsia="Times New Roman" w:hAnsi="Arial" w:cs="Arial"/>
                <w:color w:val="000000"/>
                <w:lang w:eastAsia="it-IT"/>
              </w:rPr>
              <w:t>/</w:t>
            </w:r>
            <w:proofErr w:type="spellStart"/>
            <w:r w:rsidRPr="005E0D94">
              <w:rPr>
                <w:rFonts w:ascii="Arial" w:eastAsia="Times New Roman" w:hAnsi="Arial" w:cs="Arial"/>
                <w:color w:val="000000"/>
                <w:lang w:eastAsia="it-IT"/>
              </w:rPr>
              <w:t>Antimycin</w:t>
            </w:r>
            <w:proofErr w:type="spellEnd"/>
            <w:r w:rsidRPr="005E0D94">
              <w:rPr>
                <w:rFonts w:ascii="Arial" w:eastAsia="Times New Roman" w:hAnsi="Arial" w:cs="Arial"/>
                <w:color w:val="000000"/>
                <w:lang w:eastAsia="it-IT"/>
              </w:rPr>
              <w:t xml:space="preserve"> A (Rot/AA)</w:t>
            </w:r>
          </w:p>
        </w:tc>
        <w:tc>
          <w:tcPr>
            <w:tcW w:w="1657" w:type="dxa"/>
            <w:tcBorders>
              <w:bottom w:val="single" w:sz="4" w:space="0" w:color="auto"/>
            </w:tcBorders>
            <w:tcMar>
              <w:top w:w="15" w:type="dxa"/>
              <w:left w:w="15" w:type="dxa"/>
              <w:bottom w:w="15" w:type="dxa"/>
              <w:right w:w="15" w:type="dxa"/>
            </w:tcMar>
            <w:vAlign w:val="center"/>
            <w:hideMark/>
          </w:tcPr>
          <w:p w14:paraId="26EF4C3F"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0.5 µM</w:t>
            </w:r>
          </w:p>
        </w:tc>
        <w:tc>
          <w:tcPr>
            <w:tcW w:w="2635" w:type="dxa"/>
            <w:gridSpan w:val="2"/>
            <w:tcBorders>
              <w:bottom w:val="single" w:sz="4" w:space="0" w:color="auto"/>
              <w:right w:val="single" w:sz="4" w:space="0" w:color="auto"/>
            </w:tcBorders>
            <w:tcMar>
              <w:top w:w="15" w:type="dxa"/>
              <w:left w:w="15" w:type="dxa"/>
              <w:bottom w:w="15" w:type="dxa"/>
              <w:right w:w="15" w:type="dxa"/>
            </w:tcMar>
            <w:vAlign w:val="center"/>
            <w:hideMark/>
          </w:tcPr>
          <w:p w14:paraId="454CD9C3"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Sigma-Merck</w:t>
            </w:r>
          </w:p>
        </w:tc>
      </w:tr>
      <w:tr w:rsidR="005E0D94" w:rsidRPr="005E0D94" w14:paraId="5568D5B0" w14:textId="77777777" w:rsidTr="00572B7E">
        <w:trPr>
          <w:trHeight w:val="285"/>
        </w:trPr>
        <w:tc>
          <w:tcPr>
            <w:tcW w:w="2004" w:type="dxa"/>
            <w:vMerge w:val="restart"/>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hideMark/>
          </w:tcPr>
          <w:p w14:paraId="46BD77D4" w14:textId="77777777" w:rsidR="005E0D94" w:rsidRPr="005E0D94" w:rsidRDefault="005E0D94" w:rsidP="005E0D94">
            <w:pPr>
              <w:jc w:val="center"/>
              <w:rPr>
                <w:rFonts w:ascii="Arial" w:eastAsia="Times New Roman" w:hAnsi="Arial" w:cs="Arial"/>
                <w:lang w:eastAsia="it-IT"/>
              </w:rPr>
            </w:pPr>
            <w:proofErr w:type="spellStart"/>
            <w:r w:rsidRPr="005E0D94">
              <w:rPr>
                <w:rFonts w:ascii="Arial" w:eastAsia="Times New Roman" w:hAnsi="Arial" w:cs="Arial"/>
                <w:b/>
                <w:bCs/>
                <w:color w:val="000000"/>
                <w:lang w:eastAsia="it-IT"/>
              </w:rPr>
              <w:t>Palmitate</w:t>
            </w:r>
            <w:proofErr w:type="spellEnd"/>
            <w:r w:rsidRPr="005E0D94">
              <w:rPr>
                <w:rFonts w:ascii="Arial" w:eastAsia="Times New Roman" w:hAnsi="Arial" w:cs="Arial"/>
                <w:b/>
                <w:bCs/>
                <w:color w:val="000000"/>
                <w:lang w:eastAsia="it-IT"/>
              </w:rPr>
              <w:t xml:space="preserve"> </w:t>
            </w:r>
            <w:proofErr w:type="gramStart"/>
            <w:r w:rsidRPr="005E0D94">
              <w:rPr>
                <w:rFonts w:ascii="Arial" w:eastAsia="Times New Roman" w:hAnsi="Arial" w:cs="Arial"/>
                <w:b/>
                <w:bCs/>
                <w:color w:val="000000"/>
                <w:lang w:eastAsia="it-IT"/>
              </w:rPr>
              <w:t>Oxidation  Stress</w:t>
            </w:r>
            <w:proofErr w:type="gramEnd"/>
            <w:r w:rsidRPr="005E0D94">
              <w:rPr>
                <w:rFonts w:ascii="Arial" w:eastAsia="Times New Roman" w:hAnsi="Arial" w:cs="Arial"/>
                <w:b/>
                <w:bCs/>
                <w:color w:val="000000"/>
                <w:lang w:eastAsia="it-IT"/>
              </w:rPr>
              <w:t xml:space="preserve"> Test</w:t>
            </w:r>
          </w:p>
        </w:tc>
        <w:tc>
          <w:tcPr>
            <w:tcW w:w="2910" w:type="dxa"/>
            <w:tcBorders>
              <w:top w:val="single" w:sz="4" w:space="0" w:color="auto"/>
              <w:left w:val="single" w:sz="4" w:space="0" w:color="auto"/>
            </w:tcBorders>
            <w:tcMar>
              <w:top w:w="60" w:type="dxa"/>
              <w:left w:w="60" w:type="dxa"/>
              <w:bottom w:w="60" w:type="dxa"/>
              <w:right w:w="60" w:type="dxa"/>
            </w:tcMar>
            <w:hideMark/>
          </w:tcPr>
          <w:p w14:paraId="6DAADA27"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 xml:space="preserve">L-Carnitine </w:t>
            </w:r>
            <w:proofErr w:type="spellStart"/>
            <w:r w:rsidRPr="005E0D94">
              <w:rPr>
                <w:rFonts w:ascii="Arial" w:eastAsia="Times New Roman" w:hAnsi="Arial" w:cs="Arial"/>
                <w:color w:val="000000"/>
                <w:lang w:eastAsia="it-IT"/>
              </w:rPr>
              <w:t>hydrochloride</w:t>
            </w:r>
            <w:proofErr w:type="spellEnd"/>
            <w:r w:rsidRPr="005E0D94">
              <w:rPr>
                <w:rFonts w:ascii="Arial" w:eastAsia="Times New Roman" w:hAnsi="Arial" w:cs="Arial"/>
                <w:color w:val="000000"/>
                <w:lang w:eastAsia="it-IT"/>
              </w:rPr>
              <w:t> </w:t>
            </w:r>
          </w:p>
        </w:tc>
        <w:tc>
          <w:tcPr>
            <w:tcW w:w="1657" w:type="dxa"/>
            <w:tcBorders>
              <w:top w:val="single" w:sz="4" w:space="0" w:color="auto"/>
            </w:tcBorders>
            <w:tcMar>
              <w:top w:w="60" w:type="dxa"/>
              <w:left w:w="60" w:type="dxa"/>
              <w:bottom w:w="60" w:type="dxa"/>
              <w:right w:w="60" w:type="dxa"/>
            </w:tcMar>
            <w:hideMark/>
          </w:tcPr>
          <w:p w14:paraId="4E7FF7B6"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0.5 mM</w:t>
            </w:r>
          </w:p>
        </w:tc>
        <w:tc>
          <w:tcPr>
            <w:tcW w:w="2635" w:type="dxa"/>
            <w:gridSpan w:val="2"/>
            <w:tcBorders>
              <w:top w:val="single" w:sz="4" w:space="0" w:color="auto"/>
              <w:right w:val="single" w:sz="4" w:space="0" w:color="auto"/>
            </w:tcBorders>
            <w:tcMar>
              <w:top w:w="15" w:type="dxa"/>
              <w:left w:w="15" w:type="dxa"/>
              <w:bottom w:w="15" w:type="dxa"/>
              <w:right w:w="15" w:type="dxa"/>
            </w:tcMar>
            <w:vAlign w:val="center"/>
            <w:hideMark/>
          </w:tcPr>
          <w:p w14:paraId="1E4EF063"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Sigma-Merck</w:t>
            </w:r>
          </w:p>
        </w:tc>
      </w:tr>
      <w:tr w:rsidR="005E0D94" w:rsidRPr="005E0D94" w14:paraId="31E52659" w14:textId="77777777" w:rsidTr="00572B7E">
        <w:trPr>
          <w:trHeight w:val="210"/>
        </w:trPr>
        <w:tc>
          <w:tcPr>
            <w:tcW w:w="0" w:type="auto"/>
            <w:vMerge/>
            <w:tcBorders>
              <w:top w:val="single" w:sz="6" w:space="0" w:color="000000"/>
              <w:left w:val="single" w:sz="6" w:space="0" w:color="000000"/>
              <w:bottom w:val="single" w:sz="6" w:space="0" w:color="000000"/>
              <w:right w:val="single" w:sz="4" w:space="0" w:color="auto"/>
            </w:tcBorders>
            <w:vAlign w:val="center"/>
            <w:hideMark/>
          </w:tcPr>
          <w:p w14:paraId="31DAA4F8" w14:textId="77777777" w:rsidR="005E0D94" w:rsidRPr="005E0D94" w:rsidRDefault="005E0D94" w:rsidP="005E0D94">
            <w:pPr>
              <w:rPr>
                <w:rFonts w:ascii="Arial" w:eastAsia="Times New Roman" w:hAnsi="Arial" w:cs="Arial"/>
                <w:lang w:eastAsia="it-IT"/>
              </w:rPr>
            </w:pPr>
          </w:p>
        </w:tc>
        <w:tc>
          <w:tcPr>
            <w:tcW w:w="2910" w:type="dxa"/>
            <w:tcBorders>
              <w:left w:val="single" w:sz="4" w:space="0" w:color="auto"/>
            </w:tcBorders>
            <w:tcMar>
              <w:top w:w="15" w:type="dxa"/>
              <w:left w:w="15" w:type="dxa"/>
              <w:bottom w:w="15" w:type="dxa"/>
              <w:right w:w="15" w:type="dxa"/>
            </w:tcMar>
            <w:vAlign w:val="center"/>
            <w:hideMark/>
          </w:tcPr>
          <w:p w14:paraId="2BF78461"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HEPES</w:t>
            </w:r>
          </w:p>
        </w:tc>
        <w:tc>
          <w:tcPr>
            <w:tcW w:w="1657" w:type="dxa"/>
            <w:tcMar>
              <w:top w:w="15" w:type="dxa"/>
              <w:left w:w="15" w:type="dxa"/>
              <w:bottom w:w="15" w:type="dxa"/>
              <w:right w:w="15" w:type="dxa"/>
            </w:tcMar>
            <w:vAlign w:val="center"/>
            <w:hideMark/>
          </w:tcPr>
          <w:p w14:paraId="519E3F40"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5 mM</w:t>
            </w:r>
          </w:p>
        </w:tc>
        <w:tc>
          <w:tcPr>
            <w:tcW w:w="2635" w:type="dxa"/>
            <w:gridSpan w:val="2"/>
            <w:tcBorders>
              <w:right w:val="single" w:sz="4" w:space="0" w:color="auto"/>
            </w:tcBorders>
            <w:tcMar>
              <w:top w:w="15" w:type="dxa"/>
              <w:left w:w="15" w:type="dxa"/>
              <w:bottom w:w="15" w:type="dxa"/>
              <w:right w:w="15" w:type="dxa"/>
            </w:tcMar>
            <w:vAlign w:val="center"/>
            <w:hideMark/>
          </w:tcPr>
          <w:p w14:paraId="3EED5510"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Sigma-Merck</w:t>
            </w:r>
          </w:p>
        </w:tc>
      </w:tr>
      <w:tr w:rsidR="005E0D94" w:rsidRPr="005E0D94" w14:paraId="6953B07F" w14:textId="77777777" w:rsidTr="00572B7E">
        <w:trPr>
          <w:trHeight w:val="195"/>
        </w:trPr>
        <w:tc>
          <w:tcPr>
            <w:tcW w:w="0" w:type="auto"/>
            <w:vMerge/>
            <w:tcBorders>
              <w:top w:val="single" w:sz="6" w:space="0" w:color="000000"/>
              <w:left w:val="single" w:sz="6" w:space="0" w:color="000000"/>
              <w:bottom w:val="single" w:sz="6" w:space="0" w:color="000000"/>
              <w:right w:val="single" w:sz="4" w:space="0" w:color="auto"/>
            </w:tcBorders>
            <w:vAlign w:val="center"/>
            <w:hideMark/>
          </w:tcPr>
          <w:p w14:paraId="3EFCEE83" w14:textId="77777777" w:rsidR="005E0D94" w:rsidRPr="005E0D94" w:rsidRDefault="005E0D94" w:rsidP="005E0D94">
            <w:pPr>
              <w:rPr>
                <w:rFonts w:ascii="Arial" w:eastAsia="Times New Roman" w:hAnsi="Arial" w:cs="Arial"/>
                <w:lang w:eastAsia="it-IT"/>
              </w:rPr>
            </w:pPr>
          </w:p>
        </w:tc>
        <w:tc>
          <w:tcPr>
            <w:tcW w:w="2910" w:type="dxa"/>
            <w:tcBorders>
              <w:left w:val="single" w:sz="4" w:space="0" w:color="auto"/>
            </w:tcBorders>
            <w:tcMar>
              <w:top w:w="15" w:type="dxa"/>
              <w:left w:w="15" w:type="dxa"/>
              <w:bottom w:w="15" w:type="dxa"/>
              <w:right w:w="15" w:type="dxa"/>
            </w:tcMar>
            <w:vAlign w:val="center"/>
            <w:hideMark/>
          </w:tcPr>
          <w:p w14:paraId="0856EAB0" w14:textId="77777777" w:rsidR="005E0D94" w:rsidRPr="005E0D94" w:rsidRDefault="005E0D94" w:rsidP="005E0D94">
            <w:pPr>
              <w:jc w:val="center"/>
              <w:rPr>
                <w:rFonts w:ascii="Arial" w:eastAsia="Times New Roman" w:hAnsi="Arial" w:cs="Arial"/>
                <w:lang w:eastAsia="it-IT"/>
              </w:rPr>
            </w:pPr>
            <w:proofErr w:type="spellStart"/>
            <w:r w:rsidRPr="005E0D94">
              <w:rPr>
                <w:rFonts w:ascii="Arial" w:eastAsia="Times New Roman" w:hAnsi="Arial" w:cs="Arial"/>
                <w:color w:val="000000"/>
                <w:lang w:eastAsia="it-IT"/>
              </w:rPr>
              <w:t>Palmitate</w:t>
            </w:r>
            <w:proofErr w:type="spellEnd"/>
            <w:r w:rsidRPr="005E0D94">
              <w:rPr>
                <w:rFonts w:ascii="Arial" w:eastAsia="Times New Roman" w:hAnsi="Arial" w:cs="Arial"/>
                <w:color w:val="000000"/>
                <w:lang w:eastAsia="it-IT"/>
              </w:rPr>
              <w:t>-BSA</w:t>
            </w:r>
          </w:p>
        </w:tc>
        <w:tc>
          <w:tcPr>
            <w:tcW w:w="1657" w:type="dxa"/>
            <w:tcMar>
              <w:top w:w="15" w:type="dxa"/>
              <w:left w:w="15" w:type="dxa"/>
              <w:bottom w:w="15" w:type="dxa"/>
              <w:right w:w="15" w:type="dxa"/>
            </w:tcMar>
            <w:vAlign w:val="center"/>
            <w:hideMark/>
          </w:tcPr>
          <w:p w14:paraId="09762647"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100 µM</w:t>
            </w:r>
          </w:p>
        </w:tc>
        <w:tc>
          <w:tcPr>
            <w:tcW w:w="2635" w:type="dxa"/>
            <w:gridSpan w:val="2"/>
            <w:tcBorders>
              <w:right w:val="single" w:sz="4" w:space="0" w:color="auto"/>
            </w:tcBorders>
            <w:tcMar>
              <w:top w:w="15" w:type="dxa"/>
              <w:left w:w="15" w:type="dxa"/>
              <w:bottom w:w="15" w:type="dxa"/>
              <w:right w:w="15" w:type="dxa"/>
            </w:tcMar>
            <w:vAlign w:val="center"/>
            <w:hideMark/>
          </w:tcPr>
          <w:p w14:paraId="14A71816"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Sigma-Merck</w:t>
            </w:r>
          </w:p>
        </w:tc>
      </w:tr>
      <w:tr w:rsidR="005E0D94" w:rsidRPr="005E0D94" w14:paraId="3902B7BA" w14:textId="77777777" w:rsidTr="00572B7E">
        <w:trPr>
          <w:trHeight w:val="210"/>
        </w:trPr>
        <w:tc>
          <w:tcPr>
            <w:tcW w:w="0" w:type="auto"/>
            <w:vMerge/>
            <w:tcBorders>
              <w:top w:val="single" w:sz="6" w:space="0" w:color="000000"/>
              <w:left w:val="single" w:sz="6" w:space="0" w:color="000000"/>
              <w:bottom w:val="single" w:sz="6" w:space="0" w:color="000000"/>
              <w:right w:val="single" w:sz="4" w:space="0" w:color="auto"/>
            </w:tcBorders>
            <w:vAlign w:val="center"/>
            <w:hideMark/>
          </w:tcPr>
          <w:p w14:paraId="4AA6F44B" w14:textId="77777777" w:rsidR="005E0D94" w:rsidRPr="005E0D94" w:rsidRDefault="005E0D94" w:rsidP="005E0D94">
            <w:pPr>
              <w:rPr>
                <w:rFonts w:ascii="Arial" w:eastAsia="Times New Roman" w:hAnsi="Arial" w:cs="Arial"/>
                <w:lang w:eastAsia="it-IT"/>
              </w:rPr>
            </w:pPr>
          </w:p>
        </w:tc>
        <w:tc>
          <w:tcPr>
            <w:tcW w:w="2910" w:type="dxa"/>
            <w:tcBorders>
              <w:left w:val="single" w:sz="4" w:space="0" w:color="auto"/>
            </w:tcBorders>
            <w:tcMar>
              <w:top w:w="15" w:type="dxa"/>
              <w:left w:w="15" w:type="dxa"/>
              <w:bottom w:w="15" w:type="dxa"/>
              <w:right w:w="15" w:type="dxa"/>
            </w:tcMar>
            <w:vAlign w:val="center"/>
            <w:hideMark/>
          </w:tcPr>
          <w:p w14:paraId="01F6BA44"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BSA control</w:t>
            </w:r>
          </w:p>
        </w:tc>
        <w:tc>
          <w:tcPr>
            <w:tcW w:w="1657" w:type="dxa"/>
            <w:tcMar>
              <w:top w:w="15" w:type="dxa"/>
              <w:left w:w="15" w:type="dxa"/>
              <w:bottom w:w="15" w:type="dxa"/>
              <w:right w:w="15" w:type="dxa"/>
            </w:tcMar>
            <w:vAlign w:val="center"/>
            <w:hideMark/>
          </w:tcPr>
          <w:p w14:paraId="71546E15"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100 µM</w:t>
            </w:r>
          </w:p>
        </w:tc>
        <w:tc>
          <w:tcPr>
            <w:tcW w:w="2635" w:type="dxa"/>
            <w:gridSpan w:val="2"/>
            <w:tcBorders>
              <w:right w:val="single" w:sz="4" w:space="0" w:color="auto"/>
            </w:tcBorders>
            <w:tcMar>
              <w:top w:w="15" w:type="dxa"/>
              <w:left w:w="15" w:type="dxa"/>
              <w:bottom w:w="15" w:type="dxa"/>
              <w:right w:w="15" w:type="dxa"/>
            </w:tcMar>
            <w:vAlign w:val="center"/>
            <w:hideMark/>
          </w:tcPr>
          <w:p w14:paraId="4F10225A"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Sigma-Merck</w:t>
            </w:r>
          </w:p>
        </w:tc>
      </w:tr>
      <w:tr w:rsidR="005E0D94" w:rsidRPr="005E0D94" w14:paraId="0AF516DC" w14:textId="77777777" w:rsidTr="00572B7E">
        <w:trPr>
          <w:trHeight w:val="420"/>
        </w:trPr>
        <w:tc>
          <w:tcPr>
            <w:tcW w:w="0" w:type="auto"/>
            <w:vMerge/>
            <w:tcBorders>
              <w:top w:val="single" w:sz="6" w:space="0" w:color="000000"/>
              <w:left w:val="single" w:sz="6" w:space="0" w:color="000000"/>
              <w:bottom w:val="single" w:sz="6" w:space="0" w:color="000000"/>
              <w:right w:val="single" w:sz="4" w:space="0" w:color="auto"/>
            </w:tcBorders>
            <w:vAlign w:val="center"/>
            <w:hideMark/>
          </w:tcPr>
          <w:p w14:paraId="384F3D07" w14:textId="77777777" w:rsidR="005E0D94" w:rsidRPr="005E0D94" w:rsidRDefault="005E0D94" w:rsidP="005E0D94">
            <w:pPr>
              <w:rPr>
                <w:rFonts w:ascii="Arial" w:eastAsia="Times New Roman" w:hAnsi="Arial" w:cs="Arial"/>
                <w:lang w:eastAsia="it-IT"/>
              </w:rPr>
            </w:pPr>
          </w:p>
        </w:tc>
        <w:tc>
          <w:tcPr>
            <w:tcW w:w="2910" w:type="dxa"/>
            <w:tcBorders>
              <w:left w:val="single" w:sz="4" w:space="0" w:color="auto"/>
            </w:tcBorders>
            <w:tcMar>
              <w:top w:w="15" w:type="dxa"/>
              <w:left w:w="15" w:type="dxa"/>
              <w:bottom w:w="15" w:type="dxa"/>
              <w:right w:w="15" w:type="dxa"/>
            </w:tcMar>
            <w:vAlign w:val="center"/>
            <w:hideMark/>
          </w:tcPr>
          <w:p w14:paraId="52E502F1" w14:textId="77777777" w:rsidR="005E0D94" w:rsidRPr="005E0D94" w:rsidRDefault="005E0D94" w:rsidP="005E0D94">
            <w:pPr>
              <w:jc w:val="center"/>
              <w:rPr>
                <w:rFonts w:ascii="Arial" w:eastAsia="Times New Roman" w:hAnsi="Arial" w:cs="Arial"/>
                <w:lang w:val="en-US" w:eastAsia="it-IT"/>
              </w:rPr>
            </w:pPr>
            <w:r w:rsidRPr="005E0D94">
              <w:rPr>
                <w:rFonts w:ascii="Arial" w:eastAsia="Times New Roman" w:hAnsi="Arial" w:cs="Arial"/>
                <w:color w:val="000000"/>
                <w:lang w:val="en-US" w:eastAsia="it-IT"/>
              </w:rPr>
              <w:t>Perhexiline maleate salt (CPT1A/2 inhibitor)</w:t>
            </w:r>
          </w:p>
        </w:tc>
        <w:tc>
          <w:tcPr>
            <w:tcW w:w="1657" w:type="dxa"/>
            <w:tcMar>
              <w:top w:w="15" w:type="dxa"/>
              <w:left w:w="15" w:type="dxa"/>
              <w:bottom w:w="15" w:type="dxa"/>
              <w:right w:w="15" w:type="dxa"/>
            </w:tcMar>
            <w:vAlign w:val="center"/>
            <w:hideMark/>
          </w:tcPr>
          <w:p w14:paraId="36AEC9BE"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4 µM</w:t>
            </w:r>
          </w:p>
        </w:tc>
        <w:tc>
          <w:tcPr>
            <w:tcW w:w="2635" w:type="dxa"/>
            <w:gridSpan w:val="2"/>
            <w:tcBorders>
              <w:right w:val="single" w:sz="4" w:space="0" w:color="auto"/>
            </w:tcBorders>
            <w:tcMar>
              <w:top w:w="15" w:type="dxa"/>
              <w:left w:w="15" w:type="dxa"/>
              <w:bottom w:w="15" w:type="dxa"/>
              <w:right w:w="15" w:type="dxa"/>
            </w:tcMar>
            <w:vAlign w:val="center"/>
            <w:hideMark/>
          </w:tcPr>
          <w:p w14:paraId="6A7E50F7"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Sigma-Merck</w:t>
            </w:r>
          </w:p>
        </w:tc>
      </w:tr>
      <w:tr w:rsidR="005E0D94" w:rsidRPr="005E0D94" w14:paraId="3FE91E9E" w14:textId="77777777" w:rsidTr="00572B7E">
        <w:trPr>
          <w:trHeight w:val="195"/>
        </w:trPr>
        <w:tc>
          <w:tcPr>
            <w:tcW w:w="0" w:type="auto"/>
            <w:vMerge/>
            <w:tcBorders>
              <w:top w:val="single" w:sz="6" w:space="0" w:color="000000"/>
              <w:left w:val="single" w:sz="6" w:space="0" w:color="000000"/>
              <w:bottom w:val="single" w:sz="6" w:space="0" w:color="000000"/>
              <w:right w:val="single" w:sz="4" w:space="0" w:color="auto"/>
            </w:tcBorders>
            <w:vAlign w:val="center"/>
            <w:hideMark/>
          </w:tcPr>
          <w:p w14:paraId="777AA473" w14:textId="77777777" w:rsidR="005E0D94" w:rsidRPr="005E0D94" w:rsidRDefault="005E0D94" w:rsidP="005E0D94">
            <w:pPr>
              <w:rPr>
                <w:rFonts w:ascii="Arial" w:eastAsia="Times New Roman" w:hAnsi="Arial" w:cs="Arial"/>
                <w:lang w:eastAsia="it-IT"/>
              </w:rPr>
            </w:pPr>
          </w:p>
        </w:tc>
        <w:tc>
          <w:tcPr>
            <w:tcW w:w="2910" w:type="dxa"/>
            <w:tcBorders>
              <w:left w:val="single" w:sz="4" w:space="0" w:color="auto"/>
            </w:tcBorders>
            <w:tcMar>
              <w:top w:w="15" w:type="dxa"/>
              <w:left w:w="15" w:type="dxa"/>
              <w:bottom w:w="15" w:type="dxa"/>
              <w:right w:w="15" w:type="dxa"/>
            </w:tcMar>
            <w:vAlign w:val="center"/>
            <w:hideMark/>
          </w:tcPr>
          <w:p w14:paraId="3703C843" w14:textId="77777777" w:rsidR="005E0D94" w:rsidRPr="005E0D94" w:rsidRDefault="005E0D94" w:rsidP="005E0D94">
            <w:pPr>
              <w:jc w:val="center"/>
              <w:rPr>
                <w:rFonts w:ascii="Arial" w:eastAsia="Times New Roman" w:hAnsi="Arial" w:cs="Arial"/>
                <w:lang w:eastAsia="it-IT"/>
              </w:rPr>
            </w:pPr>
            <w:proofErr w:type="spellStart"/>
            <w:r w:rsidRPr="005E0D94">
              <w:rPr>
                <w:rFonts w:ascii="Arial" w:eastAsia="Times New Roman" w:hAnsi="Arial" w:cs="Arial"/>
                <w:color w:val="000000"/>
                <w:lang w:eastAsia="it-IT"/>
              </w:rPr>
              <w:t>Oligomycin</w:t>
            </w:r>
            <w:proofErr w:type="spellEnd"/>
          </w:p>
        </w:tc>
        <w:tc>
          <w:tcPr>
            <w:tcW w:w="1657" w:type="dxa"/>
            <w:tcMar>
              <w:top w:w="15" w:type="dxa"/>
              <w:left w:w="15" w:type="dxa"/>
              <w:bottom w:w="15" w:type="dxa"/>
              <w:right w:w="15" w:type="dxa"/>
            </w:tcMar>
            <w:vAlign w:val="center"/>
            <w:hideMark/>
          </w:tcPr>
          <w:p w14:paraId="27268F2E"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3 µM</w:t>
            </w:r>
          </w:p>
        </w:tc>
        <w:tc>
          <w:tcPr>
            <w:tcW w:w="2635" w:type="dxa"/>
            <w:gridSpan w:val="2"/>
            <w:tcBorders>
              <w:right w:val="single" w:sz="4" w:space="0" w:color="auto"/>
            </w:tcBorders>
            <w:tcMar>
              <w:top w:w="15" w:type="dxa"/>
              <w:left w:w="15" w:type="dxa"/>
              <w:bottom w:w="15" w:type="dxa"/>
              <w:right w:w="15" w:type="dxa"/>
            </w:tcMar>
            <w:vAlign w:val="center"/>
            <w:hideMark/>
          </w:tcPr>
          <w:p w14:paraId="0D4F8D37"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Sigma-Merck</w:t>
            </w:r>
          </w:p>
        </w:tc>
      </w:tr>
      <w:tr w:rsidR="005E0D94" w:rsidRPr="005E0D94" w14:paraId="13154DFF" w14:textId="77777777" w:rsidTr="00572B7E">
        <w:trPr>
          <w:trHeight w:val="210"/>
        </w:trPr>
        <w:tc>
          <w:tcPr>
            <w:tcW w:w="0" w:type="auto"/>
            <w:vMerge/>
            <w:tcBorders>
              <w:top w:val="single" w:sz="6" w:space="0" w:color="000000"/>
              <w:left w:val="single" w:sz="6" w:space="0" w:color="000000"/>
              <w:bottom w:val="single" w:sz="6" w:space="0" w:color="000000"/>
              <w:right w:val="single" w:sz="4" w:space="0" w:color="auto"/>
            </w:tcBorders>
            <w:vAlign w:val="center"/>
            <w:hideMark/>
          </w:tcPr>
          <w:p w14:paraId="6D48709B" w14:textId="77777777" w:rsidR="005E0D94" w:rsidRPr="005E0D94" w:rsidRDefault="005E0D94" w:rsidP="005E0D94">
            <w:pPr>
              <w:rPr>
                <w:rFonts w:ascii="Arial" w:eastAsia="Times New Roman" w:hAnsi="Arial" w:cs="Arial"/>
                <w:lang w:eastAsia="it-IT"/>
              </w:rPr>
            </w:pPr>
          </w:p>
        </w:tc>
        <w:tc>
          <w:tcPr>
            <w:tcW w:w="2910" w:type="dxa"/>
            <w:tcBorders>
              <w:left w:val="single" w:sz="4" w:space="0" w:color="auto"/>
            </w:tcBorders>
            <w:tcMar>
              <w:top w:w="15" w:type="dxa"/>
              <w:left w:w="15" w:type="dxa"/>
              <w:bottom w:w="15" w:type="dxa"/>
              <w:right w:w="15" w:type="dxa"/>
            </w:tcMar>
            <w:vAlign w:val="center"/>
            <w:hideMark/>
          </w:tcPr>
          <w:p w14:paraId="0F14E904"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FCCP</w:t>
            </w:r>
          </w:p>
        </w:tc>
        <w:tc>
          <w:tcPr>
            <w:tcW w:w="1657" w:type="dxa"/>
            <w:tcMar>
              <w:top w:w="15" w:type="dxa"/>
              <w:left w:w="15" w:type="dxa"/>
              <w:bottom w:w="15" w:type="dxa"/>
              <w:right w:w="15" w:type="dxa"/>
            </w:tcMar>
            <w:vAlign w:val="center"/>
            <w:hideMark/>
          </w:tcPr>
          <w:p w14:paraId="303BF7ED"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2 µM</w:t>
            </w:r>
          </w:p>
        </w:tc>
        <w:tc>
          <w:tcPr>
            <w:tcW w:w="2635" w:type="dxa"/>
            <w:gridSpan w:val="2"/>
            <w:tcBorders>
              <w:right w:val="single" w:sz="4" w:space="0" w:color="auto"/>
            </w:tcBorders>
            <w:tcMar>
              <w:top w:w="15" w:type="dxa"/>
              <w:left w:w="15" w:type="dxa"/>
              <w:bottom w:w="15" w:type="dxa"/>
              <w:right w:w="15" w:type="dxa"/>
            </w:tcMar>
            <w:vAlign w:val="center"/>
            <w:hideMark/>
          </w:tcPr>
          <w:p w14:paraId="07A2FECA"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Sigma-Merck</w:t>
            </w:r>
          </w:p>
        </w:tc>
      </w:tr>
      <w:tr w:rsidR="005E0D94" w:rsidRPr="005E0D94" w14:paraId="586981C7" w14:textId="77777777" w:rsidTr="00572B7E">
        <w:trPr>
          <w:trHeight w:val="210"/>
        </w:trPr>
        <w:tc>
          <w:tcPr>
            <w:tcW w:w="0" w:type="auto"/>
            <w:vMerge/>
            <w:tcBorders>
              <w:top w:val="single" w:sz="6" w:space="0" w:color="000000"/>
              <w:left w:val="single" w:sz="6" w:space="0" w:color="000000"/>
              <w:bottom w:val="single" w:sz="6" w:space="0" w:color="000000"/>
              <w:right w:val="single" w:sz="4" w:space="0" w:color="auto"/>
            </w:tcBorders>
            <w:vAlign w:val="center"/>
            <w:hideMark/>
          </w:tcPr>
          <w:p w14:paraId="335DF579" w14:textId="77777777" w:rsidR="005E0D94" w:rsidRPr="005E0D94" w:rsidRDefault="005E0D94" w:rsidP="005E0D94">
            <w:pPr>
              <w:rPr>
                <w:rFonts w:ascii="Arial" w:eastAsia="Times New Roman" w:hAnsi="Arial" w:cs="Arial"/>
                <w:lang w:eastAsia="it-IT"/>
              </w:rPr>
            </w:pPr>
          </w:p>
        </w:tc>
        <w:tc>
          <w:tcPr>
            <w:tcW w:w="2910" w:type="dxa"/>
            <w:tcBorders>
              <w:left w:val="single" w:sz="4" w:space="0" w:color="auto"/>
              <w:bottom w:val="single" w:sz="4" w:space="0" w:color="auto"/>
            </w:tcBorders>
            <w:tcMar>
              <w:top w:w="15" w:type="dxa"/>
              <w:left w:w="15" w:type="dxa"/>
              <w:bottom w:w="15" w:type="dxa"/>
              <w:right w:w="15" w:type="dxa"/>
            </w:tcMar>
            <w:vAlign w:val="center"/>
            <w:hideMark/>
          </w:tcPr>
          <w:p w14:paraId="369EE186" w14:textId="77777777" w:rsidR="005E0D94" w:rsidRPr="005E0D94" w:rsidRDefault="005E0D94" w:rsidP="005E0D94">
            <w:pPr>
              <w:jc w:val="center"/>
              <w:rPr>
                <w:rFonts w:ascii="Arial" w:eastAsia="Times New Roman" w:hAnsi="Arial" w:cs="Arial"/>
                <w:lang w:eastAsia="it-IT"/>
              </w:rPr>
            </w:pPr>
            <w:proofErr w:type="spellStart"/>
            <w:r w:rsidRPr="005E0D94">
              <w:rPr>
                <w:rFonts w:ascii="Arial" w:eastAsia="Times New Roman" w:hAnsi="Arial" w:cs="Arial"/>
                <w:color w:val="000000"/>
                <w:lang w:eastAsia="it-IT"/>
              </w:rPr>
              <w:t>Rotenone</w:t>
            </w:r>
            <w:proofErr w:type="spellEnd"/>
            <w:r w:rsidRPr="005E0D94">
              <w:rPr>
                <w:rFonts w:ascii="Arial" w:eastAsia="Times New Roman" w:hAnsi="Arial" w:cs="Arial"/>
                <w:color w:val="000000"/>
                <w:lang w:eastAsia="it-IT"/>
              </w:rPr>
              <w:t>/</w:t>
            </w:r>
            <w:proofErr w:type="spellStart"/>
            <w:r w:rsidRPr="005E0D94">
              <w:rPr>
                <w:rFonts w:ascii="Arial" w:eastAsia="Times New Roman" w:hAnsi="Arial" w:cs="Arial"/>
                <w:color w:val="000000"/>
                <w:lang w:eastAsia="it-IT"/>
              </w:rPr>
              <w:t>Antimycin</w:t>
            </w:r>
            <w:proofErr w:type="spellEnd"/>
            <w:r w:rsidRPr="005E0D94">
              <w:rPr>
                <w:rFonts w:ascii="Arial" w:eastAsia="Times New Roman" w:hAnsi="Arial" w:cs="Arial"/>
                <w:color w:val="000000"/>
                <w:lang w:eastAsia="it-IT"/>
              </w:rPr>
              <w:t xml:space="preserve"> A (Rot/AA)</w:t>
            </w:r>
          </w:p>
        </w:tc>
        <w:tc>
          <w:tcPr>
            <w:tcW w:w="1657" w:type="dxa"/>
            <w:tcBorders>
              <w:bottom w:val="single" w:sz="4" w:space="0" w:color="auto"/>
            </w:tcBorders>
            <w:tcMar>
              <w:top w:w="15" w:type="dxa"/>
              <w:left w:w="15" w:type="dxa"/>
              <w:bottom w:w="15" w:type="dxa"/>
              <w:right w:w="15" w:type="dxa"/>
            </w:tcMar>
            <w:vAlign w:val="center"/>
            <w:hideMark/>
          </w:tcPr>
          <w:p w14:paraId="083E9EDC"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5 µM</w:t>
            </w:r>
          </w:p>
        </w:tc>
        <w:tc>
          <w:tcPr>
            <w:tcW w:w="2635" w:type="dxa"/>
            <w:gridSpan w:val="2"/>
            <w:tcBorders>
              <w:bottom w:val="single" w:sz="4" w:space="0" w:color="auto"/>
              <w:right w:val="single" w:sz="4" w:space="0" w:color="auto"/>
            </w:tcBorders>
            <w:tcMar>
              <w:top w:w="15" w:type="dxa"/>
              <w:left w:w="15" w:type="dxa"/>
              <w:bottom w:w="15" w:type="dxa"/>
              <w:right w:w="15" w:type="dxa"/>
            </w:tcMar>
            <w:vAlign w:val="center"/>
            <w:hideMark/>
          </w:tcPr>
          <w:p w14:paraId="656114D8" w14:textId="77777777" w:rsidR="005E0D94" w:rsidRPr="005E0D94" w:rsidRDefault="005E0D94" w:rsidP="005E0D94">
            <w:pPr>
              <w:jc w:val="center"/>
              <w:rPr>
                <w:rFonts w:ascii="Arial" w:eastAsia="Times New Roman" w:hAnsi="Arial" w:cs="Arial"/>
                <w:lang w:eastAsia="it-IT"/>
              </w:rPr>
            </w:pPr>
            <w:r w:rsidRPr="005E0D94">
              <w:rPr>
                <w:rFonts w:ascii="Arial" w:eastAsia="Times New Roman" w:hAnsi="Arial" w:cs="Arial"/>
                <w:color w:val="000000"/>
                <w:lang w:eastAsia="it-IT"/>
              </w:rPr>
              <w:t>Sigma-Merck</w:t>
            </w:r>
          </w:p>
        </w:tc>
      </w:tr>
    </w:tbl>
    <w:p w14:paraId="62A48AEE" w14:textId="77777777" w:rsidR="00572B7E" w:rsidRPr="003D580C" w:rsidRDefault="00572B7E">
      <w:pPr>
        <w:rPr>
          <w:rFonts w:ascii="Arial" w:hAnsi="Arial" w:cs="Arial"/>
          <w:lang w:val="en-US"/>
        </w:rPr>
      </w:pPr>
    </w:p>
    <w:p w14:paraId="5D72ABEB" w14:textId="7FF5FFF9" w:rsidR="00572B7E" w:rsidRPr="003D580C" w:rsidRDefault="00572B7E">
      <w:pPr>
        <w:rPr>
          <w:rFonts w:ascii="Arial" w:hAnsi="Arial" w:cs="Arial"/>
          <w:lang w:val="en-US"/>
        </w:rPr>
      </w:pPr>
      <w:r w:rsidRPr="003D580C">
        <w:rPr>
          <w:rFonts w:ascii="Arial" w:hAnsi="Arial" w:cs="Arial"/>
          <w:lang w:val="en-US"/>
        </w:rPr>
        <w:t>Table SM</w:t>
      </w:r>
      <w:r w:rsidR="000B4824">
        <w:rPr>
          <w:rFonts w:ascii="Arial" w:hAnsi="Arial" w:cs="Arial"/>
          <w:lang w:val="en-US"/>
        </w:rPr>
        <w:t>4</w:t>
      </w:r>
      <w:r w:rsidRPr="003D580C">
        <w:rPr>
          <w:rFonts w:ascii="Arial" w:hAnsi="Arial" w:cs="Arial"/>
          <w:lang w:val="en-US"/>
        </w:rPr>
        <w:t>: Injections, concentrations, and sources of drugs and compounds used in Seahorse metabolic assays</w:t>
      </w:r>
    </w:p>
    <w:p w14:paraId="133A3FF3" w14:textId="77777777" w:rsidR="003A5272" w:rsidRPr="003D580C" w:rsidRDefault="003A5272">
      <w:pPr>
        <w:rPr>
          <w:rFonts w:ascii="Arial" w:hAnsi="Arial" w:cs="Arial"/>
          <w:lang w:val="en-US"/>
        </w:rPr>
      </w:pPr>
    </w:p>
    <w:tbl>
      <w:tblPr>
        <w:tblW w:w="9204" w:type="dxa"/>
        <w:tblLayout w:type="fixed"/>
        <w:tblCellMar>
          <w:top w:w="15" w:type="dxa"/>
          <w:left w:w="15" w:type="dxa"/>
          <w:bottom w:w="15" w:type="dxa"/>
          <w:right w:w="15" w:type="dxa"/>
        </w:tblCellMar>
        <w:tblLook w:val="0400" w:firstRow="0" w:lastRow="0" w:firstColumn="0" w:lastColumn="0" w:noHBand="0" w:noVBand="1"/>
      </w:tblPr>
      <w:tblGrid>
        <w:gridCol w:w="1067"/>
        <w:gridCol w:w="3885"/>
        <w:gridCol w:w="4252"/>
      </w:tblGrid>
      <w:tr w:rsidR="003A5272" w:rsidRPr="003D580C" w14:paraId="5DEC1045" w14:textId="77777777" w:rsidTr="003A5272">
        <w:trPr>
          <w:trHeight w:val="506"/>
        </w:trPr>
        <w:tc>
          <w:tcPr>
            <w:tcW w:w="10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B3FE22" w14:textId="77777777" w:rsidR="003A5272" w:rsidRPr="003D580C" w:rsidRDefault="003A5272" w:rsidP="009D2887">
            <w:pPr>
              <w:spacing w:line="360" w:lineRule="auto"/>
              <w:jc w:val="both"/>
              <w:rPr>
                <w:rFonts w:ascii="Arial" w:hAnsi="Arial" w:cs="Arial"/>
                <w:b/>
                <w:bCs/>
              </w:rPr>
            </w:pPr>
            <w:r w:rsidRPr="003D580C">
              <w:rPr>
                <w:rFonts w:ascii="Arial" w:hAnsi="Arial" w:cs="Arial"/>
                <w:b/>
                <w:bCs/>
              </w:rPr>
              <w:lastRenderedPageBreak/>
              <w:t>Gene</w:t>
            </w:r>
          </w:p>
        </w:tc>
        <w:tc>
          <w:tcPr>
            <w:tcW w:w="3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29224F" w14:textId="77777777" w:rsidR="003A5272" w:rsidRPr="003D580C" w:rsidRDefault="003A5272" w:rsidP="009D2887">
            <w:pPr>
              <w:spacing w:line="360" w:lineRule="auto"/>
              <w:jc w:val="both"/>
              <w:rPr>
                <w:rFonts w:ascii="Arial" w:hAnsi="Arial" w:cs="Arial"/>
                <w:b/>
                <w:bCs/>
              </w:rPr>
            </w:pPr>
            <w:proofErr w:type="spellStart"/>
            <w:r w:rsidRPr="003D580C">
              <w:rPr>
                <w:rFonts w:ascii="Arial" w:hAnsi="Arial" w:cs="Arial"/>
                <w:b/>
                <w:bCs/>
              </w:rPr>
              <w:t>Forward</w:t>
            </w:r>
            <w:proofErr w:type="spellEnd"/>
            <w:r w:rsidRPr="003D580C">
              <w:rPr>
                <w:rFonts w:ascii="Arial" w:hAnsi="Arial" w:cs="Arial"/>
                <w:b/>
                <w:bCs/>
              </w:rPr>
              <w:t xml:space="preserve"> primer (5’–3’)</w:t>
            </w:r>
          </w:p>
        </w:tc>
        <w:tc>
          <w:tcPr>
            <w:tcW w:w="4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16273D" w14:textId="77777777" w:rsidR="003A5272" w:rsidRPr="003D580C" w:rsidRDefault="003A5272" w:rsidP="009D2887">
            <w:pPr>
              <w:spacing w:line="360" w:lineRule="auto"/>
              <w:jc w:val="both"/>
              <w:rPr>
                <w:rFonts w:ascii="Arial" w:hAnsi="Arial" w:cs="Arial"/>
                <w:b/>
                <w:bCs/>
              </w:rPr>
            </w:pPr>
            <w:r w:rsidRPr="003D580C">
              <w:rPr>
                <w:rFonts w:ascii="Arial" w:hAnsi="Arial" w:cs="Arial"/>
                <w:b/>
                <w:bCs/>
              </w:rPr>
              <w:t>Reverse primer (5’–3’)</w:t>
            </w:r>
          </w:p>
        </w:tc>
      </w:tr>
      <w:tr w:rsidR="003A5272" w:rsidRPr="003D580C" w14:paraId="674B27ED" w14:textId="77777777" w:rsidTr="003A5272">
        <w:tc>
          <w:tcPr>
            <w:tcW w:w="10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392159" w14:textId="77777777" w:rsidR="003A5272" w:rsidRPr="003D580C" w:rsidRDefault="003A5272" w:rsidP="009D2887">
            <w:pPr>
              <w:spacing w:line="360" w:lineRule="auto"/>
              <w:jc w:val="both"/>
              <w:rPr>
                <w:rFonts w:ascii="Arial" w:hAnsi="Arial" w:cs="Arial"/>
                <w:b/>
                <w:bCs/>
              </w:rPr>
            </w:pPr>
            <w:r w:rsidRPr="003D580C">
              <w:rPr>
                <w:rFonts w:ascii="Arial" w:hAnsi="Arial" w:cs="Arial"/>
                <w:b/>
                <w:bCs/>
              </w:rPr>
              <w:t>GPX4</w:t>
            </w:r>
          </w:p>
        </w:tc>
        <w:tc>
          <w:tcPr>
            <w:tcW w:w="3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C13DF4" w14:textId="77777777" w:rsidR="003A5272" w:rsidRPr="003D580C" w:rsidRDefault="003A5272" w:rsidP="009D2887">
            <w:pPr>
              <w:spacing w:line="360" w:lineRule="auto"/>
              <w:jc w:val="both"/>
              <w:rPr>
                <w:rFonts w:ascii="Arial" w:hAnsi="Arial" w:cs="Arial"/>
              </w:rPr>
            </w:pPr>
            <w:r w:rsidRPr="003D580C">
              <w:rPr>
                <w:rFonts w:ascii="Arial" w:hAnsi="Arial" w:cs="Arial"/>
              </w:rPr>
              <w:t>CCTGGACAAGTACCGGGGCT</w:t>
            </w:r>
          </w:p>
        </w:tc>
        <w:tc>
          <w:tcPr>
            <w:tcW w:w="4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72A5B0" w14:textId="77777777" w:rsidR="003A5272" w:rsidRPr="003D580C" w:rsidRDefault="003A5272" w:rsidP="009D2887">
            <w:pPr>
              <w:spacing w:line="360" w:lineRule="auto"/>
              <w:jc w:val="both"/>
              <w:rPr>
                <w:rFonts w:ascii="Arial" w:hAnsi="Arial" w:cs="Arial"/>
              </w:rPr>
            </w:pPr>
            <w:r w:rsidRPr="003D580C">
              <w:rPr>
                <w:rFonts w:ascii="Arial" w:hAnsi="Arial" w:cs="Arial"/>
              </w:rPr>
              <w:t>AAACCACACTCAGCGTATCG</w:t>
            </w:r>
          </w:p>
        </w:tc>
      </w:tr>
      <w:tr w:rsidR="003A5272" w:rsidRPr="003D580C" w14:paraId="1B685425" w14:textId="77777777" w:rsidTr="003A5272">
        <w:tc>
          <w:tcPr>
            <w:tcW w:w="10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47AAE1" w14:textId="77777777" w:rsidR="003A5272" w:rsidRPr="003D580C" w:rsidRDefault="003A5272" w:rsidP="009D2887">
            <w:pPr>
              <w:spacing w:line="360" w:lineRule="auto"/>
              <w:jc w:val="both"/>
              <w:rPr>
                <w:rFonts w:ascii="Arial" w:hAnsi="Arial" w:cs="Arial"/>
                <w:b/>
                <w:bCs/>
              </w:rPr>
            </w:pPr>
            <w:r w:rsidRPr="003D580C">
              <w:rPr>
                <w:rFonts w:ascii="Arial" w:hAnsi="Arial" w:cs="Arial"/>
                <w:b/>
                <w:bCs/>
              </w:rPr>
              <w:t>FPS1</w:t>
            </w:r>
          </w:p>
        </w:tc>
        <w:tc>
          <w:tcPr>
            <w:tcW w:w="3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735646" w14:textId="77777777" w:rsidR="003A5272" w:rsidRPr="003D580C" w:rsidRDefault="003A5272" w:rsidP="009D2887">
            <w:pPr>
              <w:spacing w:line="360" w:lineRule="auto"/>
              <w:jc w:val="both"/>
              <w:rPr>
                <w:rFonts w:ascii="Arial" w:hAnsi="Arial" w:cs="Arial"/>
              </w:rPr>
            </w:pPr>
            <w:r w:rsidRPr="003D580C">
              <w:rPr>
                <w:rFonts w:ascii="Arial" w:hAnsi="Arial" w:cs="Arial"/>
              </w:rPr>
              <w:t>ACATGGTGAGGCAGGTCCA</w:t>
            </w:r>
          </w:p>
        </w:tc>
        <w:tc>
          <w:tcPr>
            <w:tcW w:w="4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C1A1C9" w14:textId="77777777" w:rsidR="003A5272" w:rsidRPr="003D580C" w:rsidRDefault="003A5272" w:rsidP="009D2887">
            <w:pPr>
              <w:spacing w:line="360" w:lineRule="auto"/>
              <w:jc w:val="both"/>
              <w:rPr>
                <w:rFonts w:ascii="Arial" w:hAnsi="Arial" w:cs="Arial"/>
              </w:rPr>
            </w:pPr>
            <w:r w:rsidRPr="003D580C">
              <w:rPr>
                <w:rFonts w:ascii="Arial" w:hAnsi="Arial" w:cs="Arial"/>
              </w:rPr>
              <w:t>GCCACTTGGGAGTGAATGAG</w:t>
            </w:r>
          </w:p>
        </w:tc>
      </w:tr>
      <w:tr w:rsidR="003A5272" w:rsidRPr="003D580C" w14:paraId="2ACD7743" w14:textId="77777777" w:rsidTr="003A5272">
        <w:tc>
          <w:tcPr>
            <w:tcW w:w="10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70C4CB" w14:textId="77777777" w:rsidR="003A5272" w:rsidRPr="003D580C" w:rsidRDefault="003A5272" w:rsidP="009D2887">
            <w:pPr>
              <w:spacing w:line="360" w:lineRule="auto"/>
              <w:jc w:val="both"/>
              <w:rPr>
                <w:rFonts w:ascii="Arial" w:hAnsi="Arial" w:cs="Arial"/>
                <w:b/>
                <w:bCs/>
              </w:rPr>
            </w:pPr>
            <w:r w:rsidRPr="003D580C">
              <w:rPr>
                <w:rFonts w:ascii="Arial" w:hAnsi="Arial" w:cs="Arial"/>
                <w:b/>
                <w:bCs/>
              </w:rPr>
              <w:t>NRF2</w:t>
            </w:r>
          </w:p>
        </w:tc>
        <w:tc>
          <w:tcPr>
            <w:tcW w:w="3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3A5FCF" w14:textId="77777777" w:rsidR="003A5272" w:rsidRPr="003D580C" w:rsidRDefault="003A5272" w:rsidP="009D2887">
            <w:pPr>
              <w:spacing w:line="360" w:lineRule="auto"/>
              <w:jc w:val="both"/>
              <w:rPr>
                <w:rFonts w:ascii="Arial" w:hAnsi="Arial" w:cs="Arial"/>
              </w:rPr>
            </w:pPr>
            <w:r w:rsidRPr="003D580C">
              <w:rPr>
                <w:rFonts w:ascii="Arial" w:hAnsi="Arial" w:cs="Arial"/>
              </w:rPr>
              <w:t>GGCGGGAGGACCTTCTGTATGC</w:t>
            </w:r>
          </w:p>
        </w:tc>
        <w:tc>
          <w:tcPr>
            <w:tcW w:w="4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7A6DA7" w14:textId="77777777" w:rsidR="003A5272" w:rsidRPr="003D580C" w:rsidRDefault="003A5272" w:rsidP="009D2887">
            <w:pPr>
              <w:spacing w:line="360" w:lineRule="auto"/>
              <w:jc w:val="both"/>
              <w:rPr>
                <w:rFonts w:ascii="Arial" w:hAnsi="Arial" w:cs="Arial"/>
              </w:rPr>
            </w:pPr>
            <w:r w:rsidRPr="003D580C">
              <w:rPr>
                <w:rFonts w:ascii="Arial" w:hAnsi="Arial" w:cs="Arial"/>
              </w:rPr>
              <w:t>GGCCCAATTTTGTTCCACCTCTCC</w:t>
            </w:r>
          </w:p>
        </w:tc>
      </w:tr>
      <w:tr w:rsidR="003A5272" w:rsidRPr="003D580C" w14:paraId="185E92C3" w14:textId="77777777" w:rsidTr="003A5272">
        <w:tc>
          <w:tcPr>
            <w:tcW w:w="10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6505C8" w14:textId="77777777" w:rsidR="003A5272" w:rsidRPr="003D580C" w:rsidRDefault="003A5272" w:rsidP="009D2887">
            <w:pPr>
              <w:spacing w:line="360" w:lineRule="auto"/>
              <w:jc w:val="both"/>
              <w:rPr>
                <w:rFonts w:ascii="Arial" w:hAnsi="Arial" w:cs="Arial"/>
                <w:b/>
                <w:bCs/>
              </w:rPr>
            </w:pPr>
            <w:r w:rsidRPr="003D580C">
              <w:rPr>
                <w:rFonts w:ascii="Arial" w:hAnsi="Arial" w:cs="Arial"/>
                <w:b/>
                <w:bCs/>
              </w:rPr>
              <w:t>GAPDH</w:t>
            </w:r>
          </w:p>
        </w:tc>
        <w:tc>
          <w:tcPr>
            <w:tcW w:w="3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9B8539" w14:textId="77777777" w:rsidR="003A5272" w:rsidRPr="003D580C" w:rsidRDefault="003A5272" w:rsidP="009D2887">
            <w:pPr>
              <w:spacing w:line="360" w:lineRule="auto"/>
              <w:jc w:val="both"/>
              <w:rPr>
                <w:rFonts w:ascii="Arial" w:hAnsi="Arial" w:cs="Arial"/>
              </w:rPr>
            </w:pPr>
            <w:r w:rsidRPr="003D580C">
              <w:rPr>
                <w:rFonts w:ascii="Arial" w:hAnsi="Arial" w:cs="Arial"/>
              </w:rPr>
              <w:t>TGCACCACCAACTGCTTAGC</w:t>
            </w:r>
          </w:p>
        </w:tc>
        <w:tc>
          <w:tcPr>
            <w:tcW w:w="4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52C50F" w14:textId="77777777" w:rsidR="003A5272" w:rsidRPr="003D580C" w:rsidRDefault="003A5272" w:rsidP="009D2887">
            <w:pPr>
              <w:spacing w:line="360" w:lineRule="auto"/>
              <w:jc w:val="both"/>
              <w:rPr>
                <w:rFonts w:ascii="Arial" w:hAnsi="Arial" w:cs="Arial"/>
              </w:rPr>
            </w:pPr>
            <w:r w:rsidRPr="003D580C">
              <w:rPr>
                <w:rFonts w:ascii="Arial" w:hAnsi="Arial" w:cs="Arial"/>
              </w:rPr>
              <w:t>GGCATGGACTGTGGTCATGAG</w:t>
            </w:r>
          </w:p>
        </w:tc>
      </w:tr>
    </w:tbl>
    <w:p w14:paraId="7F311329" w14:textId="77777777" w:rsidR="003A5272" w:rsidRPr="003D580C" w:rsidRDefault="003A5272">
      <w:pPr>
        <w:rPr>
          <w:rFonts w:ascii="Arial" w:hAnsi="Arial" w:cs="Arial"/>
          <w:lang w:val="en-US"/>
        </w:rPr>
      </w:pPr>
    </w:p>
    <w:p w14:paraId="18B9014F" w14:textId="41DD46AF" w:rsidR="003A5272" w:rsidRDefault="003A5272">
      <w:pPr>
        <w:rPr>
          <w:rFonts w:ascii="Arial" w:hAnsi="Arial" w:cs="Arial"/>
          <w:lang w:val="en-US"/>
        </w:rPr>
      </w:pPr>
      <w:r w:rsidRPr="003D580C">
        <w:rPr>
          <w:rFonts w:ascii="Arial" w:hAnsi="Arial" w:cs="Arial"/>
          <w:lang w:val="en-US"/>
        </w:rPr>
        <w:t>Table SM</w:t>
      </w:r>
      <w:r w:rsidR="000B4824">
        <w:rPr>
          <w:rFonts w:ascii="Arial" w:hAnsi="Arial" w:cs="Arial"/>
          <w:lang w:val="en-US"/>
        </w:rPr>
        <w:t>5</w:t>
      </w:r>
      <w:r w:rsidRPr="003D580C">
        <w:rPr>
          <w:rFonts w:ascii="Arial" w:hAnsi="Arial" w:cs="Arial"/>
          <w:lang w:val="en-US"/>
        </w:rPr>
        <w:t xml:space="preserve">: </w:t>
      </w:r>
      <w:r w:rsidR="00E22D0F" w:rsidRPr="003D580C">
        <w:rPr>
          <w:rFonts w:ascii="Arial" w:hAnsi="Arial" w:cs="Arial"/>
          <w:lang w:val="en-US"/>
        </w:rPr>
        <w:t>Primers sequences of Real-Time Expression Analysis</w:t>
      </w:r>
    </w:p>
    <w:p w14:paraId="0C73FF75" w14:textId="77777777" w:rsidR="00A61DD6" w:rsidRDefault="00A61DD6">
      <w:pPr>
        <w:rPr>
          <w:rFonts w:ascii="Arial" w:hAnsi="Arial" w:cs="Arial"/>
          <w:lang w:val="en-US"/>
        </w:rPr>
      </w:pPr>
    </w:p>
    <w:p w14:paraId="591BD11E" w14:textId="77777777" w:rsidR="00A61DD6" w:rsidRDefault="00A61DD6">
      <w:pPr>
        <w:rPr>
          <w:rFonts w:ascii="Arial" w:hAnsi="Arial" w:cs="Arial"/>
          <w:b/>
          <w:bCs/>
          <w:sz w:val="28"/>
          <w:szCs w:val="28"/>
          <w:lang w:val="en-US"/>
        </w:rPr>
      </w:pPr>
      <w:r w:rsidRPr="00A61DD6">
        <w:rPr>
          <w:rFonts w:ascii="Arial" w:hAnsi="Arial" w:cs="Arial"/>
          <w:b/>
          <w:bCs/>
          <w:sz w:val="28"/>
          <w:szCs w:val="28"/>
          <w:lang w:val="en-US"/>
        </w:rPr>
        <w:t>Supplemental Methods References</w:t>
      </w:r>
    </w:p>
    <w:p w14:paraId="1B324CC9" w14:textId="77777777" w:rsidR="00DD293D" w:rsidRPr="00DD293D" w:rsidRDefault="00DD293D">
      <w:pPr>
        <w:rPr>
          <w:rFonts w:ascii="Arial" w:hAnsi="Arial" w:cs="Arial"/>
          <w:lang w:val="en-US"/>
        </w:rPr>
      </w:pPr>
    </w:p>
    <w:sdt>
      <w:sdtPr>
        <w:rPr>
          <w:rFonts w:ascii="Arial" w:hAnsi="Arial" w:cs="Arial"/>
          <w:color w:val="000000"/>
          <w:lang w:val="en-US"/>
        </w:rPr>
        <w:tag w:val="MENDELEY_BIBLIOGRAPHY"/>
        <w:id w:val="-1269702875"/>
        <w:placeholder>
          <w:docPart w:val="DefaultPlaceholder_-1854013440"/>
        </w:placeholder>
      </w:sdtPr>
      <w:sdtContent>
        <w:p w14:paraId="73B8692C" w14:textId="77777777" w:rsidR="00DD293D" w:rsidRPr="00DD293D" w:rsidRDefault="00DD293D">
          <w:pPr>
            <w:autoSpaceDE w:val="0"/>
            <w:autoSpaceDN w:val="0"/>
            <w:ind w:hanging="640"/>
            <w:divId w:val="165480722"/>
            <w:rPr>
              <w:rFonts w:ascii="Arial" w:eastAsia="Times New Roman" w:hAnsi="Arial" w:cs="Arial"/>
              <w:color w:val="000000"/>
            </w:rPr>
          </w:pPr>
          <w:r w:rsidRPr="00DD293D">
            <w:rPr>
              <w:rFonts w:ascii="Arial" w:eastAsia="Times New Roman" w:hAnsi="Arial" w:cs="Arial"/>
              <w:color w:val="000000"/>
              <w:lang w:val="en-US"/>
            </w:rPr>
            <w:t>1.</w:t>
          </w:r>
          <w:r w:rsidRPr="00DD293D">
            <w:rPr>
              <w:rFonts w:ascii="Arial" w:eastAsia="Times New Roman" w:hAnsi="Arial" w:cs="Arial"/>
              <w:color w:val="000000"/>
              <w:lang w:val="en-US"/>
            </w:rPr>
            <w:tab/>
          </w:r>
          <w:proofErr w:type="spellStart"/>
          <w:r w:rsidRPr="00DD293D">
            <w:rPr>
              <w:rFonts w:ascii="Arial" w:eastAsia="Times New Roman" w:hAnsi="Arial" w:cs="Arial"/>
              <w:color w:val="000000"/>
              <w:lang w:val="en-US"/>
            </w:rPr>
            <w:t>Liberzon</w:t>
          </w:r>
          <w:proofErr w:type="spellEnd"/>
          <w:r w:rsidRPr="00DD293D">
            <w:rPr>
              <w:rFonts w:ascii="Arial" w:eastAsia="Times New Roman" w:hAnsi="Arial" w:cs="Arial"/>
              <w:color w:val="000000"/>
              <w:lang w:val="en-US"/>
            </w:rPr>
            <w:t xml:space="preserve">, A. </w:t>
          </w:r>
          <w:r w:rsidRPr="00DD293D">
            <w:rPr>
              <w:rFonts w:ascii="Arial" w:eastAsia="Times New Roman" w:hAnsi="Arial" w:cs="Arial"/>
              <w:i/>
              <w:iCs/>
              <w:color w:val="000000"/>
              <w:lang w:val="en-US"/>
            </w:rPr>
            <w:t>et al.</w:t>
          </w:r>
          <w:r w:rsidRPr="00DD293D">
            <w:rPr>
              <w:rFonts w:ascii="Arial" w:eastAsia="Times New Roman" w:hAnsi="Arial" w:cs="Arial"/>
              <w:color w:val="000000"/>
              <w:lang w:val="en-US"/>
            </w:rPr>
            <w:t xml:space="preserve"> The Molecular Signatures Database (</w:t>
          </w:r>
          <w:proofErr w:type="spellStart"/>
          <w:r w:rsidRPr="00DD293D">
            <w:rPr>
              <w:rFonts w:ascii="Arial" w:eastAsia="Times New Roman" w:hAnsi="Arial" w:cs="Arial"/>
              <w:color w:val="000000"/>
              <w:lang w:val="en-US"/>
            </w:rPr>
            <w:t>MSigDB</w:t>
          </w:r>
          <w:proofErr w:type="spellEnd"/>
          <w:r w:rsidRPr="00DD293D">
            <w:rPr>
              <w:rFonts w:ascii="Arial" w:eastAsia="Times New Roman" w:hAnsi="Arial" w:cs="Arial"/>
              <w:color w:val="000000"/>
              <w:lang w:val="en-US"/>
            </w:rPr>
            <w:t xml:space="preserve">) hallmark gene set collection. </w:t>
          </w:r>
          <w:r w:rsidRPr="00DD293D">
            <w:rPr>
              <w:rFonts w:ascii="Arial" w:eastAsia="Times New Roman" w:hAnsi="Arial" w:cs="Arial"/>
              <w:i/>
              <w:iCs/>
              <w:color w:val="000000"/>
            </w:rPr>
            <w:t xml:space="preserve">Cell </w:t>
          </w:r>
          <w:proofErr w:type="spellStart"/>
          <w:r w:rsidRPr="00DD293D">
            <w:rPr>
              <w:rFonts w:ascii="Arial" w:eastAsia="Times New Roman" w:hAnsi="Arial" w:cs="Arial"/>
              <w:i/>
              <w:iCs/>
              <w:color w:val="000000"/>
            </w:rPr>
            <w:t>Syst</w:t>
          </w:r>
          <w:proofErr w:type="spellEnd"/>
          <w:r w:rsidRPr="00DD293D">
            <w:rPr>
              <w:rFonts w:ascii="Arial" w:eastAsia="Times New Roman" w:hAnsi="Arial" w:cs="Arial"/>
              <w:i/>
              <w:iCs/>
              <w:color w:val="000000"/>
            </w:rPr>
            <w:t>.</w:t>
          </w:r>
          <w:r w:rsidRPr="00DD293D">
            <w:rPr>
              <w:rFonts w:ascii="Arial" w:eastAsia="Times New Roman" w:hAnsi="Arial" w:cs="Arial"/>
              <w:color w:val="000000"/>
            </w:rPr>
            <w:t xml:space="preserve"> 1, 417–425 (2015).</w:t>
          </w:r>
        </w:p>
        <w:p w14:paraId="04A7B8FF" w14:textId="77777777" w:rsidR="00DD293D" w:rsidRPr="00DD293D" w:rsidRDefault="00DD293D">
          <w:pPr>
            <w:rPr>
              <w:rFonts w:ascii="Arial" w:hAnsi="Arial" w:cs="Arial"/>
              <w:lang w:val="en-US"/>
            </w:rPr>
          </w:pPr>
          <w:r w:rsidRPr="00DD293D">
            <w:rPr>
              <w:rFonts w:ascii="Arial" w:eastAsia="Times New Roman" w:hAnsi="Arial" w:cs="Arial"/>
              <w:color w:val="000000"/>
            </w:rPr>
            <w:t> </w:t>
          </w:r>
        </w:p>
      </w:sdtContent>
    </w:sdt>
    <w:sectPr w:rsidR="00DD293D" w:rsidRPr="00DD293D" w:rsidSect="000B4824">
      <w:pgSz w:w="11900" w:h="16840"/>
      <w:pgMar w:top="1418" w:right="1134" w:bottom="1134" w:left="1134" w:header="709" w:footer="709"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7723"/>
    <w:multiLevelType w:val="multilevel"/>
    <w:tmpl w:val="9FAE6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DB473C"/>
    <w:multiLevelType w:val="multilevel"/>
    <w:tmpl w:val="1AF47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041E11"/>
    <w:multiLevelType w:val="multilevel"/>
    <w:tmpl w:val="301C2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8471A8"/>
    <w:multiLevelType w:val="multilevel"/>
    <w:tmpl w:val="FB405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C81910"/>
    <w:multiLevelType w:val="multilevel"/>
    <w:tmpl w:val="5596E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C15795"/>
    <w:multiLevelType w:val="multilevel"/>
    <w:tmpl w:val="80B8B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456F4F"/>
    <w:multiLevelType w:val="multilevel"/>
    <w:tmpl w:val="E2124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3F35AB"/>
    <w:multiLevelType w:val="multilevel"/>
    <w:tmpl w:val="61BCE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6256A3"/>
    <w:multiLevelType w:val="multilevel"/>
    <w:tmpl w:val="E3D4F0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686FFB"/>
    <w:multiLevelType w:val="multilevel"/>
    <w:tmpl w:val="8758E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654811"/>
    <w:multiLevelType w:val="multilevel"/>
    <w:tmpl w:val="EE76A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047654"/>
    <w:multiLevelType w:val="multilevel"/>
    <w:tmpl w:val="A40AB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6657295">
    <w:abstractNumId w:val="11"/>
  </w:num>
  <w:num w:numId="2" w16cid:durableId="1303928181">
    <w:abstractNumId w:val="7"/>
  </w:num>
  <w:num w:numId="3" w16cid:durableId="1148009601">
    <w:abstractNumId w:val="1"/>
  </w:num>
  <w:num w:numId="4" w16cid:durableId="1405447278">
    <w:abstractNumId w:val="10"/>
  </w:num>
  <w:num w:numId="5" w16cid:durableId="299766592">
    <w:abstractNumId w:val="0"/>
  </w:num>
  <w:num w:numId="6" w16cid:durableId="1787888922">
    <w:abstractNumId w:val="5"/>
  </w:num>
  <w:num w:numId="7" w16cid:durableId="694774542">
    <w:abstractNumId w:val="9"/>
  </w:num>
  <w:num w:numId="8" w16cid:durableId="1942375926">
    <w:abstractNumId w:val="8"/>
  </w:num>
  <w:num w:numId="9" w16cid:durableId="1912694521">
    <w:abstractNumId w:val="2"/>
  </w:num>
  <w:num w:numId="10" w16cid:durableId="1185484817">
    <w:abstractNumId w:val="4"/>
  </w:num>
  <w:num w:numId="11" w16cid:durableId="693843592">
    <w:abstractNumId w:val="3"/>
  </w:num>
  <w:num w:numId="12" w16cid:durableId="2862046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106"/>
    <w:rsid w:val="00093344"/>
    <w:rsid w:val="000B4824"/>
    <w:rsid w:val="000D4780"/>
    <w:rsid w:val="00141CF6"/>
    <w:rsid w:val="00241C48"/>
    <w:rsid w:val="002A3236"/>
    <w:rsid w:val="003A5272"/>
    <w:rsid w:val="003D580C"/>
    <w:rsid w:val="004E7C5D"/>
    <w:rsid w:val="00572B7E"/>
    <w:rsid w:val="005D0F33"/>
    <w:rsid w:val="005E0D94"/>
    <w:rsid w:val="005E3ABD"/>
    <w:rsid w:val="0061454B"/>
    <w:rsid w:val="00666A9D"/>
    <w:rsid w:val="006714D3"/>
    <w:rsid w:val="007223A2"/>
    <w:rsid w:val="00753C7D"/>
    <w:rsid w:val="00847382"/>
    <w:rsid w:val="00894148"/>
    <w:rsid w:val="008D1BFE"/>
    <w:rsid w:val="00914106"/>
    <w:rsid w:val="00A61DD6"/>
    <w:rsid w:val="00A678DC"/>
    <w:rsid w:val="00AC3401"/>
    <w:rsid w:val="00B6189A"/>
    <w:rsid w:val="00C06230"/>
    <w:rsid w:val="00C457AB"/>
    <w:rsid w:val="00CE7941"/>
    <w:rsid w:val="00D12F03"/>
    <w:rsid w:val="00D31F86"/>
    <w:rsid w:val="00D7238D"/>
    <w:rsid w:val="00DD293D"/>
    <w:rsid w:val="00E22D0F"/>
    <w:rsid w:val="00EA7E19"/>
    <w:rsid w:val="00F4185C"/>
    <w:rsid w:val="00F472B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DB72E"/>
  <w15:chartTrackingRefBased/>
  <w15:docId w15:val="{AA3FAF49-61E4-8B4F-BDC4-C2FD66BE8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A61DD6"/>
  </w:style>
  <w:style w:type="paragraph" w:styleId="Titolo1">
    <w:name w:val="heading 1"/>
    <w:basedOn w:val="Normale"/>
    <w:link w:val="Titolo1Carattere"/>
    <w:uiPriority w:val="9"/>
    <w:qFormat/>
    <w:rsid w:val="00914106"/>
    <w:pPr>
      <w:spacing w:before="100" w:beforeAutospacing="1" w:after="100" w:afterAutospacing="1"/>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link w:val="Titolo2Carattere"/>
    <w:uiPriority w:val="9"/>
    <w:qFormat/>
    <w:rsid w:val="00914106"/>
    <w:pPr>
      <w:spacing w:before="100" w:beforeAutospacing="1" w:after="100" w:afterAutospacing="1"/>
      <w:outlineLvl w:val="1"/>
    </w:pPr>
    <w:rPr>
      <w:rFonts w:ascii="Times New Roman" w:eastAsia="Times New Roman" w:hAnsi="Times New Roman" w:cs="Times New Roman"/>
      <w:b/>
      <w:bCs/>
      <w:sz w:val="36"/>
      <w:szCs w:val="36"/>
      <w:lang w:eastAsia="it-IT"/>
    </w:rPr>
  </w:style>
  <w:style w:type="paragraph" w:styleId="Titolo3">
    <w:name w:val="heading 3"/>
    <w:basedOn w:val="Normale"/>
    <w:next w:val="Normale"/>
    <w:link w:val="Titolo3Carattere"/>
    <w:uiPriority w:val="9"/>
    <w:semiHidden/>
    <w:unhideWhenUsed/>
    <w:qFormat/>
    <w:rsid w:val="00C06230"/>
    <w:pPr>
      <w:keepNext/>
      <w:keepLines/>
      <w:spacing w:before="40"/>
      <w:outlineLvl w:val="2"/>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14106"/>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rsid w:val="00914106"/>
    <w:rPr>
      <w:rFonts w:ascii="Times New Roman" w:eastAsia="Times New Roman" w:hAnsi="Times New Roman" w:cs="Times New Roman"/>
      <w:b/>
      <w:bCs/>
      <w:sz w:val="36"/>
      <w:szCs w:val="36"/>
      <w:lang w:eastAsia="it-IT"/>
    </w:rPr>
  </w:style>
  <w:style w:type="paragraph" w:styleId="NormaleWeb">
    <w:name w:val="Normal (Web)"/>
    <w:basedOn w:val="Normale"/>
    <w:uiPriority w:val="99"/>
    <w:semiHidden/>
    <w:unhideWhenUsed/>
    <w:rsid w:val="00914106"/>
    <w:pPr>
      <w:spacing w:before="100" w:beforeAutospacing="1" w:after="100" w:afterAutospacing="1"/>
    </w:pPr>
    <w:rPr>
      <w:rFonts w:ascii="Times New Roman" w:eastAsia="Times New Roman" w:hAnsi="Times New Roman" w:cs="Times New Roman"/>
      <w:lang w:eastAsia="it-IT"/>
    </w:rPr>
  </w:style>
  <w:style w:type="character" w:styleId="Enfasigrassetto">
    <w:name w:val="Strong"/>
    <w:basedOn w:val="Carpredefinitoparagrafo"/>
    <w:uiPriority w:val="22"/>
    <w:qFormat/>
    <w:rsid w:val="00914106"/>
    <w:rPr>
      <w:b/>
      <w:bCs/>
    </w:rPr>
  </w:style>
  <w:style w:type="character" w:customStyle="1" w:styleId="apple-converted-space">
    <w:name w:val="apple-converted-space"/>
    <w:basedOn w:val="Carpredefinitoparagrafo"/>
    <w:rsid w:val="005E0D94"/>
  </w:style>
  <w:style w:type="character" w:customStyle="1" w:styleId="Titolo3Carattere">
    <w:name w:val="Titolo 3 Carattere"/>
    <w:basedOn w:val="Carpredefinitoparagrafo"/>
    <w:link w:val="Titolo3"/>
    <w:uiPriority w:val="9"/>
    <w:semiHidden/>
    <w:rsid w:val="00C06230"/>
    <w:rPr>
      <w:rFonts w:asciiTheme="majorHAnsi" w:eastAsiaTheme="majorEastAsia" w:hAnsiTheme="majorHAnsi" w:cstheme="majorBidi"/>
      <w:color w:val="1F3763" w:themeColor="accent1" w:themeShade="7F"/>
    </w:rPr>
  </w:style>
  <w:style w:type="character" w:styleId="Numeroriga">
    <w:name w:val="line number"/>
    <w:basedOn w:val="Carpredefinitoparagrafo"/>
    <w:uiPriority w:val="99"/>
    <w:semiHidden/>
    <w:unhideWhenUsed/>
    <w:rsid w:val="003D580C"/>
  </w:style>
  <w:style w:type="character" w:styleId="Testosegnaposto">
    <w:name w:val="Placeholder Text"/>
    <w:basedOn w:val="Carpredefinitoparagrafo"/>
    <w:uiPriority w:val="99"/>
    <w:semiHidden/>
    <w:rsid w:val="00DD293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68560">
      <w:bodyDiv w:val="1"/>
      <w:marLeft w:val="0"/>
      <w:marRight w:val="0"/>
      <w:marTop w:val="0"/>
      <w:marBottom w:val="0"/>
      <w:divBdr>
        <w:top w:val="none" w:sz="0" w:space="0" w:color="auto"/>
        <w:left w:val="none" w:sz="0" w:space="0" w:color="auto"/>
        <w:bottom w:val="none" w:sz="0" w:space="0" w:color="auto"/>
        <w:right w:val="none" w:sz="0" w:space="0" w:color="auto"/>
      </w:divBdr>
    </w:div>
    <w:div w:id="467283227">
      <w:bodyDiv w:val="1"/>
      <w:marLeft w:val="0"/>
      <w:marRight w:val="0"/>
      <w:marTop w:val="0"/>
      <w:marBottom w:val="0"/>
      <w:divBdr>
        <w:top w:val="none" w:sz="0" w:space="0" w:color="auto"/>
        <w:left w:val="none" w:sz="0" w:space="0" w:color="auto"/>
        <w:bottom w:val="none" w:sz="0" w:space="0" w:color="auto"/>
        <w:right w:val="none" w:sz="0" w:space="0" w:color="auto"/>
      </w:divBdr>
    </w:div>
    <w:div w:id="484398249">
      <w:bodyDiv w:val="1"/>
      <w:marLeft w:val="0"/>
      <w:marRight w:val="0"/>
      <w:marTop w:val="0"/>
      <w:marBottom w:val="0"/>
      <w:divBdr>
        <w:top w:val="none" w:sz="0" w:space="0" w:color="auto"/>
        <w:left w:val="none" w:sz="0" w:space="0" w:color="auto"/>
        <w:bottom w:val="none" w:sz="0" w:space="0" w:color="auto"/>
        <w:right w:val="none" w:sz="0" w:space="0" w:color="auto"/>
      </w:divBdr>
    </w:div>
    <w:div w:id="977567158">
      <w:bodyDiv w:val="1"/>
      <w:marLeft w:val="0"/>
      <w:marRight w:val="0"/>
      <w:marTop w:val="0"/>
      <w:marBottom w:val="0"/>
      <w:divBdr>
        <w:top w:val="none" w:sz="0" w:space="0" w:color="auto"/>
        <w:left w:val="none" w:sz="0" w:space="0" w:color="auto"/>
        <w:bottom w:val="none" w:sz="0" w:space="0" w:color="auto"/>
        <w:right w:val="none" w:sz="0" w:space="0" w:color="auto"/>
      </w:divBdr>
    </w:div>
    <w:div w:id="984045856">
      <w:bodyDiv w:val="1"/>
      <w:marLeft w:val="0"/>
      <w:marRight w:val="0"/>
      <w:marTop w:val="0"/>
      <w:marBottom w:val="0"/>
      <w:divBdr>
        <w:top w:val="none" w:sz="0" w:space="0" w:color="auto"/>
        <w:left w:val="none" w:sz="0" w:space="0" w:color="auto"/>
        <w:bottom w:val="none" w:sz="0" w:space="0" w:color="auto"/>
        <w:right w:val="none" w:sz="0" w:space="0" w:color="auto"/>
      </w:divBdr>
    </w:div>
    <w:div w:id="992639214">
      <w:bodyDiv w:val="1"/>
      <w:marLeft w:val="0"/>
      <w:marRight w:val="0"/>
      <w:marTop w:val="0"/>
      <w:marBottom w:val="0"/>
      <w:divBdr>
        <w:top w:val="none" w:sz="0" w:space="0" w:color="auto"/>
        <w:left w:val="none" w:sz="0" w:space="0" w:color="auto"/>
        <w:bottom w:val="none" w:sz="0" w:space="0" w:color="auto"/>
        <w:right w:val="none" w:sz="0" w:space="0" w:color="auto"/>
      </w:divBdr>
    </w:div>
    <w:div w:id="997730207">
      <w:bodyDiv w:val="1"/>
      <w:marLeft w:val="0"/>
      <w:marRight w:val="0"/>
      <w:marTop w:val="0"/>
      <w:marBottom w:val="0"/>
      <w:divBdr>
        <w:top w:val="none" w:sz="0" w:space="0" w:color="auto"/>
        <w:left w:val="none" w:sz="0" w:space="0" w:color="auto"/>
        <w:bottom w:val="none" w:sz="0" w:space="0" w:color="auto"/>
        <w:right w:val="none" w:sz="0" w:space="0" w:color="auto"/>
      </w:divBdr>
    </w:div>
    <w:div w:id="1024205768">
      <w:bodyDiv w:val="1"/>
      <w:marLeft w:val="0"/>
      <w:marRight w:val="0"/>
      <w:marTop w:val="0"/>
      <w:marBottom w:val="0"/>
      <w:divBdr>
        <w:top w:val="none" w:sz="0" w:space="0" w:color="auto"/>
        <w:left w:val="none" w:sz="0" w:space="0" w:color="auto"/>
        <w:bottom w:val="none" w:sz="0" w:space="0" w:color="auto"/>
        <w:right w:val="none" w:sz="0" w:space="0" w:color="auto"/>
      </w:divBdr>
    </w:div>
    <w:div w:id="1096634814">
      <w:bodyDiv w:val="1"/>
      <w:marLeft w:val="0"/>
      <w:marRight w:val="0"/>
      <w:marTop w:val="0"/>
      <w:marBottom w:val="0"/>
      <w:divBdr>
        <w:top w:val="none" w:sz="0" w:space="0" w:color="auto"/>
        <w:left w:val="none" w:sz="0" w:space="0" w:color="auto"/>
        <w:bottom w:val="none" w:sz="0" w:space="0" w:color="auto"/>
        <w:right w:val="none" w:sz="0" w:space="0" w:color="auto"/>
      </w:divBdr>
    </w:div>
    <w:div w:id="1452703250">
      <w:bodyDiv w:val="1"/>
      <w:marLeft w:val="0"/>
      <w:marRight w:val="0"/>
      <w:marTop w:val="0"/>
      <w:marBottom w:val="0"/>
      <w:divBdr>
        <w:top w:val="none" w:sz="0" w:space="0" w:color="auto"/>
        <w:left w:val="none" w:sz="0" w:space="0" w:color="auto"/>
        <w:bottom w:val="none" w:sz="0" w:space="0" w:color="auto"/>
        <w:right w:val="none" w:sz="0" w:space="0" w:color="auto"/>
      </w:divBdr>
    </w:div>
    <w:div w:id="1480001183">
      <w:bodyDiv w:val="1"/>
      <w:marLeft w:val="0"/>
      <w:marRight w:val="0"/>
      <w:marTop w:val="0"/>
      <w:marBottom w:val="0"/>
      <w:divBdr>
        <w:top w:val="none" w:sz="0" w:space="0" w:color="auto"/>
        <w:left w:val="none" w:sz="0" w:space="0" w:color="auto"/>
        <w:bottom w:val="none" w:sz="0" w:space="0" w:color="auto"/>
        <w:right w:val="none" w:sz="0" w:space="0" w:color="auto"/>
      </w:divBdr>
    </w:div>
    <w:div w:id="1551724376">
      <w:bodyDiv w:val="1"/>
      <w:marLeft w:val="0"/>
      <w:marRight w:val="0"/>
      <w:marTop w:val="0"/>
      <w:marBottom w:val="0"/>
      <w:divBdr>
        <w:top w:val="none" w:sz="0" w:space="0" w:color="auto"/>
        <w:left w:val="none" w:sz="0" w:space="0" w:color="auto"/>
        <w:bottom w:val="none" w:sz="0" w:space="0" w:color="auto"/>
        <w:right w:val="none" w:sz="0" w:space="0" w:color="auto"/>
      </w:divBdr>
    </w:div>
    <w:div w:id="1559973090">
      <w:bodyDiv w:val="1"/>
      <w:marLeft w:val="0"/>
      <w:marRight w:val="0"/>
      <w:marTop w:val="0"/>
      <w:marBottom w:val="0"/>
      <w:divBdr>
        <w:top w:val="none" w:sz="0" w:space="0" w:color="auto"/>
        <w:left w:val="none" w:sz="0" w:space="0" w:color="auto"/>
        <w:bottom w:val="none" w:sz="0" w:space="0" w:color="auto"/>
        <w:right w:val="none" w:sz="0" w:space="0" w:color="auto"/>
      </w:divBdr>
    </w:div>
    <w:div w:id="1599488789">
      <w:bodyDiv w:val="1"/>
      <w:marLeft w:val="0"/>
      <w:marRight w:val="0"/>
      <w:marTop w:val="0"/>
      <w:marBottom w:val="0"/>
      <w:divBdr>
        <w:top w:val="none" w:sz="0" w:space="0" w:color="auto"/>
        <w:left w:val="none" w:sz="0" w:space="0" w:color="auto"/>
        <w:bottom w:val="none" w:sz="0" w:space="0" w:color="auto"/>
        <w:right w:val="none" w:sz="0" w:space="0" w:color="auto"/>
      </w:divBdr>
    </w:div>
    <w:div w:id="1738935887">
      <w:bodyDiv w:val="1"/>
      <w:marLeft w:val="0"/>
      <w:marRight w:val="0"/>
      <w:marTop w:val="0"/>
      <w:marBottom w:val="0"/>
      <w:divBdr>
        <w:top w:val="none" w:sz="0" w:space="0" w:color="auto"/>
        <w:left w:val="none" w:sz="0" w:space="0" w:color="auto"/>
        <w:bottom w:val="none" w:sz="0" w:space="0" w:color="auto"/>
        <w:right w:val="none" w:sz="0" w:space="0" w:color="auto"/>
      </w:divBdr>
    </w:div>
    <w:div w:id="1815760326">
      <w:bodyDiv w:val="1"/>
      <w:marLeft w:val="0"/>
      <w:marRight w:val="0"/>
      <w:marTop w:val="0"/>
      <w:marBottom w:val="0"/>
      <w:divBdr>
        <w:top w:val="none" w:sz="0" w:space="0" w:color="auto"/>
        <w:left w:val="none" w:sz="0" w:space="0" w:color="auto"/>
        <w:bottom w:val="none" w:sz="0" w:space="0" w:color="auto"/>
        <w:right w:val="none" w:sz="0" w:space="0" w:color="auto"/>
      </w:divBdr>
    </w:div>
    <w:div w:id="2045859267">
      <w:bodyDiv w:val="1"/>
      <w:marLeft w:val="0"/>
      <w:marRight w:val="0"/>
      <w:marTop w:val="0"/>
      <w:marBottom w:val="0"/>
      <w:divBdr>
        <w:top w:val="none" w:sz="0" w:space="0" w:color="auto"/>
        <w:left w:val="none" w:sz="0" w:space="0" w:color="auto"/>
        <w:bottom w:val="none" w:sz="0" w:space="0" w:color="auto"/>
        <w:right w:val="none" w:sz="0" w:space="0" w:color="auto"/>
      </w:divBdr>
    </w:div>
    <w:div w:id="2106995752">
      <w:bodyDiv w:val="1"/>
      <w:marLeft w:val="0"/>
      <w:marRight w:val="0"/>
      <w:marTop w:val="0"/>
      <w:marBottom w:val="0"/>
      <w:divBdr>
        <w:top w:val="none" w:sz="0" w:space="0" w:color="auto"/>
        <w:left w:val="none" w:sz="0" w:space="0" w:color="auto"/>
        <w:bottom w:val="none" w:sz="0" w:space="0" w:color="auto"/>
        <w:right w:val="none" w:sz="0" w:space="0" w:color="auto"/>
      </w:divBdr>
      <w:divsChild>
        <w:div w:id="165480722">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159418F1-82DC-CA4A-8F90-35BD2ED06070}"/>
      </w:docPartPr>
      <w:docPartBody>
        <w:p w:rsidR="00FE0080" w:rsidRDefault="004570E5">
          <w:r w:rsidRPr="00483391">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0E5"/>
    <w:rsid w:val="00020111"/>
    <w:rsid w:val="00081B0B"/>
    <w:rsid w:val="004570E5"/>
    <w:rsid w:val="0051317F"/>
    <w:rsid w:val="009827F9"/>
    <w:rsid w:val="00E36947"/>
    <w:rsid w:val="00FE008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it-IT" w:eastAsia="it-IT"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4570E5"/>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B72346C-E75D-E543-9689-E2A14E7C4998}">
  <we:reference id="wa104382081" version="1.55.1.0" store="en-US" storeType="OMEX"/>
  <we:alternateReferences>
    <we:reference id="wa104382081" version="1.55.1.0" store="wa104382081" storeType="OMEX"/>
  </we:alternateReferences>
  <we:properties>
    <we:property name="MENDELEY_BIBLIOGRAPHY_IS_DIRTY" value="false"/>
    <we:property name="MENDELEY_BIBLIOGRAPHY_LAST_MODIFIED" value="1773245090025"/>
    <we:property name="MENDELEY_CITATIONS" value="[{&quot;citationID&quot;:&quot;MENDELEY_CITATION_22c81d3a-773b-4345-8b34-e533981cc4ba&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&quot;,&quot;citationItems&quot;:[{&quot;id&quot;:&quot;f3a69d3c-a107-314b-8fa8-8241766fc6bc&quot;,&quot;itemData&quot;:{&quot;type&quot;:&quot;article-journal&quot;,&quot;id&quot;:&quot;f3a69d3c-a107-314b-8fa8-8241766fc6bc&quot;,&quot;title&quot;:&quot;The Molecular Signatures Database (MSigDB) hallmark gene set collection.&quot;,&quot;author&quot;:[{&quot;family&quot;:&quot;Liberzon&quot;,&quot;given&quot;:&quot;Arthur&quot;,&quot;parse-names&quot;:false,&quot;dropping-particle&quot;:&quot;&quot;,&quot;non-dropping-particle&quot;:&quot;&quot;},{&quot;family&quot;:&quot;Birger&quot;,&quot;given&quot;:&quot;Chet&quot;,&quot;parse-names&quot;:false,&quot;dropping-particle&quot;:&quot;&quot;,&quot;non-dropping-particle&quot;:&quot;&quot;},{&quot;family&quot;:&quot;Thorvaldsdóttir&quot;,&quot;given&quot;:&quot;Helga&quot;,&quot;parse-names&quot;:false,&quot;dropping-particle&quot;:&quot;&quot;,&quot;non-dropping-particle&quot;:&quot;&quot;},{&quot;family&quot;:&quot;Ghandi&quot;,&quot;given&quot;:&quot;Mahmoud&quot;,&quot;parse-names&quot;:false,&quot;dropping-particle&quot;:&quot;&quot;,&quot;non-dropping-particle&quot;:&quot;&quot;},{&quot;family&quot;:&quot;Mesirov&quot;,&quot;given&quot;:&quot;Jill P&quot;,&quot;parse-names&quot;:false,&quot;dropping-particle&quot;:&quot;&quot;,&quot;non-dropping-particle&quot;:&quot;&quot;},{&quot;family&quot;:&quot;Tamayo&quot;,&quot;given&quot;:&quot;Pablo&quot;,&quot;parse-names&quot;:false,&quot;dropping-particle&quot;:&quot;&quot;,&quot;non-dropping-particle&quot;:&quot;&quot;}],&quot;container-title&quot;:&quot;Cell systems&quot;,&quot;container-title-short&quot;:&quot;Cell Syst.&quot;,&quot;DOI&quot;:&quot;10.1016/j.cels.2015.12.004&quot;,&quot;ISSN&quot;:&quot;2405-4712&quot;,&quot;PMID&quot;:&quot;26771021&quot;,&quot;issued&quot;:{&quot;date-parts&quot;:[[2015,12,23]]},&quot;page&quot;:&quot;417-425&quot;,&quot;abstract&quot;:&quot;The Molecular Signatures Database (MSigDB) is one of the most widely used and comprehensive databases of gene sets for performing gene set enrichment analysis. Since its creation, MSigDB has grown beyond its roots in metabolic disease and cancer to include &gt;10,000 gene sets. These better represent a wider range of biological processes and diseases, but the utility of the database is reduced by increased redundancy across, and heterogeneity within, gene sets. To address this challenge, here we use a combination of automated approaches and expert curation to develop a collection of \&quot;hallmark\&quot; gene sets as part of MSigDB. Each hallmark in this collection consists of a \&quot;refined\&quot; gene set, derived from multiple \&quot;founder\&quot; sets, that conveys a specific biological state or process and displays coherent expression. The hallmarks effectively summarize most of the relevant information of the original founder sets and, by reducing both variation and redundancy, provide more refined and concise inputs for gene set enrichment analysis.&quot;,&quot;issue&quot;:&quot;6&quot;,&quot;volume&quot;:&quot;1&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93ADC-7A62-3A41-BEFB-37094EF1B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15</Pages>
  <Words>2518</Words>
  <Characters>14354</Characters>
  <Application>Microsoft Office Word</Application>
  <DocSecurity>0</DocSecurity>
  <Lines>119</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b</dc:creator>
  <cp:keywords/>
  <dc:description/>
  <cp:lastModifiedBy>c b</cp:lastModifiedBy>
  <cp:revision>8</cp:revision>
  <dcterms:created xsi:type="dcterms:W3CDTF">2026-03-01T14:49:00Z</dcterms:created>
  <dcterms:modified xsi:type="dcterms:W3CDTF">2026-03-26T20:50:00Z</dcterms:modified>
</cp:coreProperties>
</file>