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Related manuscript disclosure</w:t>
      </w:r>
    </w:p>
    <w:p>
      <w:r>
        <w:t>The current submission uses the same parent online survey as other manuscripts prepared from the survey platform. To support transparent editorial assessment, the distinctions are summarized below.</w:t>
      </w:r>
    </w:p>
    <w:tbl>
      <w:tblPr>
        <w:tblW w:type="auto" w:w="0"/>
        <w:jc w:val="center"/>
        <w:tblLook w:firstColumn="1" w:firstRow="1" w:lastColumn="0" w:lastRow="0" w:noHBand="0" w:noVBand="1" w:val="04A0"/>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Grid>
        <w:gridCol w:w="1926"/>
        <w:gridCol w:w="1926"/>
        <w:gridCol w:w="1926"/>
        <w:gridCol w:w="1926"/>
        <w:gridCol w:w="1926"/>
      </w:tblGrid>
      <w:tr>
        <w:tc>
          <w:tcPr>
            <w:tcW w:type="dxa" w:w="1926"/>
            <w:vAlign w:val="center"/>
            <w:shd w:fill="EDEDED"/>
          </w:tcPr>
          <w:p>
            <w:pPr>
              <w:spacing w:after="0" w:before="0" w:line="240" w:lineRule="auto"/>
              <w:jc w:val="center"/>
            </w:pPr>
            <w:r/>
            <w:r>
              <w:rPr>
                <w:rFonts w:ascii="Times New Roman" w:hAnsi="Times New Roman" w:eastAsia="Times New Roman"/>
                <w:b/>
                <w:sz w:val="17"/>
              </w:rPr>
              <w:t>Manuscript</w:t>
            </w:r>
          </w:p>
        </w:tc>
        <w:tc>
          <w:tcPr>
            <w:tcW w:type="dxa" w:w="1926"/>
            <w:vAlign w:val="center"/>
            <w:shd w:fill="EDEDED"/>
          </w:tcPr>
          <w:p>
            <w:pPr>
              <w:spacing w:after="0" w:before="0" w:line="240" w:lineRule="auto"/>
              <w:jc w:val="center"/>
            </w:pPr>
            <w:r/>
            <w:r>
              <w:rPr>
                <w:rFonts w:ascii="Times New Roman" w:hAnsi="Times New Roman" w:eastAsia="Times New Roman"/>
                <w:b/>
                <w:sz w:val="17"/>
              </w:rPr>
              <w:t>Analytic sample</w:t>
            </w:r>
          </w:p>
        </w:tc>
        <w:tc>
          <w:tcPr>
            <w:tcW w:type="dxa" w:w="1926"/>
            <w:vAlign w:val="center"/>
            <w:shd w:fill="EDEDED"/>
          </w:tcPr>
          <w:p>
            <w:pPr>
              <w:spacing w:after="0" w:before="0" w:line="240" w:lineRule="auto"/>
              <w:jc w:val="center"/>
            </w:pPr>
            <w:r/>
            <w:r>
              <w:rPr>
                <w:rFonts w:ascii="Times New Roman" w:hAnsi="Times New Roman" w:eastAsia="Times New Roman"/>
                <w:b/>
                <w:sz w:val="17"/>
              </w:rPr>
              <w:t>Primary outcome</w:t>
            </w:r>
          </w:p>
        </w:tc>
        <w:tc>
          <w:tcPr>
            <w:tcW w:type="dxa" w:w="1926"/>
            <w:vAlign w:val="center"/>
            <w:shd w:fill="EDEDED"/>
          </w:tcPr>
          <w:p>
            <w:pPr>
              <w:spacing w:after="0" w:before="0" w:line="240" w:lineRule="auto"/>
              <w:jc w:val="center"/>
            </w:pPr>
            <w:r/>
            <w:r>
              <w:rPr>
                <w:rFonts w:ascii="Times New Roman" w:hAnsi="Times New Roman" w:eastAsia="Times New Roman"/>
                <w:b/>
                <w:sz w:val="17"/>
              </w:rPr>
              <w:t>Analytic approach</w:t>
            </w:r>
          </w:p>
        </w:tc>
        <w:tc>
          <w:tcPr>
            <w:tcW w:type="dxa" w:w="1926"/>
            <w:vAlign w:val="center"/>
            <w:shd w:fill="EDEDED"/>
          </w:tcPr>
          <w:p>
            <w:pPr>
              <w:spacing w:after="0" w:before="0" w:line="240" w:lineRule="auto"/>
              <w:jc w:val="center"/>
            </w:pPr>
            <w:r/>
            <w:r>
              <w:rPr>
                <w:rFonts w:ascii="Times New Roman" w:hAnsi="Times New Roman" w:eastAsia="Times New Roman"/>
                <w:b/>
                <w:sz w:val="17"/>
              </w:rPr>
              <w:t>How it differs from the current submission</w:t>
            </w:r>
          </w:p>
        </w:tc>
      </w:tr>
      <w:tr>
        <w:tc>
          <w:tcPr>
            <w:tcW w:type="dxa" w:w="1926"/>
            <w:vAlign w:val="center"/>
          </w:tcPr>
          <w:p>
            <w:pPr>
              <w:spacing w:after="0" w:before="0" w:line="240" w:lineRule="auto"/>
              <w:jc w:val="left"/>
            </w:pPr>
            <w:r/>
            <w:r>
              <w:rPr>
                <w:rFonts w:ascii="Times New Roman" w:hAnsi="Times New Roman" w:eastAsia="Times New Roman"/>
                <w:b w:val="0"/>
                <w:sz w:val="16"/>
              </w:rPr>
              <w:t>Current submission</w:t>
            </w:r>
          </w:p>
        </w:tc>
        <w:tc>
          <w:tcPr>
            <w:tcW w:type="dxa" w:w="1926"/>
            <w:vAlign w:val="center"/>
          </w:tcPr>
          <w:p>
            <w:pPr>
              <w:spacing w:after="0" w:before="0" w:line="240" w:lineRule="auto"/>
              <w:jc w:val="left"/>
            </w:pPr>
            <w:r/>
            <w:r>
              <w:rPr>
                <w:rFonts w:ascii="Times New Roman" w:hAnsi="Times New Roman" w:eastAsia="Times New Roman"/>
                <w:b w:val="0"/>
                <w:sz w:val="16"/>
              </w:rPr>
              <w:t>Full parent survey (n=2320 after de-duplication and time filter)</w:t>
            </w:r>
          </w:p>
        </w:tc>
        <w:tc>
          <w:tcPr>
            <w:tcW w:type="dxa" w:w="1926"/>
            <w:vAlign w:val="center"/>
          </w:tcPr>
          <w:p>
            <w:pPr>
              <w:spacing w:after="0" w:before="0" w:line="240" w:lineRule="auto"/>
              <w:jc w:val="left"/>
            </w:pPr>
            <w:r/>
            <w:r>
              <w:rPr>
                <w:rFonts w:ascii="Times New Roman" w:hAnsi="Times New Roman" w:eastAsia="Times New Roman"/>
                <w:b w:val="0"/>
                <w:sz w:val="16"/>
              </w:rPr>
              <w:t>DASS-21 psychological distress (total score; depression, anxiety, and stress as supplementary outcomes)</w:t>
            </w:r>
          </w:p>
        </w:tc>
        <w:tc>
          <w:tcPr>
            <w:tcW w:type="dxa" w:w="1926"/>
            <w:vAlign w:val="center"/>
          </w:tcPr>
          <w:p>
            <w:pPr>
              <w:spacing w:after="0" w:before="0" w:line="240" w:lineRule="auto"/>
              <w:jc w:val="left"/>
            </w:pPr>
            <w:r/>
            <w:r>
              <w:rPr>
                <w:rFonts w:ascii="Times New Roman" w:hAnsi="Times New Roman" w:eastAsia="Times New Roman"/>
                <w:b w:val="0"/>
                <w:sz w:val="16"/>
              </w:rPr>
              <w:t>Hierarchical linear regression + supplementary MIMIC SEM</w:t>
            </w:r>
          </w:p>
        </w:tc>
        <w:tc>
          <w:tcPr>
            <w:tcW w:type="dxa" w:w="1926"/>
            <w:vAlign w:val="center"/>
          </w:tcPr>
          <w:p>
            <w:pPr>
              <w:spacing w:after="0" w:before="0" w:line="240" w:lineRule="auto"/>
              <w:jc w:val="left"/>
            </w:pPr>
            <w:r/>
            <w:r>
              <w:rPr>
                <w:rFonts w:ascii="Times New Roman" w:hAnsi="Times New Roman" w:eastAsia="Times New Roman"/>
                <w:b w:val="0"/>
                <w:sz w:val="16"/>
              </w:rPr>
              <w:t>Focuses on place-of-origin differences and family background; social-media and high-risk behavioral variables are not presented as main results.</w:t>
            </w:r>
          </w:p>
        </w:tc>
      </w:tr>
      <w:tr>
        <w:tc>
          <w:tcPr>
            <w:tcW w:type="dxa" w:w="1926"/>
            <w:vAlign w:val="center"/>
          </w:tcPr>
          <w:p>
            <w:pPr>
              <w:spacing w:after="0" w:before="0" w:line="240" w:lineRule="auto"/>
              <w:jc w:val="left"/>
            </w:pPr>
            <w:r/>
            <w:r>
              <w:rPr>
                <w:rFonts w:ascii="Times New Roman" w:hAnsi="Times New Roman" w:eastAsia="Times New Roman"/>
                <w:b w:val="0"/>
                <w:sz w:val="16"/>
              </w:rPr>
              <w:t>Related manuscript A</w:t>
            </w:r>
          </w:p>
        </w:tc>
        <w:tc>
          <w:tcPr>
            <w:tcW w:type="dxa" w:w="1926"/>
            <w:vAlign w:val="center"/>
          </w:tcPr>
          <w:p>
            <w:pPr>
              <w:spacing w:after="0" w:before="0" w:line="240" w:lineRule="auto"/>
              <w:jc w:val="left"/>
            </w:pPr>
            <w:r/>
            <w:r>
              <w:rPr>
                <w:rFonts w:ascii="Times New Roman" w:hAnsi="Times New Roman" w:eastAsia="Times New Roman"/>
                <w:b w:val="0"/>
                <w:sz w:val="16"/>
              </w:rPr>
              <w:t>Full parent survey</w:t>
            </w:r>
          </w:p>
        </w:tc>
        <w:tc>
          <w:tcPr>
            <w:tcW w:type="dxa" w:w="1926"/>
            <w:vAlign w:val="center"/>
          </w:tcPr>
          <w:p>
            <w:pPr>
              <w:spacing w:after="0" w:before="0" w:line="240" w:lineRule="auto"/>
              <w:jc w:val="left"/>
            </w:pPr>
            <w:r/>
            <w:r>
              <w:rPr>
                <w:rFonts w:ascii="Times New Roman" w:hAnsi="Times New Roman" w:eastAsia="Times New Roman"/>
                <w:b w:val="0"/>
                <w:sz w:val="16"/>
              </w:rPr>
              <w:t>Potential problematic social media use (BSMAS ≥ 19)</w:t>
            </w:r>
          </w:p>
        </w:tc>
        <w:tc>
          <w:tcPr>
            <w:tcW w:type="dxa" w:w="1926"/>
            <w:vAlign w:val="center"/>
          </w:tcPr>
          <w:p>
            <w:pPr>
              <w:spacing w:after="0" w:before="0" w:line="240" w:lineRule="auto"/>
              <w:jc w:val="left"/>
            </w:pPr>
            <w:r/>
            <w:r>
              <w:rPr>
                <w:rFonts w:ascii="Times New Roman" w:hAnsi="Times New Roman" w:eastAsia="Times New Roman"/>
                <w:b w:val="0"/>
                <w:sz w:val="16"/>
              </w:rPr>
              <w:t>Explainable machine learning</w:t>
            </w:r>
          </w:p>
        </w:tc>
        <w:tc>
          <w:tcPr>
            <w:tcW w:type="dxa" w:w="1926"/>
            <w:vAlign w:val="center"/>
          </w:tcPr>
          <w:p>
            <w:pPr>
              <w:spacing w:after="0" w:before="0" w:line="240" w:lineRule="auto"/>
              <w:jc w:val="left"/>
            </w:pPr>
            <w:r/>
            <w:r>
              <w:rPr>
                <w:rFonts w:ascii="Times New Roman" w:hAnsi="Times New Roman" w:eastAsia="Times New Roman"/>
                <w:b w:val="0"/>
                <w:sz w:val="16"/>
              </w:rPr>
              <w:t>Uses a different primary outcome, a different analytic objective (prediction rather than explanation), and different main tables/figures.</w:t>
            </w:r>
          </w:p>
        </w:tc>
      </w:tr>
      <w:tr>
        <w:tc>
          <w:tcPr>
            <w:tcW w:type="dxa" w:w="1926"/>
            <w:vAlign w:val="center"/>
          </w:tcPr>
          <w:p>
            <w:pPr>
              <w:spacing w:after="0" w:before="0" w:line="240" w:lineRule="auto"/>
              <w:jc w:val="left"/>
            </w:pPr>
            <w:r/>
            <w:r>
              <w:rPr>
                <w:rFonts w:ascii="Times New Roman" w:hAnsi="Times New Roman" w:eastAsia="Times New Roman"/>
                <w:b w:val="0"/>
                <w:sz w:val="16"/>
              </w:rPr>
              <w:t>Related manuscript B</w:t>
            </w:r>
          </w:p>
        </w:tc>
        <w:tc>
          <w:tcPr>
            <w:tcW w:type="dxa" w:w="1926"/>
            <w:vAlign w:val="center"/>
          </w:tcPr>
          <w:p>
            <w:pPr>
              <w:spacing w:after="0" w:before="0" w:line="240" w:lineRule="auto"/>
              <w:jc w:val="left"/>
            </w:pPr>
            <w:r/>
            <w:r>
              <w:rPr>
                <w:rFonts w:ascii="Times New Roman" w:hAnsi="Times New Roman" w:eastAsia="Times New Roman"/>
                <w:b w:val="0"/>
                <w:sz w:val="16"/>
              </w:rPr>
              <w:t>Sexually experienced subsample only</w:t>
            </w:r>
          </w:p>
        </w:tc>
        <w:tc>
          <w:tcPr>
            <w:tcW w:type="dxa" w:w="1926"/>
            <w:vAlign w:val="center"/>
          </w:tcPr>
          <w:p>
            <w:pPr>
              <w:spacing w:after="0" w:before="0" w:line="240" w:lineRule="auto"/>
              <w:jc w:val="left"/>
            </w:pPr>
            <w:r/>
            <w:r>
              <w:rPr>
                <w:rFonts w:ascii="Times New Roman" w:hAnsi="Times New Roman" w:eastAsia="Times New Roman"/>
                <w:b w:val="0"/>
                <w:sz w:val="16"/>
              </w:rPr>
              <w:t>Clustered direct sexual risk behaviors and adverse sex-related outcomes</w:t>
            </w:r>
          </w:p>
        </w:tc>
        <w:tc>
          <w:tcPr>
            <w:tcW w:type="dxa" w:w="1926"/>
            <w:vAlign w:val="center"/>
          </w:tcPr>
          <w:p>
            <w:pPr>
              <w:spacing w:after="0" w:before="0" w:line="240" w:lineRule="auto"/>
              <w:jc w:val="left"/>
            </w:pPr>
            <w:r/>
            <w:r>
              <w:rPr>
                <w:rFonts w:ascii="Times New Roman" w:hAnsi="Times New Roman" w:eastAsia="Times New Roman"/>
                <w:b w:val="0"/>
                <w:sz w:val="16"/>
              </w:rPr>
              <w:t>Multivariable regression in a restricted subsample</w:t>
            </w:r>
          </w:p>
        </w:tc>
        <w:tc>
          <w:tcPr>
            <w:tcW w:type="dxa" w:w="1926"/>
            <w:vAlign w:val="center"/>
          </w:tcPr>
          <w:p>
            <w:pPr>
              <w:spacing w:after="0" w:before="0" w:line="240" w:lineRule="auto"/>
              <w:jc w:val="left"/>
            </w:pPr>
            <w:r/>
            <w:r>
              <w:rPr>
                <w:rFonts w:ascii="Times New Roman" w:hAnsi="Times New Roman" w:eastAsia="Times New Roman"/>
                <w:b w:val="0"/>
                <w:sz w:val="16"/>
              </w:rPr>
              <w:t>Uses a different analytic sample and sexual-health outcomes rather than DASS-21 psychological distress.</w:t>
            </w:r>
          </w:p>
        </w:tc>
      </w:tr>
    </w:tbl>
    <w:p>
      <w:r>
        <w:t>We confirm that the current submission does not reuse another manuscript's primary outcome, analytic objective, main tables, or main figures. The overlap is limited to the common parent survey, the survey administration details, and a small set of background variables required for sample description and statistical adjustment.</w:t>
      </w:r>
    </w:p>
    <w:sectPr w:rsidR="00FC693F" w:rsidRPr="0006063C" w:rsidSect="00034616">
      <w:footerReference w:type="default" r:id="rId9"/>
      <w:pgSz w:w="12240" w:h="15840"/>
      <w:pgMar w:top="1247" w:right="1304" w:bottom="1134" w:left="1304" w:header="720" w:footer="720" w:gutter="0"/>
      <w:cols w:space="720"/>
      <w:docGrid w:linePitch="360"/>
      <w:lnNumType w:countBy="1" w:restart="newPag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after="0" w:before="0"/>
      <w:jc w:val="center"/>
    </w:pPr>
    <w:r>
      <w:fldChar w:fldCharType="begin"/>
      <w:instrText xml:space="preserve"> PAGE </w:instrText>
      <w:fldChar w:fldCharType="separate"/>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480" w:lineRule="auto" w:after="120" w:before="0"/>
    </w:pPr>
    <w:rPr>
      <w:rFonts w:ascii="Times New Roman" w:hAnsi="Times New Roman" w:eastAsia="Times New Roman"/>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40" w:after="120"/>
      <w:outlineLvl w:val="0"/>
    </w:pPr>
    <w:rPr>
      <w:rFonts w:asciiTheme="majorHAnsi" w:eastAsiaTheme="majorEastAsia" w:hAnsiTheme="majorHAnsi" w:cstheme="majorBidi" w:ascii="Times New Roman" w:hAnsi="Times New Roman" w:eastAsia="Times New Roman"/>
      <w:b/>
      <w:bCs/>
      <w:color w:val="365F91" w:themeColor="accent1" w:themeShade="BF"/>
      <w:sz w:val="26"/>
      <w:szCs w:val="28"/>
    </w:rPr>
  </w:style>
  <w:style w:type="paragraph" w:styleId="Heading2">
    <w:name w:val="heading 2"/>
    <w:basedOn w:val="Normal"/>
    <w:next w:val="Normal"/>
    <w:link w:val="Heading2Char"/>
    <w:uiPriority w:val="9"/>
    <w:unhideWhenUsed/>
    <w:qFormat/>
    <w:rsid w:val="00FC693F"/>
    <w:pPr>
      <w:keepNext/>
      <w:keepLines/>
      <w:spacing w:before="160" w:after="80"/>
      <w:outlineLvl w:val="1"/>
    </w:pPr>
    <w:rPr>
      <w:rFonts w:asciiTheme="majorHAnsi" w:eastAsiaTheme="majorEastAsia" w:hAnsiTheme="majorHAnsi" w:cstheme="majorBidi" w:ascii="Times New Roman" w:hAnsi="Times New Roman" w:eastAsia="Times New Roman"/>
      <w:b/>
      <w:bCs/>
      <w:color w:val="4F81BD" w:themeColor="accent1"/>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Times New Roman" w:hAnsi="Times New Roman" w:eastAsia="Times New Roman"/>
      <w:b/>
      <w:bCs/>
      <w:color w:val="4F81BD" w:themeColor="accent1"/>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Times New Roman" w:hAnsi="Times New Roman" w:eastAsia="Times New Roman"/>
      <w:b/>
      <w:color w:val="17365D" w:themeColor="text2" w:themeShade="BF"/>
      <w:spacing w:val="5"/>
      <w:kern w:val="28"/>
      <w:sz w:val="3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