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85A6D" w14:textId="1FC43E51" w:rsidR="001907AA" w:rsidRPr="005C5C20" w:rsidRDefault="001907AA" w:rsidP="00684FB8">
      <w:pPr>
        <w:spacing w:line="480" w:lineRule="auto"/>
        <w:jc w:val="center"/>
        <w:rPr>
          <w:rFonts w:ascii="Arial" w:hAnsi="Arial" w:cs="Arial"/>
          <w:b/>
          <w:bCs/>
          <w:color w:val="000000"/>
        </w:rPr>
      </w:pPr>
      <w:r w:rsidRPr="005C5C20">
        <w:rPr>
          <w:rFonts w:ascii="Arial" w:hAnsi="Arial" w:cs="Arial"/>
          <w:b/>
          <w:bCs/>
          <w:color w:val="000000"/>
        </w:rPr>
        <w:t>Supplementary file</w:t>
      </w:r>
    </w:p>
    <w:p w14:paraId="3A4C3F24" w14:textId="1D925B25" w:rsidR="001907AA" w:rsidRPr="005C5C20" w:rsidRDefault="00A358AA" w:rsidP="00684FB8">
      <w:pPr>
        <w:spacing w:line="480" w:lineRule="auto"/>
        <w:jc w:val="both"/>
        <w:rPr>
          <w:rFonts w:ascii="Arial" w:hAnsi="Arial" w:cs="Arial"/>
          <w:b/>
          <w:bCs/>
          <w:color w:val="000000"/>
        </w:rPr>
      </w:pPr>
      <w:r w:rsidRPr="005C5C20">
        <w:rPr>
          <w:rFonts w:ascii="Arial" w:hAnsi="Arial" w:cs="Arial"/>
          <w:b/>
          <w:bCs/>
          <w:color w:val="000000"/>
        </w:rPr>
        <w:t>Supplementary Methods</w:t>
      </w:r>
    </w:p>
    <w:p w14:paraId="4049080F" w14:textId="77777777" w:rsidR="00A358AA" w:rsidRPr="005C5C20" w:rsidRDefault="00A358AA" w:rsidP="00684FB8">
      <w:pPr>
        <w:spacing w:line="480" w:lineRule="auto"/>
        <w:jc w:val="both"/>
        <w:rPr>
          <w:rFonts w:ascii="Arial" w:eastAsia="Helvetica" w:hAnsi="Arial" w:cs="Arial"/>
          <w:b/>
          <w:bCs/>
          <w:color w:val="000000"/>
        </w:rPr>
      </w:pPr>
      <w:r w:rsidRPr="005C5C20">
        <w:rPr>
          <w:rFonts w:ascii="Arial" w:eastAsia="Helvetica" w:hAnsi="Arial" w:cs="Arial"/>
          <w:b/>
          <w:bCs/>
          <w:color w:val="000000"/>
        </w:rPr>
        <w:t>1. Statistical Software</w:t>
      </w:r>
    </w:p>
    <w:p w14:paraId="4CC6FC0B" w14:textId="1BDEEE06" w:rsidR="00A358AA" w:rsidRPr="005C5C20" w:rsidRDefault="00A358AA" w:rsidP="00684FB8">
      <w:pPr>
        <w:spacing w:line="480" w:lineRule="auto"/>
        <w:jc w:val="both"/>
        <w:rPr>
          <w:rFonts w:ascii="Arial" w:eastAsia="Helvetica" w:hAnsi="Arial" w:cs="Arial"/>
          <w:color w:val="000000"/>
        </w:rPr>
      </w:pPr>
      <w:r w:rsidRPr="005C5C20">
        <w:rPr>
          <w:rFonts w:ascii="Arial" w:eastAsia="Helvetica" w:hAnsi="Arial" w:cs="Arial"/>
          <w:color w:val="000000"/>
        </w:rPr>
        <w:t>All statistical analyses were performed using</w:t>
      </w:r>
      <w:r w:rsidR="00677ECB">
        <w:rPr>
          <w:rFonts w:ascii="Arial" w:eastAsia="Helvetica" w:hAnsi="Arial" w:cs="Arial" w:hint="eastAsia"/>
          <w:color w:val="000000"/>
        </w:rPr>
        <w:t xml:space="preserve"> </w:t>
      </w:r>
      <w:r w:rsidR="00677ECB" w:rsidRPr="00677ECB">
        <w:rPr>
          <w:rFonts w:ascii="Arial" w:eastAsia="Helvetica" w:hAnsi="Arial" w:cs="Arial"/>
          <w:color w:val="000000"/>
        </w:rPr>
        <w:t>R (version 4.</w:t>
      </w:r>
      <w:r w:rsidR="00677ECB">
        <w:rPr>
          <w:rFonts w:ascii="Arial" w:eastAsia="Helvetica" w:hAnsi="Arial" w:cs="Arial" w:hint="eastAsia"/>
          <w:color w:val="000000"/>
        </w:rPr>
        <w:t>5</w:t>
      </w:r>
      <w:r w:rsidR="00677ECB" w:rsidRPr="00677ECB">
        <w:rPr>
          <w:rFonts w:ascii="Arial" w:eastAsia="Helvetica" w:hAnsi="Arial" w:cs="Arial"/>
          <w:color w:val="000000"/>
        </w:rPr>
        <w:t>.1; R Foundation for Statistical Computing, Vienna, Austria) with RStudio (version 2025.05.1+513)</w:t>
      </w:r>
      <w:r w:rsidRPr="005C5C20">
        <w:rPr>
          <w:rFonts w:ascii="Arial" w:eastAsia="Helvetica" w:hAnsi="Arial" w:cs="Arial"/>
          <w:color w:val="000000"/>
        </w:rPr>
        <w:t>. The following packages were used:</w:t>
      </w:r>
    </w:p>
    <w:p w14:paraId="08C00E9C" w14:textId="77C0A899" w:rsidR="00A358AA" w:rsidRPr="005C5C20" w:rsidRDefault="003B5BF9" w:rsidP="00684FB8">
      <w:pPr>
        <w:spacing w:line="480" w:lineRule="auto"/>
        <w:jc w:val="both"/>
        <w:rPr>
          <w:rFonts w:ascii="Arial" w:eastAsia="Helvetica" w:hAnsi="Arial" w:cs="Arial"/>
          <w:color w:val="000000"/>
        </w:rPr>
      </w:pPr>
      <w:r w:rsidRPr="003B5BF9">
        <w:rPr>
          <w:rFonts w:ascii="Arial" w:eastAsia="Helvetica" w:hAnsi="Arial" w:cs="Arial" w:hint="eastAsia"/>
          <w:color w:val="000000"/>
        </w:rPr>
        <w:t>(1)</w:t>
      </w:r>
      <w:r w:rsidR="001135DC" w:rsidRPr="005C5C20">
        <w:rPr>
          <w:rFonts w:ascii="Arial" w:eastAsia="Helvetica" w:hAnsi="Arial" w:cs="Arial"/>
          <w:color w:val="000000"/>
        </w:rPr>
        <w:t xml:space="preserve"> </w:t>
      </w:r>
      <w:proofErr w:type="spellStart"/>
      <w:r w:rsidR="00A358AA" w:rsidRPr="003B5BF9">
        <w:rPr>
          <w:rFonts w:ascii="Arial" w:eastAsia="Helvetica" w:hAnsi="Arial" w:cs="Arial"/>
          <w:color w:val="000000"/>
        </w:rPr>
        <w:t>logistf</w:t>
      </w:r>
      <w:proofErr w:type="spellEnd"/>
      <w:r w:rsidR="00A358AA" w:rsidRPr="005C5C20">
        <w:rPr>
          <w:rFonts w:ascii="Arial" w:eastAsia="Helvetica" w:hAnsi="Arial" w:cs="Arial"/>
          <w:color w:val="000000"/>
        </w:rPr>
        <w:t xml:space="preserve"> for Firth penalized logistic </w:t>
      </w:r>
      <w:r w:rsidR="006C5700" w:rsidRPr="005C5C20">
        <w:rPr>
          <w:rFonts w:ascii="Arial" w:eastAsia="Helvetica" w:hAnsi="Arial" w:cs="Arial"/>
          <w:color w:val="000000"/>
        </w:rPr>
        <w:t>regression.</w:t>
      </w:r>
    </w:p>
    <w:p w14:paraId="4AFD3DA1" w14:textId="4404B65B" w:rsidR="00A358AA" w:rsidRPr="005C5C20" w:rsidRDefault="003B5BF9" w:rsidP="00684FB8">
      <w:pPr>
        <w:spacing w:line="480" w:lineRule="auto"/>
        <w:jc w:val="both"/>
        <w:rPr>
          <w:rFonts w:ascii="Arial" w:eastAsia="Helvetica" w:hAnsi="Arial" w:cs="Arial"/>
          <w:color w:val="000000"/>
        </w:rPr>
      </w:pPr>
      <w:r>
        <w:rPr>
          <w:rFonts w:ascii="Arial" w:eastAsia="Helvetica" w:hAnsi="Arial" w:cs="Arial" w:hint="eastAsia"/>
          <w:color w:val="000000"/>
        </w:rPr>
        <w:t>(2)</w:t>
      </w:r>
      <w:r w:rsidR="001135DC" w:rsidRPr="005C5C20">
        <w:rPr>
          <w:rFonts w:ascii="Arial" w:eastAsia="Helvetica" w:hAnsi="Arial" w:cs="Arial"/>
          <w:color w:val="000000"/>
        </w:rPr>
        <w:t xml:space="preserve"> </w:t>
      </w:r>
      <w:proofErr w:type="spellStart"/>
      <w:r w:rsidR="00A358AA" w:rsidRPr="003B5BF9">
        <w:rPr>
          <w:rFonts w:ascii="Arial" w:eastAsia="Helvetica" w:hAnsi="Arial" w:cs="Arial"/>
          <w:color w:val="000000"/>
        </w:rPr>
        <w:t>glmnet</w:t>
      </w:r>
      <w:proofErr w:type="spellEnd"/>
      <w:r w:rsidR="00A358AA" w:rsidRPr="005C5C20">
        <w:rPr>
          <w:rFonts w:ascii="Arial" w:eastAsia="Helvetica" w:hAnsi="Arial" w:cs="Arial"/>
          <w:color w:val="000000"/>
        </w:rPr>
        <w:t xml:space="preserve"> for least absolute shrinkage and selection operator (LASSO) logistic </w:t>
      </w:r>
      <w:r w:rsidR="006C5700" w:rsidRPr="005C5C20">
        <w:rPr>
          <w:rFonts w:ascii="Arial" w:eastAsia="Helvetica" w:hAnsi="Arial" w:cs="Arial"/>
          <w:color w:val="000000"/>
        </w:rPr>
        <w:t>regression.</w:t>
      </w:r>
    </w:p>
    <w:p w14:paraId="703223D9" w14:textId="78474477" w:rsidR="00A358AA" w:rsidRPr="005C5C20" w:rsidRDefault="003B5BF9" w:rsidP="00684FB8">
      <w:pPr>
        <w:spacing w:line="480" w:lineRule="auto"/>
        <w:jc w:val="both"/>
        <w:rPr>
          <w:rFonts w:ascii="Arial" w:eastAsia="Helvetica" w:hAnsi="Arial" w:cs="Arial"/>
          <w:color w:val="000000"/>
        </w:rPr>
      </w:pPr>
      <w:r>
        <w:rPr>
          <w:rFonts w:ascii="Arial" w:eastAsia="Helvetica" w:hAnsi="Arial" w:cs="Arial" w:hint="eastAsia"/>
          <w:color w:val="000000"/>
        </w:rPr>
        <w:t>(3)</w:t>
      </w:r>
      <w:r w:rsidR="001135DC" w:rsidRPr="005C5C20">
        <w:rPr>
          <w:rFonts w:ascii="Arial" w:eastAsia="Helvetica" w:hAnsi="Arial" w:cs="Arial"/>
          <w:color w:val="000000"/>
        </w:rPr>
        <w:t xml:space="preserve"> </w:t>
      </w:r>
      <w:proofErr w:type="spellStart"/>
      <w:r w:rsidR="00A358AA" w:rsidRPr="003B5BF9">
        <w:rPr>
          <w:rFonts w:ascii="Arial" w:eastAsia="Helvetica" w:hAnsi="Arial" w:cs="Arial"/>
          <w:color w:val="000000"/>
        </w:rPr>
        <w:t>pROC</w:t>
      </w:r>
      <w:proofErr w:type="spellEnd"/>
      <w:r w:rsidR="00A358AA" w:rsidRPr="005C5C20">
        <w:rPr>
          <w:rFonts w:ascii="Arial" w:eastAsia="Helvetica" w:hAnsi="Arial" w:cs="Arial"/>
          <w:color w:val="000000"/>
        </w:rPr>
        <w:t xml:space="preserve"> for receiver-operating characteristic (ROC) curve </w:t>
      </w:r>
      <w:r w:rsidR="006C5700" w:rsidRPr="005C5C20">
        <w:rPr>
          <w:rFonts w:ascii="Arial" w:eastAsia="Helvetica" w:hAnsi="Arial" w:cs="Arial"/>
          <w:color w:val="000000"/>
        </w:rPr>
        <w:t>analysis.</w:t>
      </w:r>
    </w:p>
    <w:p w14:paraId="4E963E48" w14:textId="3D95637D" w:rsidR="00A358AA" w:rsidRPr="005C5C20" w:rsidRDefault="003B5BF9" w:rsidP="00684FB8">
      <w:pPr>
        <w:spacing w:line="480" w:lineRule="auto"/>
        <w:jc w:val="both"/>
        <w:rPr>
          <w:rFonts w:ascii="Arial" w:eastAsia="Helvetica" w:hAnsi="Arial" w:cs="Arial"/>
          <w:color w:val="000000"/>
        </w:rPr>
      </w:pPr>
      <w:r>
        <w:rPr>
          <w:rFonts w:ascii="Arial" w:eastAsia="Helvetica" w:hAnsi="Arial" w:cs="Arial" w:hint="eastAsia"/>
          <w:color w:val="000000"/>
        </w:rPr>
        <w:t>(4)</w:t>
      </w:r>
      <w:r w:rsidR="001135DC" w:rsidRPr="005C5C20">
        <w:rPr>
          <w:rFonts w:ascii="Arial" w:eastAsia="Helvetica" w:hAnsi="Arial" w:cs="Arial"/>
          <w:color w:val="000000"/>
        </w:rPr>
        <w:t xml:space="preserve"> </w:t>
      </w:r>
      <w:r w:rsidR="00A358AA" w:rsidRPr="003B5BF9">
        <w:rPr>
          <w:rFonts w:ascii="Arial" w:eastAsia="Helvetica" w:hAnsi="Arial" w:cs="Arial"/>
          <w:color w:val="000000"/>
        </w:rPr>
        <w:t xml:space="preserve">boot </w:t>
      </w:r>
      <w:r w:rsidR="00A358AA" w:rsidRPr="005C5C20">
        <w:rPr>
          <w:rFonts w:ascii="Arial" w:eastAsia="Helvetica" w:hAnsi="Arial" w:cs="Arial"/>
          <w:color w:val="000000"/>
        </w:rPr>
        <w:t>for bootstrap resampling and internal validation.</w:t>
      </w:r>
    </w:p>
    <w:p w14:paraId="5A9EB68B" w14:textId="74E03322" w:rsidR="001907AA" w:rsidRPr="005C5C20" w:rsidRDefault="00A358AA" w:rsidP="00684FB8">
      <w:pPr>
        <w:spacing w:line="480" w:lineRule="auto"/>
        <w:jc w:val="both"/>
        <w:rPr>
          <w:rFonts w:ascii="Arial" w:eastAsia="Helvetica" w:hAnsi="Arial" w:cs="Arial"/>
          <w:color w:val="000000"/>
        </w:rPr>
      </w:pPr>
      <w:r w:rsidRPr="005C5C20">
        <w:rPr>
          <w:rFonts w:ascii="Arial" w:eastAsia="Helvetica" w:hAnsi="Arial" w:cs="Arial"/>
          <w:color w:val="000000"/>
        </w:rPr>
        <w:t>A two-sided p &lt; 0.05 was considered statistically significant.</w:t>
      </w:r>
    </w:p>
    <w:p w14:paraId="7922FBC9" w14:textId="77777777" w:rsidR="001135DC" w:rsidRPr="005C5C20" w:rsidRDefault="001135DC" w:rsidP="00684FB8">
      <w:pPr>
        <w:spacing w:line="480" w:lineRule="auto"/>
        <w:jc w:val="both"/>
        <w:rPr>
          <w:rFonts w:ascii="Arial" w:eastAsia="Helvetica" w:hAnsi="Arial" w:cs="Arial"/>
          <w:b/>
          <w:bCs/>
          <w:color w:val="000000"/>
        </w:rPr>
      </w:pPr>
      <w:r w:rsidRPr="005C5C20">
        <w:rPr>
          <w:rFonts w:ascii="Arial" w:eastAsia="Helvetica" w:hAnsi="Arial" w:cs="Arial"/>
          <w:b/>
          <w:bCs/>
          <w:color w:val="000000"/>
        </w:rPr>
        <w:t>2. Feature Selection and Model Development</w:t>
      </w:r>
    </w:p>
    <w:p w14:paraId="4E224335"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2.1 Feature Screening</w:t>
      </w:r>
    </w:p>
    <w:p w14:paraId="030B275D" w14:textId="309C8559" w:rsidR="00EA63AD" w:rsidRPr="005C5C20" w:rsidRDefault="00EA63AD" w:rsidP="00684FB8">
      <w:pPr>
        <w:spacing w:line="480" w:lineRule="auto"/>
        <w:jc w:val="both"/>
        <w:rPr>
          <w:rFonts w:ascii="Arial" w:eastAsia="Helvetica" w:hAnsi="Arial" w:cs="Arial"/>
          <w:color w:val="000000"/>
        </w:rPr>
      </w:pPr>
      <w:r w:rsidRPr="005C5C20">
        <w:rPr>
          <w:rFonts w:ascii="Arial" w:eastAsia="Helvetica" w:hAnsi="Arial" w:cs="Arial"/>
          <w:color w:val="000000"/>
        </w:rPr>
        <w:t xml:space="preserve">All preoperative variables were first examined using univariable Firth logistic regression to explore crude associations with early mortality. Although no single variable reached conventional statistical significance, several parameters showed trends consistent with clinical relevance (e.g., higher age, lower </w:t>
      </w:r>
      <w:proofErr w:type="spellStart"/>
      <w:r w:rsidRPr="005C5C20">
        <w:rPr>
          <w:rFonts w:ascii="Arial" w:eastAsia="Helvetica" w:hAnsi="Arial" w:cs="Arial"/>
          <w:color w:val="000000"/>
        </w:rPr>
        <w:t>SvO</w:t>
      </w:r>
      <w:proofErr w:type="spellEnd"/>
      <w:r w:rsidRPr="005C5C20">
        <w:rPr>
          <w:rFonts w:ascii="Cambria Math" w:eastAsia="Helvetica" w:hAnsi="Cambria Math" w:cs="Cambria Math"/>
          <w:color w:val="000000"/>
        </w:rPr>
        <w:t>₂</w:t>
      </w:r>
      <w:r w:rsidRPr="005C5C20">
        <w:rPr>
          <w:rFonts w:ascii="Arial" w:eastAsia="Helvetica" w:hAnsi="Arial" w:cs="Arial"/>
          <w:color w:val="000000"/>
        </w:rPr>
        <w:t>, and impaired hepatic–renal function). Therefore, all clinically plausible variables were further evaluated using penalized regression for multivariable model development.</w:t>
      </w:r>
      <w:r w:rsidR="008E2B4E">
        <w:rPr>
          <w:rFonts w:ascii="Arial" w:eastAsia="Helvetica" w:hAnsi="Arial" w:cs="Arial" w:hint="eastAsia"/>
          <w:color w:val="000000"/>
        </w:rPr>
        <w:t xml:space="preserve"> </w:t>
      </w:r>
      <w:r w:rsidR="008E2B4E" w:rsidRPr="008E2B4E">
        <w:rPr>
          <w:rFonts w:ascii="Arial" w:eastAsia="Helvetica" w:hAnsi="Arial" w:cs="Arial"/>
          <w:color w:val="000000"/>
        </w:rPr>
        <w:t>The detailed results are presented in the Supplementary Results.</w:t>
      </w:r>
    </w:p>
    <w:p w14:paraId="299C3EB4"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lastRenderedPageBreak/>
        <w:t>2.2 LASSO Logistic Regression</w:t>
      </w:r>
    </w:p>
    <w:p w14:paraId="6A1E3CE8"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To prevent model overfitting and manage collinearity among predictors, feature selection was conducted using LASSO logistic regression with 10-fold cross-validation.</w:t>
      </w:r>
    </w:p>
    <w:p w14:paraId="25136EFE"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Predictors were standardized (z-scores) before penalization.</w:t>
      </w:r>
    </w:p>
    <w:p w14:paraId="7595D086"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The optimal penalty parameter (λ&lt;sub&gt;min&lt;/sub&gt; = 0.00407) corresponding to the minimum binomial deviance was chosen for variable retention.</w:t>
      </w:r>
    </w:p>
    <w:p w14:paraId="0F6DA51C"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Variables with nonzero coefficients at λ&lt;sub&gt;min&lt;/sub&gt; were entered into the final multivariable model.</w:t>
      </w:r>
    </w:p>
    <w:p w14:paraId="7C63E362"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2.3 Multivariable Firth Penalized Logistic Regression</w:t>
      </w:r>
    </w:p>
    <w:p w14:paraId="773F639D" w14:textId="4403002A" w:rsidR="00677ECB" w:rsidRPr="005C5C20" w:rsidRDefault="00677ECB" w:rsidP="00684FB8">
      <w:pPr>
        <w:spacing w:line="480" w:lineRule="auto"/>
        <w:jc w:val="both"/>
        <w:rPr>
          <w:rFonts w:ascii="Arial" w:eastAsia="Helvetica" w:hAnsi="Arial" w:cs="Arial"/>
          <w:color w:val="000000"/>
        </w:rPr>
      </w:pPr>
      <w:r w:rsidRPr="00677ECB">
        <w:rPr>
          <w:rFonts w:ascii="Arial" w:eastAsia="Helvetica" w:hAnsi="Arial" w:cs="Arial"/>
          <w:color w:val="000000"/>
        </w:rPr>
        <w:t>Variables selected by LASSO were incorporated into a Firth penalized logistic regression refit in original measurement units to ensure interpretable odds ratios. Regression coefficients were exponentiated to obtain odds ratios (ORs) with 95% confidence intervals (CIs).</w:t>
      </w:r>
    </w:p>
    <w:p w14:paraId="136F8D8E" w14:textId="544CF49F" w:rsidR="001907AA"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Model convergence was assessed by profile penalized likelihood estimation.</w:t>
      </w:r>
    </w:p>
    <w:p w14:paraId="29A1C17F" w14:textId="77777777" w:rsidR="001135DC" w:rsidRPr="005C5C20" w:rsidRDefault="001135DC" w:rsidP="00684FB8">
      <w:pPr>
        <w:spacing w:line="480" w:lineRule="auto"/>
        <w:jc w:val="both"/>
        <w:rPr>
          <w:rFonts w:ascii="Arial" w:eastAsia="Helvetica" w:hAnsi="Arial" w:cs="Arial"/>
          <w:b/>
          <w:bCs/>
          <w:color w:val="000000"/>
        </w:rPr>
      </w:pPr>
      <w:r w:rsidRPr="005C5C20">
        <w:rPr>
          <w:rFonts w:ascii="Arial" w:eastAsia="Helvetica" w:hAnsi="Arial" w:cs="Arial"/>
          <w:b/>
          <w:bCs/>
          <w:color w:val="000000"/>
        </w:rPr>
        <w:t>3. Model Calibration and Validation</w:t>
      </w:r>
    </w:p>
    <w:p w14:paraId="3D88FAB5"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3.1 Calibration</w:t>
      </w:r>
    </w:p>
    <w:p w14:paraId="4B06B5DD"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Calibration of the final model was evaluated by comparing predicted versus observed probabilities of early mortality using a calibration plot and Brier score. The ideal calibration line (slope = 1, intercept = 0) was used as reference.</w:t>
      </w:r>
    </w:p>
    <w:p w14:paraId="5B7BBD65"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3.2 Discrimination</w:t>
      </w:r>
    </w:p>
    <w:p w14:paraId="351DAAED"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lastRenderedPageBreak/>
        <w:t>Model discrimination was quantified by the area under the ROC curve (AUC) with 95% CIs obtained by 1,000 stratified bootstrap replicates.</w:t>
      </w:r>
    </w:p>
    <w:p w14:paraId="4E331AC4" w14:textId="77777777"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3.3 Internal Validation</w:t>
      </w:r>
    </w:p>
    <w:p w14:paraId="4C772940" w14:textId="1996B4C9" w:rsidR="001135DC" w:rsidRPr="005C5C20" w:rsidRDefault="001135DC" w:rsidP="00684FB8">
      <w:pPr>
        <w:spacing w:line="480" w:lineRule="auto"/>
        <w:jc w:val="both"/>
        <w:rPr>
          <w:rFonts w:ascii="Arial" w:eastAsia="Helvetica" w:hAnsi="Arial" w:cs="Arial"/>
          <w:color w:val="000000"/>
        </w:rPr>
      </w:pPr>
      <w:r w:rsidRPr="005C5C20">
        <w:rPr>
          <w:rFonts w:ascii="Arial" w:eastAsia="Helvetica" w:hAnsi="Arial" w:cs="Arial"/>
          <w:color w:val="000000"/>
        </w:rPr>
        <w:t>Internal validation was conducted through bootstrap resampling (1,000 iterations) to estimate optimism-corrected discrimination and calibration. In each bootstrap iteration, the model was refitted on the resampled dataset and tested on the original cohort to calculate bias-adjusted AUC and calibration slope.</w:t>
      </w:r>
    </w:p>
    <w:p w14:paraId="412D2DB7" w14:textId="77777777" w:rsidR="00677ECB" w:rsidRDefault="001135DC" w:rsidP="00684FB8">
      <w:pPr>
        <w:spacing w:line="480" w:lineRule="auto"/>
        <w:jc w:val="both"/>
        <w:rPr>
          <w:rFonts w:ascii="Arial" w:eastAsia="Helvetica" w:hAnsi="Arial" w:cs="Arial"/>
          <w:b/>
          <w:bCs/>
          <w:color w:val="000000"/>
        </w:rPr>
      </w:pPr>
      <w:r w:rsidRPr="005C5C20">
        <w:rPr>
          <w:rFonts w:ascii="Arial" w:eastAsia="Helvetica" w:hAnsi="Arial" w:cs="Arial"/>
          <w:b/>
          <w:bCs/>
          <w:color w:val="000000"/>
        </w:rPr>
        <w:t>4. Handling of Missing Data</w:t>
      </w:r>
    </w:p>
    <w:p w14:paraId="5702D8D5" w14:textId="6D0A5A0A" w:rsidR="00677ECB" w:rsidRPr="00677ECB" w:rsidRDefault="00677ECB" w:rsidP="00684FB8">
      <w:pPr>
        <w:spacing w:line="480" w:lineRule="auto"/>
        <w:jc w:val="both"/>
        <w:rPr>
          <w:rFonts w:ascii="Arial" w:eastAsia="Helvetica" w:hAnsi="Arial" w:cs="Arial"/>
          <w:b/>
          <w:bCs/>
          <w:color w:val="000000"/>
        </w:rPr>
      </w:pPr>
      <w:r w:rsidRPr="00677ECB">
        <w:rPr>
          <w:rFonts w:ascii="Arial" w:eastAsia="Helvetica" w:hAnsi="Arial" w:cs="Arial"/>
          <w:color w:val="000000"/>
        </w:rPr>
        <w:t xml:space="preserve">Because missingness varied across predictors—particularly for invasive hemodynamics—the multivariable modeling used a complete-case cohort (n=49; 6 deaths within 2 months). As a sensitivity analysis, simple single imputation (median for continuous variables and mode for categorical variables) yielded coefficients and discrimination that were </w:t>
      </w:r>
      <w:proofErr w:type="gramStart"/>
      <w:r w:rsidRPr="00677ECB">
        <w:rPr>
          <w:rFonts w:ascii="Arial" w:eastAsia="Helvetica" w:hAnsi="Arial" w:cs="Arial"/>
          <w:color w:val="000000"/>
        </w:rPr>
        <w:t>similar to</w:t>
      </w:r>
      <w:proofErr w:type="gramEnd"/>
      <w:r w:rsidRPr="00677ECB">
        <w:rPr>
          <w:rFonts w:ascii="Arial" w:eastAsia="Helvetica" w:hAnsi="Arial" w:cs="Arial"/>
          <w:color w:val="000000"/>
        </w:rPr>
        <w:t xml:space="preserve"> the complete-case results.</w:t>
      </w:r>
    </w:p>
    <w:p w14:paraId="0B3A5274" w14:textId="77777777" w:rsidR="00E3146A" w:rsidRPr="005C5C20" w:rsidRDefault="00E3146A" w:rsidP="00684FB8">
      <w:pPr>
        <w:spacing w:line="480" w:lineRule="auto"/>
        <w:jc w:val="both"/>
        <w:rPr>
          <w:rFonts w:ascii="Arial" w:eastAsia="Helvetica" w:hAnsi="Arial" w:cs="Arial"/>
          <w:b/>
          <w:bCs/>
          <w:color w:val="000000"/>
        </w:rPr>
      </w:pPr>
      <w:r w:rsidRPr="005C5C20">
        <w:rPr>
          <w:rFonts w:ascii="Arial" w:eastAsia="Helvetica" w:hAnsi="Arial" w:cs="Arial"/>
          <w:b/>
          <w:bCs/>
          <w:color w:val="000000"/>
        </w:rPr>
        <w:t>5. Derived and Composite Variables</w:t>
      </w:r>
    </w:p>
    <w:p w14:paraId="5779EE9A" w14:textId="2CB88881" w:rsidR="00E3146A" w:rsidRPr="005C5C20" w:rsidRDefault="00E3146A" w:rsidP="00684FB8">
      <w:pPr>
        <w:spacing w:line="480" w:lineRule="auto"/>
        <w:jc w:val="both"/>
        <w:rPr>
          <w:rFonts w:ascii="Arial" w:eastAsia="Helvetica" w:hAnsi="Arial" w:cs="Arial"/>
          <w:color w:val="000000"/>
        </w:rPr>
      </w:pPr>
      <w:r w:rsidRPr="005C5C20">
        <w:rPr>
          <w:rFonts w:ascii="Arial" w:eastAsia="Helvetica" w:hAnsi="Arial" w:cs="Arial"/>
          <w:color w:val="000000"/>
        </w:rPr>
        <w:t>Formulas for derived hemodynamic and biochemical indices are provided below (also summarized in Supplementary Table S</w:t>
      </w:r>
      <w:r w:rsidR="008E2B4E">
        <w:rPr>
          <w:rFonts w:ascii="Arial" w:eastAsia="Helvetica" w:hAnsi="Arial" w:cs="Arial" w:hint="eastAsia"/>
          <w:color w:val="000000"/>
        </w:rPr>
        <w:t>1</w:t>
      </w:r>
      <w:r w:rsidRPr="005C5C20">
        <w:rPr>
          <w:rFonts w:ascii="Arial" w:eastAsia="Helvetica" w:hAnsi="Arial" w:cs="Arial"/>
          <w:color w:val="000000"/>
        </w:rPr>
        <w:t>):</w:t>
      </w:r>
    </w:p>
    <w:p w14:paraId="370DDBC7" w14:textId="67484B17" w:rsidR="000458BE" w:rsidRPr="005C5C20" w:rsidRDefault="000458BE" w:rsidP="00684FB8">
      <w:pPr>
        <w:spacing w:line="480" w:lineRule="auto"/>
        <w:jc w:val="both"/>
        <w:rPr>
          <w:rFonts w:ascii="Arial" w:eastAsia="Helvetica" w:hAnsi="Arial" w:cs="Arial"/>
          <w:color w:val="000000"/>
        </w:rPr>
      </w:pPr>
      <w:r w:rsidRPr="005C5C20">
        <w:rPr>
          <w:rFonts w:ascii="Arial" w:hAnsi="Arial" w:cs="Arial"/>
          <w:b/>
          <w:bCs/>
          <w:color w:val="000000"/>
        </w:rPr>
        <w:t>Supplementary Table S</w:t>
      </w:r>
      <w:r w:rsidR="008E2B4E">
        <w:rPr>
          <w:rFonts w:ascii="Arial" w:hAnsi="Arial" w:cs="Arial" w:hint="eastAsia"/>
          <w:b/>
          <w:bCs/>
          <w:color w:val="000000"/>
        </w:rPr>
        <w:t>1</w:t>
      </w:r>
      <w:r w:rsidRPr="005C5C20">
        <w:rPr>
          <w:rFonts w:ascii="Arial" w:hAnsi="Arial" w:cs="Arial"/>
          <w:b/>
          <w:bCs/>
          <w:color w:val="000000"/>
        </w:rPr>
        <w:t xml:space="preserve">. </w:t>
      </w:r>
      <w:r w:rsidR="00F465D5" w:rsidRPr="005C5C20">
        <w:rPr>
          <w:rFonts w:ascii="Arial" w:hAnsi="Arial" w:cs="Arial"/>
          <w:b/>
          <w:bCs/>
          <w:color w:val="000000"/>
        </w:rPr>
        <w:t>Definitions and Formulas of Derived Hemodynamic and Laboratory Variables</w:t>
      </w:r>
    </w:p>
    <w:tbl>
      <w:tblPr>
        <w:tblW w:w="9630" w:type="dxa"/>
        <w:tblLook w:val="04A0" w:firstRow="1" w:lastRow="0" w:firstColumn="1" w:lastColumn="0" w:noHBand="0" w:noVBand="1"/>
      </w:tblPr>
      <w:tblGrid>
        <w:gridCol w:w="4500"/>
        <w:gridCol w:w="270"/>
        <w:gridCol w:w="3240"/>
        <w:gridCol w:w="1620"/>
      </w:tblGrid>
      <w:tr w:rsidR="000458BE" w:rsidRPr="005C5C20" w14:paraId="394E69E1" w14:textId="77777777" w:rsidTr="000458BE">
        <w:trPr>
          <w:trHeight w:val="320"/>
        </w:trPr>
        <w:tc>
          <w:tcPr>
            <w:tcW w:w="4500" w:type="dxa"/>
            <w:tcBorders>
              <w:top w:val="single" w:sz="4" w:space="0" w:color="auto"/>
              <w:left w:val="nil"/>
              <w:bottom w:val="single" w:sz="4" w:space="0" w:color="auto"/>
              <w:right w:val="nil"/>
            </w:tcBorders>
            <w:noWrap/>
            <w:vAlign w:val="center"/>
            <w:hideMark/>
          </w:tcPr>
          <w:p w14:paraId="54D0D990" w14:textId="77777777" w:rsidR="000458BE" w:rsidRPr="005C5C20" w:rsidRDefault="000458BE" w:rsidP="000458BE">
            <w:pPr>
              <w:spacing w:after="0" w:line="480" w:lineRule="auto"/>
              <w:jc w:val="center"/>
              <w:rPr>
                <w:rFonts w:ascii="Arial" w:eastAsia="Times New Roman" w:hAnsi="Arial" w:cs="Arial"/>
                <w:b/>
                <w:bCs/>
                <w:color w:val="000000"/>
                <w:kern w:val="0"/>
                <w14:ligatures w14:val="none"/>
              </w:rPr>
            </w:pPr>
            <w:r w:rsidRPr="005C5C20">
              <w:rPr>
                <w:rFonts w:ascii="Arial" w:eastAsia="Times New Roman" w:hAnsi="Arial" w:cs="Arial"/>
                <w:b/>
                <w:bCs/>
                <w:color w:val="000000"/>
                <w:kern w:val="0"/>
                <w14:ligatures w14:val="none"/>
              </w:rPr>
              <w:t>Variable</w:t>
            </w:r>
          </w:p>
        </w:tc>
        <w:tc>
          <w:tcPr>
            <w:tcW w:w="3510" w:type="dxa"/>
            <w:gridSpan w:val="2"/>
            <w:tcBorders>
              <w:top w:val="single" w:sz="4" w:space="0" w:color="auto"/>
              <w:left w:val="nil"/>
              <w:bottom w:val="single" w:sz="4" w:space="0" w:color="auto"/>
              <w:right w:val="nil"/>
            </w:tcBorders>
            <w:noWrap/>
            <w:vAlign w:val="center"/>
            <w:hideMark/>
          </w:tcPr>
          <w:p w14:paraId="6B375355" w14:textId="77777777" w:rsidR="000458BE" w:rsidRPr="005C5C20" w:rsidRDefault="000458BE" w:rsidP="000458BE">
            <w:pPr>
              <w:spacing w:after="0" w:line="480" w:lineRule="auto"/>
              <w:jc w:val="center"/>
              <w:rPr>
                <w:rFonts w:ascii="Arial" w:eastAsia="Times New Roman" w:hAnsi="Arial" w:cs="Arial"/>
                <w:b/>
                <w:bCs/>
                <w:color w:val="000000"/>
                <w:kern w:val="0"/>
                <w14:ligatures w14:val="none"/>
              </w:rPr>
            </w:pPr>
            <w:r w:rsidRPr="005C5C20">
              <w:rPr>
                <w:rFonts w:ascii="Arial" w:eastAsia="Times New Roman" w:hAnsi="Arial" w:cs="Arial"/>
                <w:b/>
                <w:bCs/>
                <w:color w:val="000000"/>
                <w:kern w:val="0"/>
                <w14:ligatures w14:val="none"/>
              </w:rPr>
              <w:t>Definition / Formula</w:t>
            </w:r>
          </w:p>
        </w:tc>
        <w:tc>
          <w:tcPr>
            <w:tcW w:w="1620" w:type="dxa"/>
            <w:tcBorders>
              <w:top w:val="single" w:sz="4" w:space="0" w:color="auto"/>
              <w:left w:val="nil"/>
              <w:bottom w:val="single" w:sz="4" w:space="0" w:color="auto"/>
              <w:right w:val="nil"/>
            </w:tcBorders>
            <w:noWrap/>
            <w:vAlign w:val="center"/>
            <w:hideMark/>
          </w:tcPr>
          <w:p w14:paraId="4484E4E8" w14:textId="77777777" w:rsidR="000458BE" w:rsidRPr="005C5C20" w:rsidRDefault="000458BE" w:rsidP="000458BE">
            <w:pPr>
              <w:spacing w:after="0" w:line="480" w:lineRule="auto"/>
              <w:jc w:val="center"/>
              <w:rPr>
                <w:rFonts w:ascii="Arial" w:eastAsia="Times New Roman" w:hAnsi="Arial" w:cs="Arial"/>
                <w:b/>
                <w:bCs/>
                <w:color w:val="000000"/>
                <w:kern w:val="0"/>
                <w14:ligatures w14:val="none"/>
              </w:rPr>
            </w:pPr>
            <w:r w:rsidRPr="005C5C20">
              <w:rPr>
                <w:rFonts w:ascii="Arial" w:eastAsia="Times New Roman" w:hAnsi="Arial" w:cs="Arial"/>
                <w:b/>
                <w:bCs/>
                <w:color w:val="000000"/>
                <w:kern w:val="0"/>
                <w14:ligatures w14:val="none"/>
              </w:rPr>
              <w:t>Unit</w:t>
            </w:r>
          </w:p>
        </w:tc>
      </w:tr>
      <w:tr w:rsidR="000458BE" w:rsidRPr="005C5C20" w14:paraId="5B8D686A" w14:textId="77777777" w:rsidTr="000458BE">
        <w:trPr>
          <w:trHeight w:val="320"/>
        </w:trPr>
        <w:tc>
          <w:tcPr>
            <w:tcW w:w="4770" w:type="dxa"/>
            <w:gridSpan w:val="2"/>
            <w:tcBorders>
              <w:top w:val="single" w:sz="4" w:space="0" w:color="auto"/>
              <w:left w:val="nil"/>
              <w:bottom w:val="nil"/>
              <w:right w:val="nil"/>
            </w:tcBorders>
            <w:noWrap/>
            <w:vAlign w:val="center"/>
            <w:hideMark/>
          </w:tcPr>
          <w:p w14:paraId="1040AF2A" w14:textId="77777777" w:rsidR="000458BE" w:rsidRPr="005C5C20" w:rsidRDefault="000458BE" w:rsidP="000458BE">
            <w:pPr>
              <w:spacing w:after="0" w:line="480" w:lineRule="auto"/>
              <w:rPr>
                <w:rFonts w:ascii="Arial" w:eastAsia="Times New Roman" w:hAnsi="Arial" w:cs="Arial"/>
                <w:color w:val="000000"/>
                <w:kern w:val="0"/>
                <w14:ligatures w14:val="none"/>
              </w:rPr>
            </w:pPr>
            <w:proofErr w:type="spellStart"/>
            <w:r w:rsidRPr="005C5C20">
              <w:rPr>
                <w:rFonts w:ascii="Arial" w:eastAsia="Times New Roman" w:hAnsi="Arial" w:cs="Arial"/>
                <w:color w:val="000000"/>
                <w:kern w:val="0"/>
                <w14:ligatures w14:val="none"/>
              </w:rPr>
              <w:t>PasCI</w:t>
            </w:r>
            <w:proofErr w:type="spellEnd"/>
            <w:r w:rsidRPr="005C5C20">
              <w:rPr>
                <w:rFonts w:ascii="Arial" w:eastAsia="Times New Roman" w:hAnsi="Arial" w:cs="Arial"/>
                <w:color w:val="000000"/>
                <w:kern w:val="0"/>
                <w14:ligatures w14:val="none"/>
              </w:rPr>
              <w:t xml:space="preserve"> (Passive Cardiac Index)</w:t>
            </w:r>
          </w:p>
        </w:tc>
        <w:tc>
          <w:tcPr>
            <w:tcW w:w="3240" w:type="dxa"/>
            <w:tcBorders>
              <w:top w:val="single" w:sz="4" w:space="0" w:color="auto"/>
              <w:left w:val="nil"/>
              <w:bottom w:val="nil"/>
              <w:right w:val="nil"/>
            </w:tcBorders>
            <w:noWrap/>
            <w:vAlign w:val="center"/>
            <w:hideMark/>
          </w:tcPr>
          <w:p w14:paraId="1C8C8A3E" w14:textId="77777777" w:rsidR="000458BE" w:rsidRPr="005C5C20" w:rsidRDefault="000458BE" w:rsidP="000458BE">
            <w:pPr>
              <w:spacing w:after="0" w:line="480" w:lineRule="auto"/>
              <w:jc w:val="center"/>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t xml:space="preserve">(CVP / </w:t>
            </w:r>
            <w:proofErr w:type="spellStart"/>
            <w:r w:rsidRPr="005C5C20">
              <w:rPr>
                <w:rFonts w:ascii="Arial" w:eastAsia="Times New Roman" w:hAnsi="Arial" w:cs="Arial"/>
                <w:color w:val="000000"/>
                <w:kern w:val="0"/>
                <w14:ligatures w14:val="none"/>
              </w:rPr>
              <w:t>mPAP</w:t>
            </w:r>
            <w:proofErr w:type="spellEnd"/>
            <w:r w:rsidRPr="005C5C20">
              <w:rPr>
                <w:rFonts w:ascii="Arial" w:eastAsia="Times New Roman" w:hAnsi="Arial" w:cs="Arial"/>
                <w:color w:val="000000"/>
                <w:kern w:val="0"/>
                <w14:ligatures w14:val="none"/>
              </w:rPr>
              <w:t>) × CI</w:t>
            </w:r>
          </w:p>
        </w:tc>
        <w:tc>
          <w:tcPr>
            <w:tcW w:w="1620" w:type="dxa"/>
            <w:tcBorders>
              <w:top w:val="single" w:sz="4" w:space="0" w:color="auto"/>
              <w:left w:val="nil"/>
              <w:bottom w:val="nil"/>
              <w:right w:val="nil"/>
            </w:tcBorders>
            <w:noWrap/>
            <w:vAlign w:val="center"/>
            <w:hideMark/>
          </w:tcPr>
          <w:p w14:paraId="56A037E6" w14:textId="77777777" w:rsidR="000458BE" w:rsidRPr="005C5C20" w:rsidRDefault="000458BE" w:rsidP="000458BE">
            <w:pPr>
              <w:spacing w:after="0" w:line="480" w:lineRule="auto"/>
              <w:jc w:val="center"/>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t>L/min/m²</w:t>
            </w:r>
          </w:p>
        </w:tc>
      </w:tr>
      <w:tr w:rsidR="000458BE" w:rsidRPr="005C5C20" w14:paraId="1E86F429" w14:textId="77777777" w:rsidTr="000458BE">
        <w:trPr>
          <w:trHeight w:val="774"/>
        </w:trPr>
        <w:tc>
          <w:tcPr>
            <w:tcW w:w="4770" w:type="dxa"/>
            <w:gridSpan w:val="2"/>
            <w:tcBorders>
              <w:top w:val="nil"/>
              <w:left w:val="nil"/>
              <w:bottom w:val="nil"/>
              <w:right w:val="nil"/>
            </w:tcBorders>
            <w:noWrap/>
            <w:vAlign w:val="center"/>
            <w:hideMark/>
          </w:tcPr>
          <w:p w14:paraId="5AEB9FFE" w14:textId="6E382116" w:rsidR="000458BE" w:rsidRPr="005C5C20" w:rsidRDefault="000458BE" w:rsidP="000458BE">
            <w:pPr>
              <w:spacing w:after="0" w:line="480" w:lineRule="auto"/>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lastRenderedPageBreak/>
              <w:t xml:space="preserve">PVR (Pulmonary Vascular </w:t>
            </w:r>
            <w:proofErr w:type="gramStart"/>
            <w:r w:rsidRPr="005C5C20">
              <w:rPr>
                <w:rFonts w:ascii="Arial" w:eastAsia="Times New Roman" w:hAnsi="Arial" w:cs="Arial"/>
                <w:color w:val="000000"/>
                <w:kern w:val="0"/>
                <w14:ligatures w14:val="none"/>
              </w:rPr>
              <w:t>Resistance)</w:t>
            </w:r>
            <w:r w:rsidR="00677ECB">
              <w:rPr>
                <w:rFonts w:ascii="Arial" w:eastAsia="Times New Roman" w:hAnsi="Arial" w:cs="Arial" w:hint="eastAsia"/>
                <w:color w:val="000000"/>
                <w:kern w:val="0"/>
                <w14:ligatures w14:val="none"/>
              </w:rPr>
              <w:t>*</w:t>
            </w:r>
            <w:proofErr w:type="gramEnd"/>
          </w:p>
        </w:tc>
        <w:tc>
          <w:tcPr>
            <w:tcW w:w="3240" w:type="dxa"/>
            <w:tcBorders>
              <w:top w:val="nil"/>
              <w:left w:val="nil"/>
              <w:bottom w:val="nil"/>
              <w:right w:val="nil"/>
            </w:tcBorders>
            <w:noWrap/>
            <w:vAlign w:val="center"/>
            <w:hideMark/>
          </w:tcPr>
          <w:p w14:paraId="1C65CC49" w14:textId="77777777" w:rsidR="000458BE" w:rsidRPr="005C5C20" w:rsidRDefault="000458BE" w:rsidP="000458BE">
            <w:pPr>
              <w:spacing w:after="0" w:line="480" w:lineRule="auto"/>
              <w:jc w:val="center"/>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t>(</w:t>
            </w:r>
            <w:proofErr w:type="spellStart"/>
            <w:r w:rsidRPr="005C5C20">
              <w:rPr>
                <w:rFonts w:ascii="Arial" w:eastAsia="Times New Roman" w:hAnsi="Arial" w:cs="Arial"/>
                <w:color w:val="000000"/>
                <w:kern w:val="0"/>
                <w14:ligatures w14:val="none"/>
              </w:rPr>
              <w:t>mPAP</w:t>
            </w:r>
            <w:proofErr w:type="spellEnd"/>
            <w:r w:rsidRPr="005C5C20">
              <w:rPr>
                <w:rFonts w:ascii="Arial" w:eastAsia="Times New Roman" w:hAnsi="Arial" w:cs="Arial"/>
                <w:color w:val="000000"/>
                <w:kern w:val="0"/>
                <w14:ligatures w14:val="none"/>
              </w:rPr>
              <w:t xml:space="preserve"> − PCWP) × 80 / CO</w:t>
            </w:r>
          </w:p>
        </w:tc>
        <w:tc>
          <w:tcPr>
            <w:tcW w:w="1620" w:type="dxa"/>
            <w:tcBorders>
              <w:top w:val="nil"/>
              <w:left w:val="nil"/>
              <w:bottom w:val="nil"/>
              <w:right w:val="nil"/>
            </w:tcBorders>
            <w:noWrap/>
            <w:vAlign w:val="center"/>
            <w:hideMark/>
          </w:tcPr>
          <w:p w14:paraId="085ACD69" w14:textId="77777777" w:rsidR="000458BE" w:rsidRPr="005C5C20" w:rsidRDefault="000458BE" w:rsidP="000458BE">
            <w:pPr>
              <w:spacing w:after="0" w:line="480" w:lineRule="auto"/>
              <w:jc w:val="center"/>
              <w:rPr>
                <w:rFonts w:ascii="Arial" w:eastAsia="Times New Roman" w:hAnsi="Arial" w:cs="Arial"/>
                <w:color w:val="000000"/>
                <w:kern w:val="0"/>
                <w14:ligatures w14:val="none"/>
              </w:rPr>
            </w:pPr>
            <w:proofErr w:type="spellStart"/>
            <w:r w:rsidRPr="005C5C20">
              <w:rPr>
                <w:rFonts w:ascii="Arial" w:eastAsia="Helvetica" w:hAnsi="Arial" w:cs="Arial"/>
                <w:color w:val="000000"/>
                <w:kern w:val="0"/>
                <w14:ligatures w14:val="none"/>
              </w:rPr>
              <w:t>dyn·s·cm</w:t>
            </w:r>
            <w:proofErr w:type="spellEnd"/>
            <w:r w:rsidRPr="005C5C20">
              <w:rPr>
                <w:rFonts w:ascii="Cambria Math" w:eastAsia="Helvetica" w:hAnsi="Cambria Math" w:cs="Cambria Math"/>
                <w:color w:val="000000"/>
                <w:kern w:val="0"/>
                <w14:ligatures w14:val="none"/>
              </w:rPr>
              <w:t>⁻</w:t>
            </w:r>
            <w:r w:rsidRPr="005C5C20">
              <w:rPr>
                <w:rFonts w:ascii="Arial" w:eastAsia="Helvetica" w:hAnsi="Arial" w:cs="Arial"/>
                <w:color w:val="000000"/>
                <w:kern w:val="0"/>
                <w14:ligatures w14:val="none"/>
              </w:rPr>
              <w:t>⁵</w:t>
            </w:r>
          </w:p>
        </w:tc>
      </w:tr>
      <w:tr w:rsidR="000458BE" w:rsidRPr="005C5C20" w14:paraId="1C31C056" w14:textId="77777777" w:rsidTr="000458BE">
        <w:trPr>
          <w:trHeight w:val="320"/>
        </w:trPr>
        <w:tc>
          <w:tcPr>
            <w:tcW w:w="4770" w:type="dxa"/>
            <w:gridSpan w:val="2"/>
            <w:tcBorders>
              <w:top w:val="nil"/>
              <w:left w:val="nil"/>
              <w:bottom w:val="nil"/>
              <w:right w:val="nil"/>
            </w:tcBorders>
            <w:noWrap/>
            <w:vAlign w:val="center"/>
            <w:hideMark/>
          </w:tcPr>
          <w:p w14:paraId="3A519985" w14:textId="77777777" w:rsidR="000458BE" w:rsidRPr="005C5C20" w:rsidRDefault="000458BE" w:rsidP="000458BE">
            <w:pPr>
              <w:spacing w:after="0" w:line="480" w:lineRule="auto"/>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t xml:space="preserve">PAPI (Pulmonary Artery </w:t>
            </w:r>
            <w:proofErr w:type="spellStart"/>
            <w:r w:rsidRPr="005C5C20">
              <w:rPr>
                <w:rFonts w:ascii="Arial" w:eastAsia="Times New Roman" w:hAnsi="Arial" w:cs="Arial"/>
                <w:color w:val="000000"/>
                <w:kern w:val="0"/>
                <w14:ligatures w14:val="none"/>
              </w:rPr>
              <w:t>Pulsatility</w:t>
            </w:r>
            <w:proofErr w:type="spellEnd"/>
            <w:r w:rsidRPr="005C5C20">
              <w:rPr>
                <w:rFonts w:ascii="Arial" w:eastAsia="Times New Roman" w:hAnsi="Arial" w:cs="Arial"/>
                <w:color w:val="000000"/>
                <w:kern w:val="0"/>
                <w14:ligatures w14:val="none"/>
              </w:rPr>
              <w:t xml:space="preserve"> Index)</w:t>
            </w:r>
          </w:p>
        </w:tc>
        <w:tc>
          <w:tcPr>
            <w:tcW w:w="3240" w:type="dxa"/>
            <w:tcBorders>
              <w:top w:val="nil"/>
              <w:left w:val="nil"/>
              <w:bottom w:val="nil"/>
              <w:right w:val="nil"/>
            </w:tcBorders>
            <w:noWrap/>
            <w:vAlign w:val="center"/>
            <w:hideMark/>
          </w:tcPr>
          <w:p w14:paraId="677B47E0" w14:textId="77777777" w:rsidR="000458BE" w:rsidRPr="005C5C20" w:rsidRDefault="000458BE" w:rsidP="000458BE">
            <w:pPr>
              <w:spacing w:after="0" w:line="480" w:lineRule="auto"/>
              <w:jc w:val="center"/>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t>(SPAP − DPAP) / RAP</w:t>
            </w:r>
          </w:p>
        </w:tc>
        <w:tc>
          <w:tcPr>
            <w:tcW w:w="1620" w:type="dxa"/>
            <w:tcBorders>
              <w:top w:val="nil"/>
              <w:left w:val="nil"/>
              <w:bottom w:val="nil"/>
              <w:right w:val="nil"/>
            </w:tcBorders>
            <w:noWrap/>
            <w:vAlign w:val="center"/>
            <w:hideMark/>
          </w:tcPr>
          <w:p w14:paraId="7F813DEE" w14:textId="72F2D2A1" w:rsidR="000458BE" w:rsidRPr="005C5C20" w:rsidRDefault="00F465D5" w:rsidP="000458BE">
            <w:pPr>
              <w:spacing w:after="0" w:line="480" w:lineRule="auto"/>
              <w:jc w:val="center"/>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t>—</w:t>
            </w:r>
          </w:p>
        </w:tc>
      </w:tr>
      <w:tr w:rsidR="000458BE" w:rsidRPr="005C5C20" w14:paraId="409EC57D" w14:textId="77777777" w:rsidTr="000458BE">
        <w:trPr>
          <w:trHeight w:val="320"/>
        </w:trPr>
        <w:tc>
          <w:tcPr>
            <w:tcW w:w="4770" w:type="dxa"/>
            <w:gridSpan w:val="2"/>
            <w:tcBorders>
              <w:top w:val="nil"/>
              <w:left w:val="nil"/>
              <w:bottom w:val="single" w:sz="4" w:space="0" w:color="auto"/>
              <w:right w:val="nil"/>
            </w:tcBorders>
            <w:noWrap/>
            <w:vAlign w:val="center"/>
            <w:hideMark/>
          </w:tcPr>
          <w:p w14:paraId="3BAC53DF" w14:textId="5645B2F7" w:rsidR="000458BE" w:rsidRPr="005C5C20" w:rsidRDefault="000458BE" w:rsidP="000458BE">
            <w:pPr>
              <w:spacing w:after="0" w:line="480" w:lineRule="auto"/>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t>MELD–XI Score</w:t>
            </w:r>
            <w:r w:rsidR="00677ECB">
              <w:rPr>
                <w:rFonts w:ascii="Arial" w:eastAsia="Times New Roman" w:hAnsi="Arial" w:cs="Arial" w:hint="eastAsia"/>
                <w:color w:val="000000"/>
                <w:kern w:val="0"/>
                <w14:ligatures w14:val="none"/>
              </w:rPr>
              <w:t>**</w:t>
            </w:r>
          </w:p>
        </w:tc>
        <w:tc>
          <w:tcPr>
            <w:tcW w:w="3240" w:type="dxa"/>
            <w:tcBorders>
              <w:top w:val="nil"/>
              <w:left w:val="nil"/>
              <w:bottom w:val="single" w:sz="4" w:space="0" w:color="auto"/>
              <w:right w:val="nil"/>
            </w:tcBorders>
            <w:noWrap/>
            <w:vAlign w:val="center"/>
            <w:hideMark/>
          </w:tcPr>
          <w:p w14:paraId="5D1A676E" w14:textId="77777777" w:rsidR="000458BE" w:rsidRPr="005C5C20" w:rsidRDefault="000458BE" w:rsidP="000458BE">
            <w:pPr>
              <w:spacing w:after="0" w:line="480" w:lineRule="auto"/>
              <w:jc w:val="center"/>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t xml:space="preserve">5.11 × </w:t>
            </w:r>
            <w:proofErr w:type="gramStart"/>
            <w:r w:rsidRPr="005C5C20">
              <w:rPr>
                <w:rFonts w:ascii="Arial" w:eastAsia="Times New Roman" w:hAnsi="Arial" w:cs="Arial"/>
                <w:color w:val="000000"/>
                <w:kern w:val="0"/>
                <w14:ligatures w14:val="none"/>
              </w:rPr>
              <w:t>ln(</w:t>
            </w:r>
            <w:proofErr w:type="gramEnd"/>
            <w:r w:rsidRPr="005C5C20">
              <w:rPr>
                <w:rFonts w:ascii="Arial" w:eastAsia="Times New Roman" w:hAnsi="Arial" w:cs="Arial"/>
                <w:color w:val="000000"/>
                <w:kern w:val="0"/>
                <w14:ligatures w14:val="none"/>
              </w:rPr>
              <w:t>total bilirubin) + 11.76 × ln(creatinine) + 9.44</w:t>
            </w:r>
          </w:p>
        </w:tc>
        <w:tc>
          <w:tcPr>
            <w:tcW w:w="1620" w:type="dxa"/>
            <w:tcBorders>
              <w:top w:val="nil"/>
              <w:left w:val="nil"/>
              <w:bottom w:val="single" w:sz="4" w:space="0" w:color="auto"/>
              <w:right w:val="nil"/>
            </w:tcBorders>
            <w:noWrap/>
            <w:vAlign w:val="center"/>
            <w:hideMark/>
          </w:tcPr>
          <w:p w14:paraId="58FEC37F" w14:textId="405750DA" w:rsidR="000458BE" w:rsidRPr="005C5C20" w:rsidRDefault="00F465D5" w:rsidP="000458BE">
            <w:pPr>
              <w:spacing w:after="0" w:line="480" w:lineRule="auto"/>
              <w:jc w:val="center"/>
              <w:rPr>
                <w:rFonts w:ascii="Arial" w:eastAsia="Times New Roman" w:hAnsi="Arial" w:cs="Arial"/>
                <w:color w:val="000000"/>
                <w:kern w:val="0"/>
                <w14:ligatures w14:val="none"/>
              </w:rPr>
            </w:pPr>
            <w:r w:rsidRPr="005C5C20">
              <w:rPr>
                <w:rFonts w:ascii="Arial" w:eastAsia="Times New Roman" w:hAnsi="Arial" w:cs="Arial"/>
                <w:color w:val="000000"/>
                <w:kern w:val="0"/>
                <w14:ligatures w14:val="none"/>
              </w:rPr>
              <w:t>—</w:t>
            </w:r>
          </w:p>
        </w:tc>
      </w:tr>
    </w:tbl>
    <w:p w14:paraId="6E9651DF" w14:textId="77777777" w:rsidR="00677ECB" w:rsidRDefault="00677ECB" w:rsidP="00684FB8">
      <w:pPr>
        <w:spacing w:line="480" w:lineRule="auto"/>
        <w:jc w:val="both"/>
        <w:rPr>
          <w:rFonts w:ascii="Arial" w:eastAsia="Helvetica" w:hAnsi="Arial" w:cs="Arial"/>
          <w:color w:val="000000"/>
        </w:rPr>
      </w:pPr>
      <w:r w:rsidRPr="00677ECB">
        <w:rPr>
          <w:rFonts w:ascii="Arial" w:eastAsia="Helvetica" w:hAnsi="Arial" w:cs="Arial"/>
          <w:color w:val="000000"/>
        </w:rPr>
        <w:t xml:space="preserve">Note: </w:t>
      </w:r>
    </w:p>
    <w:p w14:paraId="3C39CDEC" w14:textId="20D78EE1" w:rsidR="00677ECB" w:rsidRPr="00677ECB" w:rsidRDefault="00677ECB" w:rsidP="00677ECB">
      <w:pPr>
        <w:spacing w:line="480" w:lineRule="auto"/>
        <w:jc w:val="both"/>
        <w:rPr>
          <w:rFonts w:ascii="Arial" w:eastAsia="Helvetica" w:hAnsi="Arial" w:cs="Arial"/>
          <w:color w:val="000000"/>
        </w:rPr>
      </w:pPr>
      <w:r w:rsidRPr="00677ECB">
        <w:rPr>
          <w:rFonts w:ascii="Arial" w:eastAsia="Helvetica" w:hAnsi="Arial" w:cs="Arial" w:hint="eastAsia"/>
          <w:color w:val="000000"/>
        </w:rPr>
        <w:t>*</w:t>
      </w:r>
      <w:r>
        <w:rPr>
          <w:rFonts w:ascii="Arial" w:eastAsia="Helvetica" w:hAnsi="Arial" w:cs="Arial"/>
          <w:color w:val="000000"/>
        </w:rPr>
        <w:t xml:space="preserve"> </w:t>
      </w:r>
      <w:r w:rsidRPr="00677ECB">
        <w:rPr>
          <w:rFonts w:ascii="Arial" w:eastAsia="Helvetica" w:hAnsi="Arial" w:cs="Arial"/>
          <w:color w:val="000000"/>
        </w:rPr>
        <w:t>If only cardiac index (CI) was available, cardiac output (CO) was computed as CO = CI × body surface area (BSA).</w:t>
      </w:r>
    </w:p>
    <w:p w14:paraId="0EB17702" w14:textId="11573D0E" w:rsidR="006D3C8E" w:rsidRPr="005C5C20" w:rsidRDefault="00677ECB" w:rsidP="00684FB8">
      <w:pPr>
        <w:spacing w:line="480" w:lineRule="auto"/>
        <w:jc w:val="both"/>
        <w:rPr>
          <w:rFonts w:ascii="Arial" w:eastAsia="Helvetica" w:hAnsi="Arial" w:cs="Arial"/>
          <w:b/>
          <w:bCs/>
          <w:color w:val="000000"/>
        </w:rPr>
      </w:pPr>
      <w:r>
        <w:rPr>
          <w:rFonts w:ascii="Arial" w:eastAsia="Helvetica" w:hAnsi="Arial" w:cs="Arial" w:hint="eastAsia"/>
          <w:color w:val="000000"/>
        </w:rPr>
        <w:t xml:space="preserve">** </w:t>
      </w:r>
      <w:r w:rsidRPr="00677ECB">
        <w:rPr>
          <w:rFonts w:ascii="Arial" w:eastAsia="Helvetica" w:hAnsi="Arial" w:cs="Arial" w:hint="eastAsia"/>
          <w:color w:val="000000"/>
        </w:rPr>
        <w:t>B</w:t>
      </w:r>
      <w:r w:rsidRPr="00677ECB">
        <w:rPr>
          <w:rFonts w:ascii="Arial" w:eastAsia="Helvetica" w:hAnsi="Arial" w:cs="Arial"/>
          <w:color w:val="000000"/>
        </w:rPr>
        <w:t xml:space="preserve">ilirubin and creatinine are in mg/dL for the MELD–XI formula. If laboratory values were stored in </w:t>
      </w:r>
      <w:proofErr w:type="spellStart"/>
      <w:r w:rsidRPr="00677ECB">
        <w:rPr>
          <w:rFonts w:ascii="Arial" w:eastAsia="Helvetica" w:hAnsi="Arial" w:cs="Arial"/>
          <w:color w:val="000000"/>
        </w:rPr>
        <w:t>μmol</w:t>
      </w:r>
      <w:proofErr w:type="spellEnd"/>
      <w:r w:rsidRPr="00677ECB">
        <w:rPr>
          <w:rFonts w:ascii="Arial" w:eastAsia="Helvetica" w:hAnsi="Arial" w:cs="Arial"/>
          <w:color w:val="000000"/>
        </w:rPr>
        <w:t>/L, convert as bilirubin (mg/dL) = bilirubin (</w:t>
      </w:r>
      <w:proofErr w:type="spellStart"/>
      <w:r w:rsidRPr="00677ECB">
        <w:rPr>
          <w:rFonts w:ascii="Arial" w:eastAsia="Helvetica" w:hAnsi="Arial" w:cs="Arial"/>
          <w:color w:val="000000"/>
        </w:rPr>
        <w:t>μmol</w:t>
      </w:r>
      <w:proofErr w:type="spellEnd"/>
      <w:r w:rsidRPr="00677ECB">
        <w:rPr>
          <w:rFonts w:ascii="Arial" w:eastAsia="Helvetica" w:hAnsi="Arial" w:cs="Arial"/>
          <w:color w:val="000000"/>
        </w:rPr>
        <w:t>/L) / 17.1 and creatinine (mg/dL) = creatinine (</w:t>
      </w:r>
      <w:proofErr w:type="spellStart"/>
      <w:r w:rsidRPr="00677ECB">
        <w:rPr>
          <w:rFonts w:ascii="Arial" w:eastAsia="Helvetica" w:hAnsi="Arial" w:cs="Arial"/>
          <w:color w:val="000000"/>
        </w:rPr>
        <w:t>μmol</w:t>
      </w:r>
      <w:proofErr w:type="spellEnd"/>
      <w:r w:rsidRPr="00677ECB">
        <w:rPr>
          <w:rFonts w:ascii="Arial" w:eastAsia="Helvetica" w:hAnsi="Arial" w:cs="Arial"/>
          <w:color w:val="000000"/>
        </w:rPr>
        <w:t>/L) / 88.4.</w:t>
      </w:r>
    </w:p>
    <w:p w14:paraId="7353C311" w14:textId="44D051A1" w:rsidR="00E3146A" w:rsidRPr="005C5C20" w:rsidRDefault="00E3146A" w:rsidP="00684FB8">
      <w:pPr>
        <w:spacing w:line="480" w:lineRule="auto"/>
        <w:jc w:val="both"/>
        <w:rPr>
          <w:rFonts w:ascii="Arial" w:eastAsia="Helvetica" w:hAnsi="Arial" w:cs="Arial"/>
          <w:b/>
          <w:bCs/>
          <w:color w:val="000000"/>
        </w:rPr>
      </w:pPr>
      <w:r w:rsidRPr="005C5C20">
        <w:rPr>
          <w:rFonts w:ascii="Arial" w:eastAsia="Helvetica" w:hAnsi="Arial" w:cs="Arial"/>
          <w:b/>
          <w:bCs/>
          <w:color w:val="000000"/>
        </w:rPr>
        <w:t>6. Sensitivity Analyses</w:t>
      </w:r>
    </w:p>
    <w:p w14:paraId="4FFEF797" w14:textId="6F6F5CB5" w:rsidR="00BC0AEB" w:rsidRPr="005C5C20" w:rsidRDefault="00E3146A" w:rsidP="00684FB8">
      <w:pPr>
        <w:spacing w:line="480" w:lineRule="auto"/>
        <w:jc w:val="both"/>
        <w:rPr>
          <w:rFonts w:ascii="Arial" w:eastAsia="Helvetica" w:hAnsi="Arial" w:cs="Arial"/>
          <w:color w:val="000000"/>
        </w:rPr>
      </w:pPr>
      <w:r w:rsidRPr="005C5C20">
        <w:rPr>
          <w:rFonts w:ascii="Arial" w:eastAsia="Helvetica" w:hAnsi="Arial" w:cs="Arial"/>
          <w:color w:val="000000"/>
        </w:rPr>
        <w:t>To assess robustness, sensitivity analyses were performed using alternative penalty strengths (λ ± 1 SE from λ&lt;sub&gt;min&lt;/sub&gt;) and by excluding outliers with standardized residuals &gt; 3. The selected variables and model discrimination remained stable across analyses.</w:t>
      </w:r>
    </w:p>
    <w:p w14:paraId="522793E0" w14:textId="0C43B24A" w:rsidR="008E2B4E" w:rsidRPr="005C5C20" w:rsidRDefault="006D3C8E" w:rsidP="008E2B4E">
      <w:pPr>
        <w:spacing w:line="480" w:lineRule="auto"/>
        <w:jc w:val="both"/>
        <w:rPr>
          <w:rFonts w:ascii="Arial" w:hAnsi="Arial" w:cs="Arial"/>
          <w:b/>
          <w:bCs/>
          <w:color w:val="000000"/>
        </w:rPr>
      </w:pPr>
      <w:r w:rsidRPr="005C5C20">
        <w:rPr>
          <w:rFonts w:ascii="Arial" w:hAnsi="Arial" w:cs="Arial"/>
          <w:b/>
          <w:bCs/>
          <w:color w:val="000000"/>
        </w:rPr>
        <w:t>Supplementary Results</w:t>
      </w:r>
    </w:p>
    <w:p w14:paraId="5360D416" w14:textId="39379169" w:rsidR="008E2B4E" w:rsidRPr="005C5C20" w:rsidRDefault="008E2B4E" w:rsidP="008E2B4E">
      <w:pPr>
        <w:spacing w:line="480" w:lineRule="auto"/>
        <w:jc w:val="both"/>
        <w:rPr>
          <w:rFonts w:ascii="Arial" w:hAnsi="Arial" w:cs="Arial"/>
          <w:b/>
          <w:bCs/>
          <w:color w:val="000000"/>
        </w:rPr>
      </w:pPr>
      <w:r w:rsidRPr="005C5C20">
        <w:rPr>
          <w:rFonts w:ascii="Arial" w:hAnsi="Arial" w:cs="Arial"/>
          <w:b/>
          <w:bCs/>
          <w:color w:val="000000"/>
        </w:rPr>
        <w:t>Supplementary Table S</w:t>
      </w:r>
      <w:r>
        <w:rPr>
          <w:rFonts w:ascii="Arial" w:hAnsi="Arial" w:cs="Arial" w:hint="eastAsia"/>
          <w:b/>
          <w:bCs/>
          <w:color w:val="000000"/>
        </w:rPr>
        <w:t>2</w:t>
      </w:r>
      <w:r w:rsidRPr="005C5C20">
        <w:rPr>
          <w:rFonts w:ascii="Arial" w:hAnsi="Arial" w:cs="Arial"/>
          <w:b/>
          <w:bCs/>
          <w:color w:val="000000"/>
        </w:rPr>
        <w:t xml:space="preserve">. Univariable Firth Logistic Regression for Early Mortality (≤ 2 </w:t>
      </w:r>
      <w:r w:rsidR="00677ECB">
        <w:rPr>
          <w:rFonts w:ascii="Arial" w:hAnsi="Arial" w:cs="Arial" w:hint="eastAsia"/>
          <w:b/>
          <w:bCs/>
          <w:color w:val="000000"/>
        </w:rPr>
        <w:t>m</w:t>
      </w:r>
      <w:r w:rsidRPr="005C5C20">
        <w:rPr>
          <w:rFonts w:ascii="Arial" w:hAnsi="Arial" w:cs="Arial" w:hint="eastAsia"/>
          <w:b/>
          <w:bCs/>
          <w:color w:val="000000"/>
        </w:rPr>
        <w:t>o</w:t>
      </w:r>
      <w:r w:rsidRPr="005C5C20">
        <w:rPr>
          <w:rFonts w:ascii="Arial" w:hAnsi="Arial" w:cs="Arial"/>
          <w:b/>
          <w:bCs/>
          <w:color w:val="000000"/>
        </w:rPr>
        <w:t>nths)</w:t>
      </w:r>
    </w:p>
    <w:tbl>
      <w:tblPr>
        <w:tblW w:w="0" w:type="auto"/>
        <w:jc w:val="center"/>
        <w:tblLayout w:type="fixed"/>
        <w:tblLook w:val="0420" w:firstRow="1" w:lastRow="0" w:firstColumn="0" w:lastColumn="0" w:noHBand="0" w:noVBand="1"/>
      </w:tblPr>
      <w:tblGrid>
        <w:gridCol w:w="4348"/>
        <w:gridCol w:w="2270"/>
        <w:gridCol w:w="1120"/>
      </w:tblGrid>
      <w:tr w:rsidR="00867EE9" w:rsidRPr="005C5C20" w14:paraId="78F46D5E" w14:textId="77777777" w:rsidTr="004430FF">
        <w:trPr>
          <w:tblHeader/>
          <w:jc w:val="center"/>
        </w:trPr>
        <w:tc>
          <w:tcPr>
            <w:tcW w:w="4348"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4B5366B"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b/>
                <w:color w:val="000000"/>
              </w:rPr>
            </w:pPr>
            <w:r w:rsidRPr="005C5C20">
              <w:rPr>
                <w:rFonts w:ascii="Arial" w:eastAsia="Helvetica" w:hAnsi="Arial" w:cs="Arial"/>
                <w:b/>
                <w:color w:val="000000"/>
              </w:rPr>
              <w:t>Variable</w:t>
            </w:r>
          </w:p>
        </w:tc>
        <w:tc>
          <w:tcPr>
            <w:tcW w:w="227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70916E6"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b/>
                <w:color w:val="000000"/>
              </w:rPr>
            </w:pPr>
            <w:r w:rsidRPr="005C5C20">
              <w:rPr>
                <w:rFonts w:ascii="Arial" w:eastAsia="Helvetica" w:hAnsi="Arial" w:cs="Arial"/>
                <w:b/>
                <w:color w:val="000000"/>
              </w:rPr>
              <w:t>OR (95% CI)</w:t>
            </w:r>
          </w:p>
        </w:tc>
        <w:tc>
          <w:tcPr>
            <w:tcW w:w="1120" w:type="dxa"/>
            <w:tcBorders>
              <w:top w:val="single" w:sz="8"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2C05E75"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b/>
                <w:color w:val="000000"/>
              </w:rPr>
            </w:pPr>
            <w:r w:rsidRPr="005C5C20">
              <w:rPr>
                <w:rFonts w:ascii="Arial" w:eastAsia="Helvetica" w:hAnsi="Arial" w:cs="Arial"/>
                <w:b/>
                <w:color w:val="000000"/>
              </w:rPr>
              <w:t>p value</w:t>
            </w:r>
          </w:p>
        </w:tc>
      </w:tr>
      <w:tr w:rsidR="00867EE9" w:rsidRPr="005C5C20" w14:paraId="0B05A13D" w14:textId="77777777" w:rsidTr="004430FF">
        <w:trPr>
          <w:jc w:val="center"/>
        </w:trPr>
        <w:tc>
          <w:tcPr>
            <w:tcW w:w="434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49832"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t>Age (per year)</w:t>
            </w:r>
          </w:p>
        </w:tc>
        <w:tc>
          <w:tcPr>
            <w:tcW w:w="227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429B3"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1.06 (0.98–1.16)</w:t>
            </w:r>
          </w:p>
        </w:tc>
        <w:tc>
          <w:tcPr>
            <w:tcW w:w="112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0B828"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0.125</w:t>
            </w:r>
          </w:p>
        </w:tc>
      </w:tr>
      <w:tr w:rsidR="00867EE9" w:rsidRPr="005C5C20" w14:paraId="18F62287" w14:textId="77777777" w:rsidTr="004430FF">
        <w:trPr>
          <w:jc w:val="center"/>
        </w:trPr>
        <w:tc>
          <w:tcPr>
            <w:tcW w:w="43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7584E"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lastRenderedPageBreak/>
              <w:t>MELD-XI (per point)</w:t>
            </w:r>
          </w:p>
        </w:tc>
        <w:tc>
          <w:tcPr>
            <w:tcW w:w="22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87497"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1.14 (0.92–1.43)</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D9FBF"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0.222</w:t>
            </w:r>
          </w:p>
        </w:tc>
      </w:tr>
      <w:tr w:rsidR="00867EE9" w:rsidRPr="005C5C20" w14:paraId="462294EE" w14:textId="77777777" w:rsidTr="004430FF">
        <w:trPr>
          <w:jc w:val="center"/>
        </w:trPr>
        <w:tc>
          <w:tcPr>
            <w:tcW w:w="43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75B1A"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t>Passive Cardiac Index (L/min/m²)</w:t>
            </w:r>
          </w:p>
        </w:tc>
        <w:tc>
          <w:tcPr>
            <w:tcW w:w="22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6407C"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1.46 (0.15–6.21)</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4A9CA"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0.659</w:t>
            </w:r>
          </w:p>
        </w:tc>
      </w:tr>
      <w:tr w:rsidR="00867EE9" w:rsidRPr="005C5C20" w14:paraId="6550A441" w14:textId="77777777" w:rsidTr="004430FF">
        <w:trPr>
          <w:jc w:val="center"/>
        </w:trPr>
        <w:tc>
          <w:tcPr>
            <w:tcW w:w="43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8538A"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t>Mixed venous O</w:t>
            </w:r>
            <w:r w:rsidRPr="005C5C20">
              <w:rPr>
                <w:rFonts w:ascii="Cambria Math" w:eastAsia="Helvetica" w:hAnsi="Cambria Math" w:cs="Cambria Math"/>
                <w:color w:val="000000"/>
              </w:rPr>
              <w:t>₂</w:t>
            </w:r>
            <w:r w:rsidRPr="005C5C20">
              <w:rPr>
                <w:rFonts w:ascii="Arial" w:eastAsia="Helvetica" w:hAnsi="Arial" w:cs="Arial"/>
                <w:color w:val="000000"/>
              </w:rPr>
              <w:t xml:space="preserve"> saturation (%)</w:t>
            </w:r>
          </w:p>
        </w:tc>
        <w:tc>
          <w:tcPr>
            <w:tcW w:w="22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0CB86"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0.95 (0.88–1.02)</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C81EA"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0.137</w:t>
            </w:r>
          </w:p>
        </w:tc>
      </w:tr>
      <w:tr w:rsidR="00867EE9" w:rsidRPr="005C5C20" w14:paraId="13535313" w14:textId="77777777" w:rsidTr="004430FF">
        <w:trPr>
          <w:jc w:val="center"/>
        </w:trPr>
        <w:tc>
          <w:tcPr>
            <w:tcW w:w="43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A3EEF"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t>Pulmonary vascular resistance (</w:t>
            </w:r>
            <w:proofErr w:type="spellStart"/>
            <w:r w:rsidRPr="005C5C20">
              <w:rPr>
                <w:rFonts w:ascii="Arial" w:eastAsia="Helvetica" w:hAnsi="Arial" w:cs="Arial"/>
                <w:color w:val="000000"/>
              </w:rPr>
              <w:t>dyn·s·cm</w:t>
            </w:r>
            <w:proofErr w:type="spellEnd"/>
            <w:r w:rsidRPr="005C5C20">
              <w:rPr>
                <w:rFonts w:ascii="Cambria Math" w:eastAsia="Helvetica" w:hAnsi="Cambria Math" w:cs="Cambria Math"/>
                <w:color w:val="000000"/>
              </w:rPr>
              <w:t>⁻</w:t>
            </w:r>
            <w:r w:rsidRPr="005C5C20">
              <w:rPr>
                <w:rFonts w:ascii="Arial" w:eastAsia="Helvetica" w:hAnsi="Arial" w:cs="Arial"/>
                <w:color w:val="000000"/>
              </w:rPr>
              <w:t>⁵)</w:t>
            </w:r>
          </w:p>
        </w:tc>
        <w:tc>
          <w:tcPr>
            <w:tcW w:w="22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02996"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1.00 (0.99–1.00)</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83058"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0.343</w:t>
            </w:r>
          </w:p>
        </w:tc>
      </w:tr>
      <w:tr w:rsidR="00867EE9" w:rsidRPr="005C5C20" w14:paraId="0D950D9C" w14:textId="77777777" w:rsidTr="004430FF">
        <w:trPr>
          <w:jc w:val="center"/>
        </w:trPr>
        <w:tc>
          <w:tcPr>
            <w:tcW w:w="43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6AEBB"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t xml:space="preserve">Pulmonary artery </w:t>
            </w:r>
            <w:proofErr w:type="spellStart"/>
            <w:r w:rsidRPr="005C5C20">
              <w:rPr>
                <w:rFonts w:ascii="Arial" w:eastAsia="Helvetica" w:hAnsi="Arial" w:cs="Arial"/>
                <w:color w:val="000000"/>
              </w:rPr>
              <w:t>pulsatility</w:t>
            </w:r>
            <w:proofErr w:type="spellEnd"/>
            <w:r w:rsidRPr="005C5C20">
              <w:rPr>
                <w:rFonts w:ascii="Arial" w:eastAsia="Helvetica" w:hAnsi="Arial" w:cs="Arial"/>
                <w:color w:val="000000"/>
              </w:rPr>
              <w:t xml:space="preserve"> index (PAPI)</w:t>
            </w:r>
          </w:p>
        </w:tc>
        <w:tc>
          <w:tcPr>
            <w:tcW w:w="22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A17ED"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1.06 (0.76–1.39)</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49F03"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0.693</w:t>
            </w:r>
          </w:p>
        </w:tc>
      </w:tr>
      <w:tr w:rsidR="00867EE9" w:rsidRPr="005C5C20" w14:paraId="2375B1B4" w14:textId="77777777" w:rsidTr="004430FF">
        <w:trPr>
          <w:jc w:val="center"/>
        </w:trPr>
        <w:tc>
          <w:tcPr>
            <w:tcW w:w="43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7D325"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t>Serum creatinine (µmol/L)</w:t>
            </w:r>
          </w:p>
        </w:tc>
        <w:tc>
          <w:tcPr>
            <w:tcW w:w="22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4FD91"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1.01 (0.99–1.03)</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0623D"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0.187</w:t>
            </w:r>
          </w:p>
        </w:tc>
      </w:tr>
      <w:tr w:rsidR="00867EE9" w:rsidRPr="005C5C20" w14:paraId="0E9C553A" w14:textId="77777777" w:rsidTr="004430FF">
        <w:trPr>
          <w:jc w:val="center"/>
        </w:trPr>
        <w:tc>
          <w:tcPr>
            <w:tcW w:w="43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EFD4F"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t>Total bilirubin (µmol/L)</w:t>
            </w:r>
          </w:p>
        </w:tc>
        <w:tc>
          <w:tcPr>
            <w:tcW w:w="22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DF643"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1.04 (0.96–1.13)</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D51EA"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0.297</w:t>
            </w:r>
          </w:p>
        </w:tc>
      </w:tr>
      <w:tr w:rsidR="00867EE9" w:rsidRPr="005C5C20" w14:paraId="4AA510EC" w14:textId="77777777" w:rsidTr="004430FF">
        <w:trPr>
          <w:jc w:val="center"/>
        </w:trPr>
        <w:tc>
          <w:tcPr>
            <w:tcW w:w="43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E5608"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t>TAPSE (mm)</w:t>
            </w:r>
          </w:p>
        </w:tc>
        <w:tc>
          <w:tcPr>
            <w:tcW w:w="22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2E405"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5.00 (0.15–965.13)</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25F0C"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0.378</w:t>
            </w:r>
          </w:p>
        </w:tc>
      </w:tr>
      <w:tr w:rsidR="00867EE9" w:rsidRPr="005C5C20" w14:paraId="6CA959D1" w14:textId="77777777" w:rsidTr="004430FF">
        <w:trPr>
          <w:jc w:val="center"/>
        </w:trPr>
        <w:tc>
          <w:tcPr>
            <w:tcW w:w="43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87051A"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rPr>
                <w:rFonts w:ascii="Arial" w:eastAsia="Helvetica" w:hAnsi="Arial" w:cs="Arial"/>
                <w:color w:val="000000"/>
              </w:rPr>
            </w:pPr>
            <w:r w:rsidRPr="005C5C20">
              <w:rPr>
                <w:rFonts w:ascii="Arial" w:eastAsia="Helvetica" w:hAnsi="Arial" w:cs="Arial"/>
                <w:color w:val="000000"/>
              </w:rPr>
              <w:t>Heart rate (bpm)</w:t>
            </w:r>
          </w:p>
        </w:tc>
        <w:tc>
          <w:tcPr>
            <w:tcW w:w="227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0DE2C8"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1.01 (0.97–1.05)</w:t>
            </w:r>
          </w:p>
        </w:tc>
        <w:tc>
          <w:tcPr>
            <w:tcW w:w="11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C1DF89" w14:textId="77777777" w:rsidR="00867EE9" w:rsidRPr="005C5C20" w:rsidRDefault="00867EE9" w:rsidP="004430FF">
            <w:pPr>
              <w:pBdr>
                <w:top w:val="none" w:sz="0" w:space="0" w:color="000000"/>
                <w:left w:val="none" w:sz="0" w:space="0" w:color="000000"/>
                <w:bottom w:val="none" w:sz="0" w:space="0" w:color="000000"/>
                <w:right w:val="none" w:sz="0" w:space="0" w:color="000000"/>
              </w:pBdr>
              <w:spacing w:before="100" w:after="100" w:line="480" w:lineRule="auto"/>
              <w:ind w:left="100" w:right="100"/>
              <w:jc w:val="both"/>
              <w:rPr>
                <w:rFonts w:ascii="Arial" w:eastAsia="Helvetica" w:hAnsi="Arial" w:cs="Arial"/>
                <w:color w:val="000000"/>
              </w:rPr>
            </w:pPr>
            <w:r w:rsidRPr="005C5C20">
              <w:rPr>
                <w:rFonts w:ascii="Arial" w:eastAsia="Helvetica" w:hAnsi="Arial" w:cs="Arial"/>
                <w:color w:val="000000"/>
              </w:rPr>
              <w:t>0.519</w:t>
            </w:r>
          </w:p>
        </w:tc>
      </w:tr>
    </w:tbl>
    <w:p w14:paraId="37E798F8" w14:textId="77777777" w:rsidR="008E2B4E" w:rsidRPr="005C5C20" w:rsidRDefault="008E2B4E" w:rsidP="008E2B4E">
      <w:pPr>
        <w:spacing w:line="480" w:lineRule="auto"/>
        <w:jc w:val="both"/>
        <w:rPr>
          <w:rFonts w:ascii="Arial" w:hAnsi="Arial" w:cs="Arial"/>
        </w:rPr>
      </w:pPr>
    </w:p>
    <w:p w14:paraId="55146179" w14:textId="3FBC3EC8" w:rsidR="008E2B4E" w:rsidRPr="008E2B4E" w:rsidRDefault="00867EE9" w:rsidP="008E2B4E">
      <w:pPr>
        <w:spacing w:line="480" w:lineRule="auto"/>
        <w:jc w:val="both"/>
        <w:rPr>
          <w:rFonts w:ascii="Arial" w:hAnsi="Arial" w:cs="Arial"/>
          <w:color w:val="000000"/>
        </w:rPr>
      </w:pPr>
      <w:r w:rsidRPr="00867EE9">
        <w:rPr>
          <w:rFonts w:ascii="Arial" w:hAnsi="Arial" w:cs="Arial"/>
          <w:color w:val="000000"/>
        </w:rPr>
        <w:t xml:space="preserve">Univariable models used available-case data; therefore, sample sizes varied across predictors. All models evaluated early mortality within </w:t>
      </w:r>
      <w:r w:rsidR="00677ECB" w:rsidRPr="00677ECB">
        <w:rPr>
          <w:rFonts w:ascii="Arial" w:hAnsi="Arial" w:cs="Arial"/>
          <w:color w:val="000000"/>
        </w:rPr>
        <w:t>2 months</w:t>
      </w:r>
      <w:r w:rsidRPr="00867EE9">
        <w:rPr>
          <w:rFonts w:ascii="Arial" w:hAnsi="Arial" w:cs="Arial"/>
          <w:color w:val="000000"/>
        </w:rPr>
        <w:t>.</w:t>
      </w:r>
      <w:r>
        <w:rPr>
          <w:rFonts w:ascii="Arial" w:hAnsi="Arial" w:cs="Arial" w:hint="eastAsia"/>
          <w:color w:val="000000"/>
        </w:rPr>
        <w:t xml:space="preserve"> </w:t>
      </w:r>
      <w:r w:rsidR="008E2B4E" w:rsidRPr="005C5C20">
        <w:rPr>
          <w:rFonts w:ascii="Arial" w:hAnsi="Arial" w:cs="Arial"/>
          <w:color w:val="000000"/>
        </w:rPr>
        <w:t>Univariable Firth logistic regression analyses were performed to examine the relationship between preoperative variables and early mortality. None of the variables reached statistical significance, although mixed venous oxygen saturation showed a near-significant association.</w:t>
      </w:r>
    </w:p>
    <w:p w14:paraId="4352180B" w14:textId="13238790" w:rsidR="00BC0AEB" w:rsidRPr="005C5C20" w:rsidRDefault="00BC0AEB" w:rsidP="00A358AA">
      <w:pPr>
        <w:spacing w:line="480" w:lineRule="auto"/>
        <w:rPr>
          <w:rFonts w:ascii="Arial" w:hAnsi="Arial" w:cs="Arial"/>
          <w:b/>
          <w:bCs/>
          <w:color w:val="000000"/>
        </w:rPr>
      </w:pPr>
      <w:r w:rsidRPr="005C5C20">
        <w:rPr>
          <w:rFonts w:ascii="Arial" w:hAnsi="Arial" w:cs="Arial"/>
          <w:b/>
          <w:bCs/>
          <w:color w:val="000000"/>
        </w:rPr>
        <w:lastRenderedPageBreak/>
        <w:t>Supplementary Figure S1. Receiver-Operating Characteristic (ROC) Curve Demonstrating Internal Validation of the Calibrated Risk Model for Early Mortality After LVAD Implantation</w:t>
      </w:r>
    </w:p>
    <w:p w14:paraId="3F7123AE" w14:textId="77777777" w:rsidR="00BC0AEB" w:rsidRPr="005C5C20" w:rsidRDefault="00BC0AEB" w:rsidP="00A358AA">
      <w:pPr>
        <w:spacing w:line="480" w:lineRule="auto"/>
        <w:rPr>
          <w:rFonts w:ascii="Arial" w:hAnsi="Arial" w:cs="Arial"/>
        </w:rPr>
      </w:pPr>
      <w:r w:rsidRPr="005C5C20">
        <w:rPr>
          <w:rFonts w:ascii="Arial" w:hAnsi="Arial" w:cs="Arial"/>
          <w:noProof/>
        </w:rPr>
        <w:drawing>
          <wp:inline distT="0" distB="0" distL="0" distR="0" wp14:anchorId="329F1D4F" wp14:editId="1D343C3D">
            <wp:extent cx="4533089" cy="4533089"/>
            <wp:effectExtent l="0" t="0" r="1270" b="1270"/>
            <wp:docPr id="1549372029" name="Picture 3" descr="A graph of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72029" name="Picture 3" descr="A graph of a curv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33089" cy="4533089"/>
                    </a:xfrm>
                    <a:prstGeom prst="rect">
                      <a:avLst/>
                    </a:prstGeom>
                  </pic:spPr>
                </pic:pic>
              </a:graphicData>
            </a:graphic>
          </wp:inline>
        </w:drawing>
      </w:r>
    </w:p>
    <w:p w14:paraId="0613CC37" w14:textId="4778B903" w:rsidR="00D65F75" w:rsidRDefault="00D65F75" w:rsidP="005C5C20">
      <w:pPr>
        <w:spacing w:line="480" w:lineRule="auto"/>
        <w:rPr>
          <w:rFonts w:ascii="Arial" w:hAnsi="Arial" w:cs="Arial"/>
          <w:color w:val="000000"/>
        </w:rPr>
      </w:pPr>
      <w:r w:rsidRPr="00D65F75">
        <w:rPr>
          <w:rFonts w:ascii="Arial" w:hAnsi="Arial" w:cs="Arial" w:hint="eastAsia"/>
          <w:color w:val="000000"/>
        </w:rPr>
        <w:t>The internally validated model achieved an optimism-adjusted AUC = 0.84, showing good discrimination between survivors and early deaths (</w:t>
      </w:r>
      <w:r w:rsidRPr="00D65F75">
        <w:rPr>
          <w:rFonts w:ascii="Arial" w:hAnsi="Arial" w:cs="Arial" w:hint="eastAsia"/>
          <w:color w:val="000000"/>
        </w:rPr>
        <w:t>≤</w:t>
      </w:r>
      <w:r w:rsidRPr="00D65F75">
        <w:rPr>
          <w:rFonts w:ascii="Arial" w:hAnsi="Arial" w:cs="Arial" w:hint="eastAsia"/>
          <w:color w:val="000000"/>
        </w:rPr>
        <w:t xml:space="preserve"> 2 months).</w:t>
      </w:r>
    </w:p>
    <w:sectPr w:rsidR="00D65F75" w:rsidSect="00A358AA">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32E4C"/>
    <w:multiLevelType w:val="hybridMultilevel"/>
    <w:tmpl w:val="58204B2A"/>
    <w:lvl w:ilvl="0" w:tplc="2A7AE922">
      <w:start w:val="4"/>
      <w:numFmt w:val="bullet"/>
      <w:lvlText w:val=""/>
      <w:lvlJc w:val="left"/>
      <w:pPr>
        <w:ind w:left="720" w:hanging="360"/>
      </w:pPr>
      <w:rPr>
        <w:rFonts w:ascii="Symbol" w:eastAsia="Helvetic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019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47A"/>
    <w:rsid w:val="00013D7F"/>
    <w:rsid w:val="000458BE"/>
    <w:rsid w:val="00052CA9"/>
    <w:rsid w:val="00093275"/>
    <w:rsid w:val="000A0ADB"/>
    <w:rsid w:val="000A1D36"/>
    <w:rsid w:val="000B3DB4"/>
    <w:rsid w:val="000C593E"/>
    <w:rsid w:val="001135DC"/>
    <w:rsid w:val="00147352"/>
    <w:rsid w:val="001818B5"/>
    <w:rsid w:val="001907AA"/>
    <w:rsid w:val="001B0086"/>
    <w:rsid w:val="001E12E0"/>
    <w:rsid w:val="001E301D"/>
    <w:rsid w:val="0022647A"/>
    <w:rsid w:val="00252EC8"/>
    <w:rsid w:val="00270AFD"/>
    <w:rsid w:val="00346939"/>
    <w:rsid w:val="0035232D"/>
    <w:rsid w:val="00353D01"/>
    <w:rsid w:val="003B5BF9"/>
    <w:rsid w:val="003D36E1"/>
    <w:rsid w:val="003E4073"/>
    <w:rsid w:val="004055B2"/>
    <w:rsid w:val="00466554"/>
    <w:rsid w:val="004721DD"/>
    <w:rsid w:val="00477973"/>
    <w:rsid w:val="00483AF9"/>
    <w:rsid w:val="004872B5"/>
    <w:rsid w:val="004C2547"/>
    <w:rsid w:val="005323C4"/>
    <w:rsid w:val="005C5443"/>
    <w:rsid w:val="005C5C20"/>
    <w:rsid w:val="006523F4"/>
    <w:rsid w:val="00661052"/>
    <w:rsid w:val="00677ECB"/>
    <w:rsid w:val="00684FB8"/>
    <w:rsid w:val="00696102"/>
    <w:rsid w:val="006C5700"/>
    <w:rsid w:val="006C63EF"/>
    <w:rsid w:val="006D3C8E"/>
    <w:rsid w:val="006E1203"/>
    <w:rsid w:val="0076067D"/>
    <w:rsid w:val="00780EA2"/>
    <w:rsid w:val="00782FD2"/>
    <w:rsid w:val="00787A1F"/>
    <w:rsid w:val="00867EE9"/>
    <w:rsid w:val="008B5D73"/>
    <w:rsid w:val="008D3A9F"/>
    <w:rsid w:val="008E2B4E"/>
    <w:rsid w:val="00941C1B"/>
    <w:rsid w:val="00945187"/>
    <w:rsid w:val="00961C21"/>
    <w:rsid w:val="00995E7D"/>
    <w:rsid w:val="009A4261"/>
    <w:rsid w:val="009C43CD"/>
    <w:rsid w:val="00A071E8"/>
    <w:rsid w:val="00A31D77"/>
    <w:rsid w:val="00A358AA"/>
    <w:rsid w:val="00A37A65"/>
    <w:rsid w:val="00A949C3"/>
    <w:rsid w:val="00A96628"/>
    <w:rsid w:val="00AB3DB2"/>
    <w:rsid w:val="00AD354C"/>
    <w:rsid w:val="00AE496D"/>
    <w:rsid w:val="00AF735A"/>
    <w:rsid w:val="00B62469"/>
    <w:rsid w:val="00B6487F"/>
    <w:rsid w:val="00B71B7D"/>
    <w:rsid w:val="00B80DB3"/>
    <w:rsid w:val="00B95F8F"/>
    <w:rsid w:val="00BB6A4F"/>
    <w:rsid w:val="00BC0AEB"/>
    <w:rsid w:val="00BD4314"/>
    <w:rsid w:val="00BF6A70"/>
    <w:rsid w:val="00C23A9A"/>
    <w:rsid w:val="00C34E92"/>
    <w:rsid w:val="00CC2043"/>
    <w:rsid w:val="00D14773"/>
    <w:rsid w:val="00D65F75"/>
    <w:rsid w:val="00DE7D18"/>
    <w:rsid w:val="00E02E83"/>
    <w:rsid w:val="00E13310"/>
    <w:rsid w:val="00E3146A"/>
    <w:rsid w:val="00E35C91"/>
    <w:rsid w:val="00E56D81"/>
    <w:rsid w:val="00EA1EF4"/>
    <w:rsid w:val="00EA63AD"/>
    <w:rsid w:val="00F465D5"/>
    <w:rsid w:val="00F77E14"/>
    <w:rsid w:val="00F934B8"/>
    <w:rsid w:val="00FC0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F81B9"/>
  <w15:chartTrackingRefBased/>
  <w15:docId w15:val="{965320C0-9846-704C-BC12-04457021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47A"/>
    <w:rPr>
      <w:rFonts w:eastAsiaTheme="majorEastAsia" w:cstheme="majorBidi"/>
      <w:color w:val="272727" w:themeColor="text1" w:themeTint="D8"/>
    </w:rPr>
  </w:style>
  <w:style w:type="paragraph" w:styleId="Title">
    <w:name w:val="Title"/>
    <w:basedOn w:val="Normal"/>
    <w:next w:val="Normal"/>
    <w:link w:val="TitleChar"/>
    <w:uiPriority w:val="10"/>
    <w:qFormat/>
    <w:rsid w:val="00226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47A"/>
    <w:pPr>
      <w:spacing w:before="160"/>
      <w:jc w:val="center"/>
    </w:pPr>
    <w:rPr>
      <w:i/>
      <w:iCs/>
      <w:color w:val="404040" w:themeColor="text1" w:themeTint="BF"/>
    </w:rPr>
  </w:style>
  <w:style w:type="character" w:customStyle="1" w:styleId="QuoteChar">
    <w:name w:val="Quote Char"/>
    <w:basedOn w:val="DefaultParagraphFont"/>
    <w:link w:val="Quote"/>
    <w:uiPriority w:val="29"/>
    <w:rsid w:val="0022647A"/>
    <w:rPr>
      <w:i/>
      <w:iCs/>
      <w:color w:val="404040" w:themeColor="text1" w:themeTint="BF"/>
    </w:rPr>
  </w:style>
  <w:style w:type="paragraph" w:styleId="ListParagraph">
    <w:name w:val="List Paragraph"/>
    <w:basedOn w:val="Normal"/>
    <w:uiPriority w:val="34"/>
    <w:qFormat/>
    <w:rsid w:val="0022647A"/>
    <w:pPr>
      <w:ind w:left="720"/>
      <w:contextualSpacing/>
    </w:pPr>
  </w:style>
  <w:style w:type="character" w:styleId="IntenseEmphasis">
    <w:name w:val="Intense Emphasis"/>
    <w:basedOn w:val="DefaultParagraphFont"/>
    <w:uiPriority w:val="21"/>
    <w:qFormat/>
    <w:rsid w:val="0022647A"/>
    <w:rPr>
      <w:i/>
      <w:iCs/>
      <w:color w:val="0F4761" w:themeColor="accent1" w:themeShade="BF"/>
    </w:rPr>
  </w:style>
  <w:style w:type="paragraph" w:styleId="IntenseQuote">
    <w:name w:val="Intense Quote"/>
    <w:basedOn w:val="Normal"/>
    <w:next w:val="Normal"/>
    <w:link w:val="IntenseQuoteChar"/>
    <w:uiPriority w:val="30"/>
    <w:qFormat/>
    <w:rsid w:val="00226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47A"/>
    <w:rPr>
      <w:i/>
      <w:iCs/>
      <w:color w:val="0F4761" w:themeColor="accent1" w:themeShade="BF"/>
    </w:rPr>
  </w:style>
  <w:style w:type="character" w:styleId="IntenseReference">
    <w:name w:val="Intense Reference"/>
    <w:basedOn w:val="DefaultParagraphFont"/>
    <w:uiPriority w:val="32"/>
    <w:qFormat/>
    <w:rsid w:val="0022647A"/>
    <w:rPr>
      <w:b/>
      <w:bCs/>
      <w:smallCaps/>
      <w:color w:val="0F4761" w:themeColor="accent1" w:themeShade="BF"/>
      <w:spacing w:val="5"/>
    </w:rPr>
  </w:style>
  <w:style w:type="character" w:customStyle="1" w:styleId="apple-converted-space">
    <w:name w:val="apple-converted-space"/>
    <w:basedOn w:val="DefaultParagraphFont"/>
    <w:rsid w:val="0022647A"/>
  </w:style>
  <w:style w:type="character" w:styleId="Emphasis">
    <w:name w:val="Emphasis"/>
    <w:basedOn w:val="DefaultParagraphFont"/>
    <w:uiPriority w:val="20"/>
    <w:qFormat/>
    <w:rsid w:val="0022647A"/>
    <w:rPr>
      <w:i/>
      <w:iCs/>
    </w:rPr>
  </w:style>
  <w:style w:type="character" w:styleId="Strong">
    <w:name w:val="Strong"/>
    <w:basedOn w:val="DefaultParagraphFont"/>
    <w:uiPriority w:val="22"/>
    <w:qFormat/>
    <w:rsid w:val="000A0ADB"/>
    <w:rPr>
      <w:b/>
      <w:bCs/>
    </w:rPr>
  </w:style>
  <w:style w:type="character" w:styleId="LineNumber">
    <w:name w:val="line number"/>
    <w:basedOn w:val="DefaultParagraphFont"/>
    <w:uiPriority w:val="99"/>
    <w:semiHidden/>
    <w:unhideWhenUsed/>
    <w:rsid w:val="00A35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90794cc-8ced-4156-9787-a1fbf819c752}"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6</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Shuyang, Ph.D.</dc:creator>
  <cp:keywords/>
  <dc:description/>
  <cp:lastModifiedBy>Lu, Shuyang, Ph.D.</cp:lastModifiedBy>
  <cp:revision>21</cp:revision>
  <dcterms:created xsi:type="dcterms:W3CDTF">2025-10-17T14:23:00Z</dcterms:created>
  <dcterms:modified xsi:type="dcterms:W3CDTF">2025-11-18T10:27:00Z</dcterms:modified>
</cp:coreProperties>
</file>