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5407B" w14:textId="77777777" w:rsidR="00177765" w:rsidRPr="008B5260" w:rsidRDefault="00177765" w:rsidP="00177765">
      <w:pPr>
        <w:spacing w:before="400" w:after="120"/>
        <w:jc w:val="both"/>
        <w:outlineLvl w:val="0"/>
        <w:rPr>
          <w:b/>
          <w:bCs/>
          <w:kern w:val="36"/>
          <w:sz w:val="48"/>
          <w:szCs w:val="48"/>
        </w:rPr>
      </w:pPr>
      <w:r w:rsidRPr="008B5260">
        <w:rPr>
          <w:rFonts w:ascii="Arial" w:hAnsi="Arial" w:cs="Arial"/>
          <w:color w:val="000000"/>
          <w:kern w:val="36"/>
          <w:sz w:val="40"/>
          <w:szCs w:val="40"/>
        </w:rPr>
        <w:t>A Quantitative Approach to Optimise Microcarrier Surface Area for Smarter Adherent Cell Culture</w:t>
      </w:r>
    </w:p>
    <w:p w14:paraId="1DC76875" w14:textId="77777777" w:rsidR="00177765" w:rsidRDefault="00177765" w:rsidP="00177765">
      <w:pPr>
        <w:jc w:val="both"/>
      </w:pPr>
    </w:p>
    <w:p w14:paraId="05FF05B5" w14:textId="4C2C4760" w:rsidR="00177765" w:rsidRDefault="00177765" w:rsidP="00177765">
      <w:pPr>
        <w:jc w:val="both"/>
      </w:pPr>
      <w:r>
        <w:t>Rayan Metha</w:t>
      </w:r>
      <w:r>
        <w:rPr>
          <w:vertAlign w:val="superscript"/>
        </w:rPr>
        <w:t>1</w:t>
      </w:r>
      <w:r>
        <w:t>, Jane Toting</w:t>
      </w:r>
      <w:r>
        <w:rPr>
          <w:vertAlign w:val="superscript"/>
        </w:rPr>
        <w:t>1</w:t>
      </w:r>
      <w:r>
        <w:t>, Sarina Ghobadi</w:t>
      </w:r>
      <w:r>
        <w:rPr>
          <w:vertAlign w:val="superscript"/>
        </w:rPr>
        <w:t>1</w:t>
      </w:r>
      <w:r>
        <w:t>, Majid Ebrahimi Warkiani</w:t>
      </w:r>
      <w:r>
        <w:rPr>
          <w:vertAlign w:val="superscript"/>
        </w:rPr>
        <w:t>1,2,3</w:t>
      </w:r>
      <w:r>
        <w:t>, Payar Radfar</w:t>
      </w:r>
      <w:r>
        <w:rPr>
          <w:vertAlign w:val="superscript"/>
        </w:rPr>
        <w:t>1</w:t>
      </w:r>
      <w:r>
        <w:t>, Lin Ding</w:t>
      </w:r>
      <w:r>
        <w:rPr>
          <w:vertAlign w:val="superscript"/>
        </w:rPr>
        <w:t>1</w:t>
      </w:r>
      <w:r>
        <w:t>*, Rouzbeh Abbassi</w:t>
      </w:r>
      <w:r>
        <w:rPr>
          <w:vertAlign w:val="superscript"/>
        </w:rPr>
        <w:t>4</w:t>
      </w:r>
      <w:r>
        <w:t>*</w:t>
      </w:r>
    </w:p>
    <w:p w14:paraId="238AA2E2" w14:textId="77777777" w:rsidR="00177765" w:rsidRDefault="00177765" w:rsidP="00177765">
      <w:pPr>
        <w:jc w:val="both"/>
      </w:pPr>
      <w:r>
        <w:t>*Corresponding author</w:t>
      </w:r>
    </w:p>
    <w:p w14:paraId="18977F70" w14:textId="77777777" w:rsidR="00177765" w:rsidRDefault="00177765" w:rsidP="00177765">
      <w:pPr>
        <w:jc w:val="both"/>
      </w:pPr>
    </w:p>
    <w:p w14:paraId="07009C2B" w14:textId="77777777" w:rsidR="00177765" w:rsidRDefault="00177765" w:rsidP="00177765">
      <w:pPr>
        <w:jc w:val="both"/>
      </w:pPr>
      <w:r>
        <w:rPr>
          <w:vertAlign w:val="superscript"/>
        </w:rPr>
        <w:t>1</w:t>
      </w:r>
      <w:r>
        <w:t xml:space="preserve"> Smart MCs PTY LTD, Belrose, NSW 2085</w:t>
      </w:r>
    </w:p>
    <w:p w14:paraId="3D73E51A" w14:textId="77777777" w:rsidR="00177765" w:rsidRDefault="00177765" w:rsidP="00177765">
      <w:pPr>
        <w:jc w:val="both"/>
      </w:pPr>
      <w:r>
        <w:rPr>
          <w:vertAlign w:val="superscript"/>
        </w:rPr>
        <w:t>2</w:t>
      </w:r>
      <w:r>
        <w:t xml:space="preserve"> Department of Mechanical Engineering, American University of Sharjah, UAE</w:t>
      </w:r>
    </w:p>
    <w:p w14:paraId="2228FB3A" w14:textId="77777777" w:rsidR="00177765" w:rsidRDefault="00177765" w:rsidP="00177765">
      <w:pPr>
        <w:jc w:val="both"/>
      </w:pPr>
      <w:r>
        <w:rPr>
          <w:vertAlign w:val="superscript"/>
        </w:rPr>
        <w:t>3</w:t>
      </w:r>
      <w:r>
        <w:t>Advanced Biosciences and Bioengineering Research Center (ABSBERC), American University of Sharjah, UAE</w:t>
      </w:r>
    </w:p>
    <w:p w14:paraId="193A9F50" w14:textId="659DE648" w:rsidR="00177765" w:rsidRPr="00177E53" w:rsidRDefault="00177765" w:rsidP="00177765">
      <w:pPr>
        <w:jc w:val="both"/>
      </w:pPr>
      <w:r>
        <w:rPr>
          <w:vertAlign w:val="superscript"/>
        </w:rPr>
        <w:t>4</w:t>
      </w:r>
      <w:r w:rsidRPr="00177765">
        <w:t>School of Engineering</w:t>
      </w:r>
      <w:r>
        <w:t>,</w:t>
      </w:r>
      <w:r w:rsidRPr="00E4594F">
        <w:t xml:space="preserve"> Macquarie </w:t>
      </w:r>
      <w:r>
        <w:t xml:space="preserve">University, </w:t>
      </w:r>
      <w:r w:rsidRPr="00D11602">
        <w:t>Macquarie Park, NSW 2113</w:t>
      </w:r>
    </w:p>
    <w:p w14:paraId="78FE7F39" w14:textId="77777777" w:rsidR="00177765" w:rsidRDefault="00177765" w:rsidP="00177765">
      <w:pPr>
        <w:jc w:val="both"/>
      </w:pPr>
      <w:r>
        <w:t>*Corresponding authors</w:t>
      </w:r>
    </w:p>
    <w:p w14:paraId="41E5B896" w14:textId="4404BEC1" w:rsidR="008B5260" w:rsidRDefault="008B5260" w:rsidP="00024CFD">
      <w:pPr>
        <w:jc w:val="both"/>
      </w:pPr>
    </w:p>
    <w:p w14:paraId="57BD7440" w14:textId="77777777" w:rsidR="00990D5D" w:rsidRDefault="00990D5D" w:rsidP="00024CFD">
      <w:pPr>
        <w:jc w:val="both"/>
      </w:pPr>
    </w:p>
    <w:p w14:paraId="552C1893" w14:textId="18FFC93D" w:rsidR="008B5260" w:rsidRDefault="00C30CCA" w:rsidP="00C30CCA">
      <w:pPr>
        <w:pStyle w:val="ListParagraph"/>
        <w:numPr>
          <w:ilvl w:val="0"/>
          <w:numId w:val="4"/>
        </w:numPr>
        <w:jc w:val="both"/>
        <w:rPr>
          <w:sz w:val="32"/>
          <w:szCs w:val="32"/>
        </w:rPr>
      </w:pPr>
      <w:r w:rsidRPr="00C30CCA">
        <w:rPr>
          <w:sz w:val="32"/>
          <w:szCs w:val="32"/>
        </w:rPr>
        <w:t>Mathematical Definitions</w:t>
      </w:r>
    </w:p>
    <w:p w14:paraId="0FA41C01" w14:textId="77777777" w:rsidR="00C30CCA" w:rsidRDefault="00C30CCA" w:rsidP="00024CFD">
      <w:pPr>
        <w:jc w:val="both"/>
        <w:rPr>
          <w:sz w:val="32"/>
          <w:szCs w:val="32"/>
        </w:rPr>
      </w:pPr>
    </w:p>
    <w:p w14:paraId="2B0E57E2" w14:textId="14804F5E" w:rsidR="00C30CCA" w:rsidRDefault="00C30CCA" w:rsidP="00024CFD">
      <w:pPr>
        <w:jc w:val="both"/>
      </w:pPr>
      <w:r w:rsidRPr="00C30CCA">
        <w:t>S1. Intersection over Union (IOU) and Detection Classification</w:t>
      </w:r>
    </w:p>
    <w:p w14:paraId="34113D6A" w14:textId="766550CF" w:rsidR="00C30CCA" w:rsidRDefault="00C30CCA" w:rsidP="00024CFD">
      <w:pPr>
        <w:jc w:val="both"/>
        <w:rPr>
          <w:sz w:val="16"/>
          <w:szCs w:val="16"/>
        </w:rPr>
      </w:pPr>
      <w:r>
        <w:rPr>
          <w:sz w:val="16"/>
          <w:szCs w:val="16"/>
        </w:rPr>
        <w:t>The model outputs the circles detected as triplets of (x, y, diameter) which we must compare to the ground truth set of circles in the same format. To classify a True Positive (TP), we utilised an Intersection over Union (IOU) threshold. For each ground truth circle (</w:t>
      </w:r>
      <m:oMath>
        <m:r>
          <w:rPr>
            <w:rFonts w:ascii="Cambria Math" w:hAnsi="Cambria Math"/>
            <w:sz w:val="16"/>
            <w:szCs w:val="16"/>
          </w:rPr>
          <m:t>A</m:t>
        </m:r>
      </m:oMath>
      <w:r>
        <w:rPr>
          <w:sz w:val="16"/>
          <w:szCs w:val="16"/>
        </w:rPr>
        <w:t>) and model-predicted circle (</w:t>
      </w:r>
      <m:oMath>
        <m:r>
          <w:rPr>
            <w:rFonts w:ascii="Cambria Math" w:hAnsi="Cambria Math"/>
            <w:sz w:val="16"/>
            <w:szCs w:val="16"/>
          </w:rPr>
          <m:t>B</m:t>
        </m:r>
      </m:oMath>
      <w:r>
        <w:rPr>
          <w:sz w:val="16"/>
          <w:szCs w:val="16"/>
        </w:rPr>
        <w:t>), the IOU is calculated as</w:t>
      </w:r>
    </w:p>
    <w:p w14:paraId="743784CE" w14:textId="4210B6B4" w:rsidR="00C30CCA" w:rsidRPr="00C30CCA" w:rsidRDefault="00C30CCA" w:rsidP="00024CFD">
      <w:pPr>
        <w:jc w:val="both"/>
        <w:rPr>
          <w:sz w:val="16"/>
          <w:szCs w:val="16"/>
        </w:rPr>
      </w:pPr>
      <m:oMathPara>
        <m:oMath>
          <m:r>
            <w:rPr>
              <w:rFonts w:ascii="Cambria Math" w:hAnsi="Cambria Math"/>
              <w:sz w:val="16"/>
              <w:szCs w:val="16"/>
            </w:rPr>
            <m:t xml:space="preserve">IOU= </m:t>
          </m:r>
          <m:f>
            <m:fPr>
              <m:ctrlPr>
                <w:rPr>
                  <w:rFonts w:ascii="Cambria Math" w:eastAsia="宋体" w:hAnsi="Cambria Math" w:cstheme="minorBidi"/>
                  <w:i/>
                  <w:kern w:val="2"/>
                  <w:sz w:val="16"/>
                  <w:szCs w:val="16"/>
                  <w:lang w:eastAsia="en-US"/>
                  <w14:ligatures w14:val="standardContextual"/>
                </w:rPr>
              </m:ctrlPr>
            </m:fPr>
            <m:num>
              <m:r>
                <w:rPr>
                  <w:rFonts w:ascii="Cambria Math" w:hAnsi="Cambria Math"/>
                  <w:sz w:val="16"/>
                  <w:szCs w:val="16"/>
                </w:rPr>
                <m:t>Area(A∩B)</m:t>
              </m:r>
            </m:num>
            <m:den>
              <m:r>
                <w:rPr>
                  <w:rFonts w:ascii="Cambria Math" w:hAnsi="Cambria Math"/>
                  <w:sz w:val="16"/>
                  <w:szCs w:val="16"/>
                </w:rPr>
                <m:t>Area(A∪B)</m:t>
              </m:r>
            </m:den>
          </m:f>
        </m:oMath>
      </m:oMathPara>
    </w:p>
    <w:p w14:paraId="20964684" w14:textId="2ED543BD" w:rsidR="00C30CCA" w:rsidRDefault="0003770A" w:rsidP="00024CFD">
      <w:pPr>
        <w:jc w:val="both"/>
        <w:rPr>
          <w:sz w:val="16"/>
          <w:szCs w:val="16"/>
        </w:rPr>
      </w:pPr>
      <w:r>
        <w:rPr>
          <w:sz w:val="16"/>
          <w:szCs w:val="16"/>
        </w:rPr>
        <w:t>An IOU value of larger than 0.5 was required to classify a detection as a True Positive</w:t>
      </w:r>
    </w:p>
    <w:p w14:paraId="4744CDD4" w14:textId="77777777" w:rsidR="0003770A" w:rsidRDefault="0003770A" w:rsidP="00024CFD">
      <w:pPr>
        <w:jc w:val="both"/>
        <w:rPr>
          <w:sz w:val="16"/>
          <w:szCs w:val="16"/>
        </w:rPr>
      </w:pPr>
    </w:p>
    <w:p w14:paraId="091ACD85" w14:textId="5C5B2276" w:rsidR="0003770A" w:rsidRPr="007E5574" w:rsidRDefault="0003770A" w:rsidP="00024CFD">
      <w:pPr>
        <w:jc w:val="both"/>
      </w:pPr>
      <w:r w:rsidRPr="00C30CCA">
        <w:t>S</w:t>
      </w:r>
      <w:r>
        <w:t>2</w:t>
      </w:r>
      <w:r w:rsidRPr="00C30CCA">
        <w:t xml:space="preserve">. </w:t>
      </w:r>
      <w:r w:rsidRPr="0003770A">
        <w:t>Detection Efficiency Metric (E)</w:t>
      </w:r>
    </w:p>
    <w:p w14:paraId="748271C9" w14:textId="0C2EC062" w:rsidR="00C30CCA" w:rsidRDefault="0003770A" w:rsidP="00024CFD">
      <w:pPr>
        <w:jc w:val="both"/>
        <w:rPr>
          <w:sz w:val="16"/>
          <w:szCs w:val="16"/>
        </w:rPr>
      </w:pPr>
      <w:r>
        <w:rPr>
          <w:sz w:val="16"/>
          <w:szCs w:val="16"/>
        </w:rPr>
        <w:t>The utility function for the Bayesian Optimisation was a custom efficiency metric (</w:t>
      </w:r>
      <m:oMath>
        <m:r>
          <w:rPr>
            <w:rFonts w:ascii="Cambria Math" w:hAnsi="Cambria Math"/>
            <w:sz w:val="16"/>
            <w:szCs w:val="16"/>
          </w:rPr>
          <m:t>E</m:t>
        </m:r>
      </m:oMath>
      <w:r>
        <w:rPr>
          <w:sz w:val="16"/>
          <w:szCs w:val="16"/>
        </w:rPr>
        <w:t>) combining detection fidelity and geometric precision</w:t>
      </w:r>
    </w:p>
    <w:p w14:paraId="217EF3BB" w14:textId="3B678640" w:rsidR="0003770A" w:rsidRPr="00C30CCA" w:rsidRDefault="0003770A" w:rsidP="0003770A">
      <w:pPr>
        <w:jc w:val="both"/>
        <w:rPr>
          <w:sz w:val="16"/>
          <w:szCs w:val="16"/>
        </w:rPr>
      </w:pPr>
      <m:oMathPara>
        <m:oMath>
          <m:r>
            <w:rPr>
              <w:rFonts w:ascii="Cambria Math" w:hAnsi="Cambria Math"/>
              <w:sz w:val="16"/>
              <w:szCs w:val="16"/>
            </w:rPr>
            <m:t>E= F1⋅(1-NAE)</m:t>
          </m:r>
        </m:oMath>
      </m:oMathPara>
    </w:p>
    <w:p w14:paraId="56FEC0E5" w14:textId="73BA8E4D" w:rsidR="0003770A" w:rsidRDefault="0003770A" w:rsidP="00024CFD">
      <w:pPr>
        <w:jc w:val="both"/>
        <w:rPr>
          <w:sz w:val="16"/>
          <w:szCs w:val="16"/>
        </w:rPr>
      </w:pPr>
      <w:r>
        <w:rPr>
          <w:sz w:val="16"/>
          <w:szCs w:val="16"/>
        </w:rPr>
        <w:t xml:space="preserve">where an </w:t>
      </w:r>
      <m:oMath>
        <m:r>
          <w:rPr>
            <w:rFonts w:ascii="Cambria Math" w:hAnsi="Cambria Math"/>
            <w:sz w:val="16"/>
            <w:szCs w:val="16"/>
          </w:rPr>
          <m:t>E</m:t>
        </m:r>
      </m:oMath>
      <w:r>
        <w:rPr>
          <w:sz w:val="16"/>
          <w:szCs w:val="16"/>
        </w:rPr>
        <w:t xml:space="preserve"> value of 1 represents a perfect annotator.</w:t>
      </w:r>
    </w:p>
    <w:p w14:paraId="1DE97CA4" w14:textId="77777777" w:rsidR="0003770A" w:rsidRDefault="0003770A" w:rsidP="00024CFD">
      <w:pPr>
        <w:jc w:val="both"/>
        <w:rPr>
          <w:sz w:val="16"/>
          <w:szCs w:val="16"/>
        </w:rPr>
      </w:pPr>
    </w:p>
    <w:p w14:paraId="1E3782D6" w14:textId="3F2BC5AE" w:rsidR="0003770A" w:rsidRDefault="0003770A" w:rsidP="00024CFD">
      <w:pPr>
        <w:jc w:val="both"/>
        <w:rPr>
          <w:sz w:val="16"/>
          <w:szCs w:val="16"/>
        </w:rPr>
      </w:pPr>
      <w:r>
        <w:rPr>
          <w:sz w:val="16"/>
          <w:szCs w:val="16"/>
        </w:rPr>
        <w:t>The F1-score is defined as</w:t>
      </w:r>
    </w:p>
    <w:p w14:paraId="15438256" w14:textId="53676625" w:rsidR="0003770A" w:rsidRPr="00C30CCA" w:rsidRDefault="0003770A" w:rsidP="0003770A">
      <w:pPr>
        <w:jc w:val="both"/>
        <w:rPr>
          <w:sz w:val="16"/>
          <w:szCs w:val="16"/>
        </w:rPr>
      </w:pPr>
      <m:oMathPara>
        <m:oMath>
          <m:r>
            <w:rPr>
              <w:rFonts w:ascii="Cambria Math" w:hAnsi="Cambria Math"/>
              <w:sz w:val="16"/>
              <w:szCs w:val="16"/>
            </w:rPr>
            <m:t>F1= 2⋅</m:t>
          </m:r>
          <m:f>
            <m:fPr>
              <m:ctrlPr>
                <w:rPr>
                  <w:rFonts w:ascii="Cambria Math" w:eastAsia="宋体" w:hAnsi="Cambria Math" w:cstheme="minorBidi"/>
                  <w:i/>
                  <w:kern w:val="2"/>
                  <w:sz w:val="16"/>
                  <w:szCs w:val="16"/>
                  <w:lang w:eastAsia="en-US"/>
                  <w14:ligatures w14:val="standardContextual"/>
                </w:rPr>
              </m:ctrlPr>
            </m:fPr>
            <m:num>
              <m:r>
                <w:rPr>
                  <w:rFonts w:ascii="Cambria Math" w:hAnsi="Cambria Math"/>
                  <w:sz w:val="16"/>
                  <w:szCs w:val="16"/>
                </w:rPr>
                <m:t>Precision⋅Recall</m:t>
              </m:r>
            </m:num>
            <m:den>
              <m:r>
                <w:rPr>
                  <w:rFonts w:ascii="Cambria Math" w:hAnsi="Cambria Math"/>
                  <w:sz w:val="16"/>
                  <w:szCs w:val="16"/>
                </w:rPr>
                <m:t>Precision+Recall</m:t>
              </m:r>
            </m:den>
          </m:f>
        </m:oMath>
      </m:oMathPara>
    </w:p>
    <w:p w14:paraId="659CAECA" w14:textId="77777777" w:rsidR="0003770A" w:rsidRDefault="0003770A" w:rsidP="00024CFD">
      <w:pPr>
        <w:jc w:val="both"/>
        <w:rPr>
          <w:sz w:val="16"/>
          <w:szCs w:val="16"/>
        </w:rPr>
      </w:pPr>
    </w:p>
    <w:p w14:paraId="22E21966" w14:textId="3CF837D2" w:rsidR="0003770A" w:rsidRDefault="0003770A" w:rsidP="00024CFD">
      <w:pPr>
        <w:jc w:val="both"/>
        <w:rPr>
          <w:sz w:val="16"/>
          <w:szCs w:val="16"/>
        </w:rPr>
      </w:pPr>
      <w:r>
        <w:rPr>
          <w:sz w:val="16"/>
          <w:szCs w:val="16"/>
        </w:rPr>
        <w:t>where Precision and Recall are derived from the True Positives (TP), False Positives (FP) and False Negatives (FN).</w:t>
      </w:r>
    </w:p>
    <w:p w14:paraId="3568AD16" w14:textId="77777777" w:rsidR="0003770A" w:rsidRDefault="0003770A" w:rsidP="00024CFD">
      <w:pPr>
        <w:jc w:val="both"/>
        <w:rPr>
          <w:sz w:val="16"/>
          <w:szCs w:val="16"/>
        </w:rPr>
      </w:pPr>
    </w:p>
    <w:p w14:paraId="1D51BB7F" w14:textId="6BED73C2" w:rsidR="0003770A" w:rsidRDefault="0003770A" w:rsidP="00024CFD">
      <w:pPr>
        <w:jc w:val="both"/>
        <w:rPr>
          <w:sz w:val="16"/>
          <w:szCs w:val="16"/>
        </w:rPr>
      </w:pPr>
      <w:r>
        <w:rPr>
          <w:sz w:val="16"/>
          <w:szCs w:val="16"/>
        </w:rPr>
        <w:t>The Normalised Average Diameter (NAE) is computed only on the diameters correctly identified circles (TP’s)</w:t>
      </w:r>
    </w:p>
    <w:p w14:paraId="145333D4" w14:textId="7E483515" w:rsidR="0003770A" w:rsidRPr="007E5574" w:rsidRDefault="0003770A" w:rsidP="0003770A">
      <w:pPr>
        <w:jc w:val="both"/>
        <w:rPr>
          <w:sz w:val="16"/>
          <w:szCs w:val="16"/>
        </w:rPr>
      </w:pPr>
      <m:oMathPara>
        <m:oMath>
          <m:r>
            <w:rPr>
              <w:rFonts w:ascii="Cambria Math" w:hAnsi="Cambria Math"/>
              <w:sz w:val="16"/>
              <w:szCs w:val="16"/>
            </w:rPr>
            <m:t>NAE=</m:t>
          </m:r>
          <m:f>
            <m:fPr>
              <m:ctrlPr>
                <w:rPr>
                  <w:rFonts w:ascii="Cambria Math" w:eastAsia="宋体" w:hAnsi="Cambria Math" w:cstheme="minorBidi"/>
                  <w:i/>
                  <w:kern w:val="2"/>
                  <w:sz w:val="16"/>
                  <w:szCs w:val="16"/>
                  <w:lang w:eastAsia="en-US"/>
                  <w14:ligatures w14:val="standardContextual"/>
                </w:rPr>
              </m:ctrlPr>
            </m:fPr>
            <m:num>
              <m:r>
                <w:rPr>
                  <w:rFonts w:ascii="Cambria Math" w:hAnsi="Cambria Math"/>
                  <w:sz w:val="16"/>
                  <w:szCs w:val="16"/>
                </w:rPr>
                <m:t>1</m:t>
              </m:r>
            </m:num>
            <m:den>
              <m:r>
                <w:rPr>
                  <w:rFonts w:ascii="Cambria Math" w:hAnsi="Cambria Math"/>
                  <w:sz w:val="16"/>
                  <w:szCs w:val="16"/>
                </w:rPr>
                <m:t>n</m:t>
              </m:r>
            </m:den>
          </m:f>
          <m:nary>
            <m:naryPr>
              <m:chr m:val="∑"/>
              <m:limLoc m:val="undOvr"/>
              <m:supHide m:val="1"/>
              <m:ctrlPr>
                <w:rPr>
                  <w:rFonts w:ascii="Cambria Math" w:eastAsia="宋体" w:hAnsi="Cambria Math" w:cstheme="minorBidi"/>
                  <w:i/>
                  <w:kern w:val="2"/>
                  <w:sz w:val="16"/>
                  <w:szCs w:val="16"/>
                  <w:lang w:eastAsia="en-US"/>
                  <w14:ligatures w14:val="standardContextual"/>
                </w:rPr>
              </m:ctrlPr>
            </m:naryPr>
            <m:sub>
              <m:r>
                <w:rPr>
                  <w:rFonts w:ascii="Cambria Math" w:hAnsi="Cambria Math"/>
                  <w:sz w:val="16"/>
                  <w:szCs w:val="16"/>
                </w:rPr>
                <m:t>circles∈TP</m:t>
              </m:r>
            </m:sub>
            <m:sup/>
            <m:e>
              <m:f>
                <m:fPr>
                  <m:ctrlPr>
                    <w:rPr>
                      <w:rFonts w:ascii="Cambria Math" w:eastAsia="宋体" w:hAnsi="Cambria Math" w:cstheme="minorBidi"/>
                      <w:i/>
                      <w:kern w:val="2"/>
                      <w:sz w:val="16"/>
                      <w:szCs w:val="16"/>
                      <w:lang w:eastAsia="en-US"/>
                      <w14:ligatures w14:val="standardContextual"/>
                    </w:rPr>
                  </m:ctrlPr>
                </m:fPr>
                <m:num>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d</m:t>
                      </m:r>
                    </m:e>
                    <m:sub>
                      <m:r>
                        <w:rPr>
                          <w:rFonts w:ascii="Cambria Math" w:hAnsi="Cambria Math"/>
                          <w:sz w:val="16"/>
                          <w:szCs w:val="16"/>
                        </w:rPr>
                        <m:t>predicted</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d</m:t>
                      </m:r>
                    </m:e>
                    <m:sub>
                      <m:r>
                        <w:rPr>
                          <w:rFonts w:ascii="Cambria Math" w:hAnsi="Cambria Math"/>
                          <w:sz w:val="16"/>
                          <w:szCs w:val="16"/>
                        </w:rPr>
                        <m:t>ground_truth</m:t>
                      </m:r>
                    </m:sub>
                  </m:sSub>
                  <m:r>
                    <w:rPr>
                      <w:rFonts w:ascii="Cambria Math" w:hAnsi="Cambria Math"/>
                      <w:sz w:val="16"/>
                      <w:szCs w:val="16"/>
                    </w:rPr>
                    <m:t>|</m:t>
                  </m:r>
                </m:num>
                <m:den>
                  <m:sSub>
                    <m:sSubPr>
                      <m:ctrlPr>
                        <w:rPr>
                          <w:rFonts w:ascii="Cambria Math" w:hAnsi="Cambria Math"/>
                          <w:i/>
                          <w:sz w:val="16"/>
                          <w:szCs w:val="16"/>
                        </w:rPr>
                      </m:ctrlPr>
                    </m:sSubPr>
                    <m:e>
                      <m:r>
                        <w:rPr>
                          <w:rFonts w:ascii="Cambria Math" w:hAnsi="Cambria Math"/>
                          <w:sz w:val="16"/>
                          <w:szCs w:val="16"/>
                        </w:rPr>
                        <m:t>d</m:t>
                      </m:r>
                    </m:e>
                    <m:sub>
                      <m:r>
                        <w:rPr>
                          <w:rFonts w:ascii="Cambria Math" w:hAnsi="Cambria Math"/>
                          <w:sz w:val="16"/>
                          <w:szCs w:val="16"/>
                        </w:rPr>
                        <m:t>ground_truth</m:t>
                      </m:r>
                    </m:sub>
                  </m:sSub>
                </m:den>
              </m:f>
            </m:e>
          </m:nary>
        </m:oMath>
      </m:oMathPara>
    </w:p>
    <w:p w14:paraId="567A69A1" w14:textId="6CDE9415" w:rsidR="007E5574" w:rsidRPr="00C30CCA" w:rsidRDefault="007E5574" w:rsidP="0003770A">
      <w:pPr>
        <w:jc w:val="both"/>
        <w:rPr>
          <w:sz w:val="16"/>
          <w:szCs w:val="16"/>
        </w:rPr>
      </w:pPr>
      <w:r>
        <w:rPr>
          <w:sz w:val="16"/>
          <w:szCs w:val="16"/>
        </w:rPr>
        <w:t xml:space="preserve">Where </w:t>
      </w:r>
      <m:oMath>
        <m:r>
          <w:rPr>
            <w:rFonts w:ascii="Cambria Math" w:hAnsi="Cambria Math"/>
            <w:sz w:val="16"/>
            <w:szCs w:val="16"/>
          </w:rPr>
          <m:t>n</m:t>
        </m:r>
      </m:oMath>
      <w:r>
        <w:rPr>
          <w:sz w:val="16"/>
          <w:szCs w:val="16"/>
        </w:rPr>
        <w:t xml:space="preserve"> is the number of true positive detections.</w:t>
      </w:r>
    </w:p>
    <w:p w14:paraId="0E8ECFB0" w14:textId="77777777" w:rsidR="0003770A" w:rsidRDefault="0003770A" w:rsidP="00024CFD">
      <w:pPr>
        <w:jc w:val="both"/>
        <w:rPr>
          <w:sz w:val="16"/>
          <w:szCs w:val="16"/>
        </w:rPr>
      </w:pPr>
    </w:p>
    <w:p w14:paraId="3FFF3DCB" w14:textId="2B2CF69A" w:rsidR="007E5574" w:rsidRPr="007E5574" w:rsidRDefault="007E5574" w:rsidP="007E5574">
      <w:pPr>
        <w:pStyle w:val="ListParagraph"/>
        <w:numPr>
          <w:ilvl w:val="0"/>
          <w:numId w:val="4"/>
        </w:numPr>
        <w:jc w:val="both"/>
        <w:rPr>
          <w:sz w:val="32"/>
          <w:szCs w:val="32"/>
        </w:rPr>
      </w:pPr>
      <w:r>
        <w:rPr>
          <w:sz w:val="32"/>
          <w:szCs w:val="32"/>
        </w:rPr>
        <w:t>Benchmarking Metrics</w:t>
      </w:r>
      <w:r w:rsidR="003657FE">
        <w:rPr>
          <w:sz w:val="32"/>
          <w:szCs w:val="32"/>
        </w:rPr>
        <w:t xml:space="preserve"> and Estimations</w:t>
      </w:r>
    </w:p>
    <w:p w14:paraId="59D880DA" w14:textId="1BE84530" w:rsidR="0003770A" w:rsidRDefault="0003770A" w:rsidP="00024CFD">
      <w:pPr>
        <w:jc w:val="both"/>
        <w:rPr>
          <w:sz w:val="16"/>
          <w:szCs w:val="16"/>
        </w:rPr>
      </w:pPr>
    </w:p>
    <w:p w14:paraId="507BBC44" w14:textId="35F255F2" w:rsidR="007E5574" w:rsidRPr="007E5574" w:rsidRDefault="007E5574" w:rsidP="00024CFD">
      <w:pPr>
        <w:jc w:val="both"/>
      </w:pPr>
      <w:r w:rsidRPr="007E5574">
        <w:t xml:space="preserve">S3. </w:t>
      </w:r>
      <w:r>
        <w:t>Evaluation Metrics</w:t>
      </w:r>
    </w:p>
    <w:p w14:paraId="5C2042A1" w14:textId="55F0586B" w:rsidR="007E5574" w:rsidRDefault="007E5574" w:rsidP="00024CFD">
      <w:pPr>
        <w:jc w:val="both"/>
        <w:rPr>
          <w:sz w:val="16"/>
          <w:szCs w:val="16"/>
        </w:rPr>
      </w:pPr>
      <w:r>
        <w:rPr>
          <w:sz w:val="16"/>
          <w:szCs w:val="16"/>
        </w:rPr>
        <w:t>Performance was evaluated using the median Absolute Percentage Error (APE) across image classes.</w:t>
      </w:r>
    </w:p>
    <w:p w14:paraId="51694395" w14:textId="77777777" w:rsidR="007E5574" w:rsidRDefault="007E5574" w:rsidP="00024CFD">
      <w:pPr>
        <w:jc w:val="both"/>
        <w:rPr>
          <w:sz w:val="16"/>
          <w:szCs w:val="16"/>
        </w:rPr>
      </w:pPr>
    </w:p>
    <w:p w14:paraId="4DCCC65A" w14:textId="2D039095" w:rsidR="007E5574" w:rsidRDefault="007E5574" w:rsidP="00024CFD">
      <w:pPr>
        <w:jc w:val="both"/>
        <w:rPr>
          <w:b/>
          <w:bCs/>
          <w:sz w:val="16"/>
          <w:szCs w:val="16"/>
        </w:rPr>
      </w:pPr>
      <w:r>
        <w:rPr>
          <w:b/>
          <w:bCs/>
          <w:sz w:val="16"/>
          <w:szCs w:val="16"/>
        </w:rPr>
        <w:t>Count Accuracy:</w:t>
      </w:r>
    </w:p>
    <w:p w14:paraId="4E63D6BE" w14:textId="0E1EFE45" w:rsidR="007E5574" w:rsidRPr="007E5574" w:rsidRDefault="007E5574" w:rsidP="00024CFD">
      <w:pPr>
        <w:jc w:val="both"/>
        <w:rPr>
          <w:sz w:val="16"/>
          <w:szCs w:val="16"/>
        </w:rPr>
      </w:pPr>
      <m:oMathPara>
        <m:oMath>
          <m:r>
            <w:rPr>
              <w:rFonts w:ascii="Cambria Math" w:hAnsi="Cambria Math"/>
              <w:sz w:val="16"/>
              <w:szCs w:val="16"/>
            </w:rPr>
            <m:t>AP</m:t>
          </m:r>
          <m:sSub>
            <m:sSubPr>
              <m:ctrlPr>
                <w:rPr>
                  <w:rFonts w:ascii="Cambria Math" w:hAnsi="Cambria Math"/>
                  <w:i/>
                  <w:sz w:val="16"/>
                  <w:szCs w:val="16"/>
                </w:rPr>
              </m:ctrlPr>
            </m:sSubPr>
            <m:e>
              <m:r>
                <w:rPr>
                  <w:rFonts w:ascii="Cambria Math" w:hAnsi="Cambria Math"/>
                  <w:sz w:val="16"/>
                  <w:szCs w:val="16"/>
                </w:rPr>
                <m:t>E</m:t>
              </m:r>
            </m:e>
            <m:sub>
              <m:r>
                <w:rPr>
                  <w:rFonts w:ascii="Cambria Math" w:hAnsi="Cambria Math"/>
                  <w:sz w:val="16"/>
                  <w:szCs w:val="16"/>
                </w:rPr>
                <m:t>count</m:t>
              </m:r>
            </m:sub>
          </m:sSub>
          <m:r>
            <w:rPr>
              <w:rFonts w:ascii="Cambria Math" w:hAnsi="Cambria Math"/>
              <w:sz w:val="16"/>
              <w:szCs w:val="16"/>
            </w:rPr>
            <m:t>=</m:t>
          </m:r>
          <m:f>
            <m:fPr>
              <m:ctrlPr>
                <w:rPr>
                  <w:rFonts w:ascii="Cambria Math" w:eastAsia="宋体" w:hAnsi="Cambria Math" w:cstheme="minorBidi"/>
                  <w:i/>
                  <w:kern w:val="2"/>
                  <w:sz w:val="16"/>
                  <w:szCs w:val="16"/>
                  <w:lang w:eastAsia="en-US"/>
                  <w14:ligatures w14:val="standardContextual"/>
                </w:rPr>
              </m:ctrlPr>
            </m:fPr>
            <m:num>
              <m:r>
                <w:rPr>
                  <w:rFonts w:ascii="Cambria Math" w:hAnsi="Cambria Math"/>
                  <w:sz w:val="16"/>
                  <w:szCs w:val="16"/>
                </w:rPr>
                <m:t>|Coun</m:t>
              </m:r>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method</m:t>
                  </m:r>
                </m:sub>
              </m:sSub>
              <m:r>
                <w:rPr>
                  <w:rFonts w:ascii="Cambria Math" w:hAnsi="Cambria Math"/>
                  <w:sz w:val="16"/>
                  <w:szCs w:val="16"/>
                </w:rPr>
                <m:t>-Coun</m:t>
              </m:r>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GT</m:t>
                  </m:r>
                </m:sub>
              </m:sSub>
              <m:r>
                <w:rPr>
                  <w:rFonts w:ascii="Cambria Math" w:hAnsi="Cambria Math"/>
                  <w:sz w:val="16"/>
                  <w:szCs w:val="16"/>
                </w:rPr>
                <m:t>|</m:t>
              </m:r>
            </m:num>
            <m:den>
              <m:r>
                <w:rPr>
                  <w:rFonts w:ascii="Cambria Math" w:hAnsi="Cambria Math"/>
                  <w:sz w:val="16"/>
                  <w:szCs w:val="16"/>
                </w:rPr>
                <m:t>Coun</m:t>
              </m:r>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GT</m:t>
                  </m:r>
                </m:sub>
              </m:sSub>
            </m:den>
          </m:f>
        </m:oMath>
      </m:oMathPara>
    </w:p>
    <w:p w14:paraId="7054F7F7" w14:textId="360077C9" w:rsidR="007E5574" w:rsidRDefault="007E5574" w:rsidP="007E5574">
      <w:pPr>
        <w:jc w:val="both"/>
        <w:rPr>
          <w:b/>
          <w:bCs/>
          <w:sz w:val="16"/>
          <w:szCs w:val="16"/>
        </w:rPr>
      </w:pPr>
      <w:r>
        <w:rPr>
          <w:b/>
          <w:bCs/>
          <w:sz w:val="16"/>
          <w:szCs w:val="16"/>
        </w:rPr>
        <w:t>Diameter Accuracy:</w:t>
      </w:r>
    </w:p>
    <w:p w14:paraId="4972A4CA" w14:textId="71A402DB" w:rsidR="007E5574" w:rsidRPr="007E5574" w:rsidRDefault="007E5574" w:rsidP="007E5574">
      <w:pPr>
        <w:jc w:val="both"/>
        <w:rPr>
          <w:sz w:val="16"/>
          <w:szCs w:val="16"/>
        </w:rPr>
      </w:pPr>
      <m:oMathPara>
        <m:oMath>
          <m:r>
            <w:rPr>
              <w:rFonts w:ascii="Cambria Math" w:hAnsi="Cambria Math"/>
              <w:sz w:val="16"/>
              <w:szCs w:val="16"/>
            </w:rPr>
            <m:t>AP</m:t>
          </m:r>
          <m:sSub>
            <m:sSubPr>
              <m:ctrlPr>
                <w:rPr>
                  <w:rFonts w:ascii="Cambria Math" w:hAnsi="Cambria Math"/>
                  <w:i/>
                  <w:sz w:val="16"/>
                  <w:szCs w:val="16"/>
                </w:rPr>
              </m:ctrlPr>
            </m:sSubPr>
            <m:e>
              <m:r>
                <w:rPr>
                  <w:rFonts w:ascii="Cambria Math" w:hAnsi="Cambria Math"/>
                  <w:sz w:val="16"/>
                  <w:szCs w:val="16"/>
                </w:rPr>
                <m:t>E</m:t>
              </m:r>
            </m:e>
            <m:sub>
              <m:r>
                <w:rPr>
                  <w:rFonts w:ascii="Cambria Math" w:hAnsi="Cambria Math"/>
                  <w:sz w:val="16"/>
                  <w:szCs w:val="16"/>
                </w:rPr>
                <m:t>diameter</m:t>
              </m:r>
            </m:sub>
          </m:sSub>
          <m:r>
            <w:rPr>
              <w:rFonts w:ascii="Cambria Math" w:hAnsi="Cambria Math"/>
              <w:sz w:val="16"/>
              <w:szCs w:val="16"/>
            </w:rPr>
            <m:t>=</m:t>
          </m:r>
          <m:f>
            <m:fPr>
              <m:ctrlPr>
                <w:rPr>
                  <w:rFonts w:ascii="Cambria Math" w:eastAsia="宋体" w:hAnsi="Cambria Math" w:cstheme="minorBidi"/>
                  <w:i/>
                  <w:kern w:val="2"/>
                  <w:sz w:val="16"/>
                  <w:szCs w:val="16"/>
                  <w:lang w:eastAsia="en-US"/>
                  <w14:ligatures w14:val="standardContextual"/>
                </w:rPr>
              </m:ctrlPr>
            </m:fPr>
            <m:num>
              <m:r>
                <w:rPr>
                  <w:rFonts w:ascii="Cambria Math" w:hAnsi="Cambria Math"/>
                  <w:sz w:val="16"/>
                  <w:szCs w:val="16"/>
                </w:rPr>
                <m:t>|</m:t>
              </m:r>
              <m:sSub>
                <m:sSubPr>
                  <m:ctrlPr>
                    <w:rPr>
                      <w:rFonts w:ascii="Cambria Math" w:hAnsi="Cambria Math"/>
                      <w:i/>
                      <w:sz w:val="16"/>
                      <w:szCs w:val="16"/>
                    </w:rPr>
                  </m:ctrlPr>
                </m:sSubPr>
                <m:e>
                  <m:acc>
                    <m:accPr>
                      <m:chr m:val="̅"/>
                      <m:ctrlPr>
                        <w:rPr>
                          <w:rFonts w:ascii="Cambria Math" w:eastAsia="宋体" w:hAnsi="Cambria Math" w:cstheme="minorBidi"/>
                          <w:i/>
                          <w:kern w:val="2"/>
                          <w:sz w:val="16"/>
                          <w:szCs w:val="16"/>
                          <w:lang w:eastAsia="en-US"/>
                          <w14:ligatures w14:val="standardContextual"/>
                        </w:rPr>
                      </m:ctrlPr>
                    </m:accPr>
                    <m:e>
                      <m:r>
                        <w:rPr>
                          <w:rFonts w:ascii="Cambria Math" w:hAnsi="Cambria Math"/>
                          <w:sz w:val="16"/>
                          <w:szCs w:val="16"/>
                        </w:rPr>
                        <m:t>d</m:t>
                      </m:r>
                    </m:e>
                  </m:acc>
                </m:e>
                <m:sub>
                  <m:r>
                    <w:rPr>
                      <w:rFonts w:ascii="Cambria Math" w:hAnsi="Cambria Math"/>
                      <w:sz w:val="16"/>
                      <w:szCs w:val="16"/>
                    </w:rPr>
                    <m:t>method</m:t>
                  </m:r>
                </m:sub>
              </m:sSub>
              <m:r>
                <w:rPr>
                  <w:rFonts w:ascii="Cambria Math" w:hAnsi="Cambria Math"/>
                  <w:sz w:val="16"/>
                  <w:szCs w:val="16"/>
                </w:rPr>
                <m:t>-</m:t>
              </m:r>
              <m:sSub>
                <m:sSubPr>
                  <m:ctrlPr>
                    <w:rPr>
                      <w:rFonts w:ascii="Cambria Math" w:hAnsi="Cambria Math"/>
                      <w:i/>
                      <w:sz w:val="16"/>
                      <w:szCs w:val="16"/>
                    </w:rPr>
                  </m:ctrlPr>
                </m:sSubPr>
                <m:e>
                  <m:acc>
                    <m:accPr>
                      <m:chr m:val="̅"/>
                      <m:ctrlPr>
                        <w:rPr>
                          <w:rFonts w:ascii="Cambria Math" w:eastAsia="宋体" w:hAnsi="Cambria Math" w:cstheme="minorBidi"/>
                          <w:i/>
                          <w:kern w:val="2"/>
                          <w:sz w:val="16"/>
                          <w:szCs w:val="16"/>
                          <w:lang w:eastAsia="en-US"/>
                          <w14:ligatures w14:val="standardContextual"/>
                        </w:rPr>
                      </m:ctrlPr>
                    </m:accPr>
                    <m:e>
                      <m:r>
                        <w:rPr>
                          <w:rFonts w:ascii="Cambria Math" w:hAnsi="Cambria Math"/>
                          <w:sz w:val="16"/>
                          <w:szCs w:val="16"/>
                        </w:rPr>
                        <m:t>d</m:t>
                      </m:r>
                    </m:e>
                  </m:acc>
                </m:e>
                <m:sub>
                  <m:r>
                    <w:rPr>
                      <w:rFonts w:ascii="Cambria Math" w:hAnsi="Cambria Math"/>
                      <w:sz w:val="16"/>
                      <w:szCs w:val="16"/>
                    </w:rPr>
                    <m:t>GT</m:t>
                  </m:r>
                </m:sub>
              </m:sSub>
              <m:r>
                <w:rPr>
                  <w:rFonts w:ascii="Cambria Math" w:hAnsi="Cambria Math"/>
                  <w:sz w:val="16"/>
                  <w:szCs w:val="16"/>
                </w:rPr>
                <m:t>|</m:t>
              </m:r>
            </m:num>
            <m:den>
              <m:sSub>
                <m:sSubPr>
                  <m:ctrlPr>
                    <w:rPr>
                      <w:rFonts w:ascii="Cambria Math" w:hAnsi="Cambria Math"/>
                      <w:i/>
                      <w:sz w:val="16"/>
                      <w:szCs w:val="16"/>
                    </w:rPr>
                  </m:ctrlPr>
                </m:sSubPr>
                <m:e>
                  <m:acc>
                    <m:accPr>
                      <m:chr m:val="̅"/>
                      <m:ctrlPr>
                        <w:rPr>
                          <w:rFonts w:ascii="Cambria Math" w:eastAsia="宋体" w:hAnsi="Cambria Math" w:cstheme="minorBidi"/>
                          <w:i/>
                          <w:kern w:val="2"/>
                          <w:sz w:val="16"/>
                          <w:szCs w:val="16"/>
                          <w:lang w:eastAsia="en-US"/>
                          <w14:ligatures w14:val="standardContextual"/>
                        </w:rPr>
                      </m:ctrlPr>
                    </m:accPr>
                    <m:e>
                      <m:r>
                        <w:rPr>
                          <w:rFonts w:ascii="Cambria Math" w:hAnsi="Cambria Math"/>
                          <w:sz w:val="16"/>
                          <w:szCs w:val="16"/>
                        </w:rPr>
                        <m:t>d</m:t>
                      </m:r>
                    </m:e>
                  </m:acc>
                </m:e>
                <m:sub>
                  <m:r>
                    <w:rPr>
                      <w:rFonts w:ascii="Cambria Math" w:hAnsi="Cambria Math"/>
                      <w:sz w:val="16"/>
                      <w:szCs w:val="16"/>
                    </w:rPr>
                    <m:t>GT</m:t>
                  </m:r>
                </m:sub>
              </m:sSub>
            </m:den>
          </m:f>
        </m:oMath>
      </m:oMathPara>
    </w:p>
    <w:p w14:paraId="4A585FA2" w14:textId="1026708E" w:rsidR="007E5574" w:rsidRPr="007E5574" w:rsidRDefault="007E5574" w:rsidP="007E5574">
      <w:pPr>
        <w:jc w:val="both"/>
        <w:rPr>
          <w:b/>
          <w:bCs/>
          <w:sz w:val="16"/>
          <w:szCs w:val="16"/>
        </w:rPr>
      </w:pPr>
      <w:r>
        <w:rPr>
          <w:b/>
          <w:bCs/>
          <w:sz w:val="16"/>
          <w:szCs w:val="16"/>
        </w:rPr>
        <w:t>Coefficient of Variation (CV) Accuracy:</w:t>
      </w:r>
    </w:p>
    <w:p w14:paraId="3991CCAA" w14:textId="23ABEDF7" w:rsidR="007E5574" w:rsidRPr="007E5574" w:rsidRDefault="007E5574" w:rsidP="007E5574">
      <w:pPr>
        <w:jc w:val="both"/>
        <w:rPr>
          <w:sz w:val="16"/>
          <w:szCs w:val="16"/>
        </w:rPr>
      </w:pPr>
      <m:oMathPara>
        <m:oMath>
          <m:r>
            <w:rPr>
              <w:rFonts w:ascii="Cambria Math" w:hAnsi="Cambria Math"/>
              <w:sz w:val="16"/>
              <w:szCs w:val="16"/>
            </w:rPr>
            <m:t>AP</m:t>
          </m:r>
          <m:sSub>
            <m:sSubPr>
              <m:ctrlPr>
                <w:rPr>
                  <w:rFonts w:ascii="Cambria Math" w:hAnsi="Cambria Math"/>
                  <w:i/>
                  <w:sz w:val="16"/>
                  <w:szCs w:val="16"/>
                </w:rPr>
              </m:ctrlPr>
            </m:sSubPr>
            <m:e>
              <m:r>
                <w:rPr>
                  <w:rFonts w:ascii="Cambria Math" w:hAnsi="Cambria Math"/>
                  <w:sz w:val="16"/>
                  <w:szCs w:val="16"/>
                </w:rPr>
                <m:t>E</m:t>
              </m:r>
            </m:e>
            <m:sub>
              <m:r>
                <w:rPr>
                  <w:rFonts w:ascii="Cambria Math" w:hAnsi="Cambria Math"/>
                  <w:sz w:val="16"/>
                  <w:szCs w:val="16"/>
                </w:rPr>
                <m:t>CV</m:t>
              </m:r>
            </m:sub>
          </m:sSub>
          <m:r>
            <w:rPr>
              <w:rFonts w:ascii="Cambria Math" w:hAnsi="Cambria Math"/>
              <w:sz w:val="16"/>
              <w:szCs w:val="16"/>
            </w:rPr>
            <m:t>=</m:t>
          </m:r>
          <m:f>
            <m:fPr>
              <m:ctrlPr>
                <w:rPr>
                  <w:rFonts w:ascii="Cambria Math" w:eastAsia="宋体" w:hAnsi="Cambria Math" w:cstheme="minorBidi"/>
                  <w:i/>
                  <w:kern w:val="2"/>
                  <w:sz w:val="16"/>
                  <w:szCs w:val="16"/>
                  <w:lang w:eastAsia="en-US"/>
                  <w14:ligatures w14:val="standardContextual"/>
                </w:rPr>
              </m:ctrlPr>
            </m:fPr>
            <m:num>
              <m:r>
                <w:rPr>
                  <w:rFonts w:ascii="Cambria Math" w:hAnsi="Cambria Math"/>
                  <w:sz w:val="16"/>
                  <w:szCs w:val="16"/>
                </w:rPr>
                <m:t>|C</m:t>
              </m:r>
              <m:sSub>
                <m:sSubPr>
                  <m:ctrlPr>
                    <w:rPr>
                      <w:rFonts w:ascii="Cambria Math" w:hAnsi="Cambria Math"/>
                      <w:i/>
                      <w:sz w:val="16"/>
                      <w:szCs w:val="16"/>
                    </w:rPr>
                  </m:ctrlPr>
                </m:sSubPr>
                <m:e>
                  <m:r>
                    <w:rPr>
                      <w:rFonts w:ascii="Cambria Math" w:hAnsi="Cambria Math"/>
                      <w:sz w:val="16"/>
                      <w:szCs w:val="16"/>
                    </w:rPr>
                    <m:t>V</m:t>
                  </m:r>
                </m:e>
                <m:sub>
                  <m:r>
                    <w:rPr>
                      <w:rFonts w:ascii="Cambria Math" w:hAnsi="Cambria Math"/>
                      <w:sz w:val="16"/>
                      <w:szCs w:val="16"/>
                    </w:rPr>
                    <m:t>method</m:t>
                  </m:r>
                </m:sub>
              </m:sSub>
              <m:r>
                <w:rPr>
                  <w:rFonts w:ascii="Cambria Math" w:hAnsi="Cambria Math"/>
                  <w:sz w:val="16"/>
                  <w:szCs w:val="16"/>
                </w:rPr>
                <m:t>-C</m:t>
              </m:r>
              <m:sSub>
                <m:sSubPr>
                  <m:ctrlPr>
                    <w:rPr>
                      <w:rFonts w:ascii="Cambria Math" w:hAnsi="Cambria Math"/>
                      <w:i/>
                      <w:sz w:val="16"/>
                      <w:szCs w:val="16"/>
                    </w:rPr>
                  </m:ctrlPr>
                </m:sSubPr>
                <m:e>
                  <m:r>
                    <w:rPr>
                      <w:rFonts w:ascii="Cambria Math" w:hAnsi="Cambria Math"/>
                      <w:sz w:val="16"/>
                      <w:szCs w:val="16"/>
                    </w:rPr>
                    <m:t>V</m:t>
                  </m:r>
                </m:e>
                <m:sub>
                  <m:r>
                    <w:rPr>
                      <w:rFonts w:ascii="Cambria Math" w:hAnsi="Cambria Math"/>
                      <w:sz w:val="16"/>
                      <w:szCs w:val="16"/>
                    </w:rPr>
                    <m:t>GT</m:t>
                  </m:r>
                </m:sub>
              </m:sSub>
              <m:r>
                <w:rPr>
                  <w:rFonts w:ascii="Cambria Math" w:hAnsi="Cambria Math"/>
                  <w:sz w:val="16"/>
                  <w:szCs w:val="16"/>
                </w:rPr>
                <m:t>|</m:t>
              </m:r>
            </m:num>
            <m:den>
              <m:r>
                <w:rPr>
                  <w:rFonts w:ascii="Cambria Math" w:hAnsi="Cambria Math"/>
                  <w:sz w:val="16"/>
                  <w:szCs w:val="16"/>
                </w:rPr>
                <m:t>C</m:t>
              </m:r>
              <m:sSub>
                <m:sSubPr>
                  <m:ctrlPr>
                    <w:rPr>
                      <w:rFonts w:ascii="Cambria Math" w:hAnsi="Cambria Math"/>
                      <w:i/>
                      <w:sz w:val="16"/>
                      <w:szCs w:val="16"/>
                    </w:rPr>
                  </m:ctrlPr>
                </m:sSubPr>
                <m:e>
                  <m:r>
                    <w:rPr>
                      <w:rFonts w:ascii="Cambria Math" w:hAnsi="Cambria Math"/>
                      <w:sz w:val="16"/>
                      <w:szCs w:val="16"/>
                    </w:rPr>
                    <m:t>V</m:t>
                  </m:r>
                </m:e>
                <m:sub>
                  <m:r>
                    <w:rPr>
                      <w:rFonts w:ascii="Cambria Math" w:hAnsi="Cambria Math"/>
                      <w:sz w:val="16"/>
                      <w:szCs w:val="16"/>
                    </w:rPr>
                    <m:t>GT</m:t>
                  </m:r>
                </m:sub>
              </m:sSub>
            </m:den>
          </m:f>
        </m:oMath>
      </m:oMathPara>
    </w:p>
    <w:p w14:paraId="093B77E1" w14:textId="77777777" w:rsidR="007E5574" w:rsidRDefault="007E5574" w:rsidP="007E5574">
      <w:pPr>
        <w:jc w:val="both"/>
        <w:rPr>
          <w:b/>
          <w:bCs/>
          <w:sz w:val="16"/>
          <w:szCs w:val="16"/>
        </w:rPr>
      </w:pPr>
    </w:p>
    <w:p w14:paraId="73700256" w14:textId="5327909F" w:rsidR="003657FE" w:rsidRDefault="003657FE" w:rsidP="003657FE">
      <w:pPr>
        <w:jc w:val="both"/>
      </w:pPr>
      <w:r w:rsidRPr="007E5574">
        <w:lastRenderedPageBreak/>
        <w:t>S</w:t>
      </w:r>
      <w:r>
        <w:t>4</w:t>
      </w:r>
      <w:r w:rsidRPr="007E5574">
        <w:t xml:space="preserve">. </w:t>
      </w:r>
      <w:r>
        <w:t>Manual Benchmark Image Estimates</w:t>
      </w:r>
    </w:p>
    <w:p w14:paraId="6A631CF4" w14:textId="6E2AEC2D" w:rsidR="003657FE" w:rsidRPr="007E5574" w:rsidRDefault="003657FE" w:rsidP="00024CFD">
      <w:pPr>
        <w:jc w:val="both"/>
        <w:rPr>
          <w:sz w:val="16"/>
          <w:szCs w:val="16"/>
        </w:rPr>
      </w:pPr>
    </w:p>
    <w:p w14:paraId="7180CFE2" w14:textId="77777777" w:rsidR="007E5574" w:rsidRDefault="007E5574" w:rsidP="00024CFD">
      <w:pPr>
        <w:jc w:val="both"/>
        <w:rPr>
          <w:sz w:val="16"/>
          <w:szCs w:val="16"/>
        </w:rPr>
      </w:pPr>
    </w:p>
    <w:p w14:paraId="231B08DA" w14:textId="7CFB98C6" w:rsidR="003657FE" w:rsidRDefault="003657FE" w:rsidP="00024CFD">
      <w:pPr>
        <w:jc w:val="both"/>
        <w:rPr>
          <w:sz w:val="16"/>
          <w:szCs w:val="16"/>
        </w:rPr>
      </w:pPr>
      <w:r w:rsidRPr="003657FE">
        <w:rPr>
          <w:sz w:val="16"/>
          <w:szCs w:val="16"/>
        </w:rPr>
        <w:t>For the expert manual benchmark, instead of providing a full annotation of each image, we replicated common industry practices for measuring or estimating key population-based metrics. An experienced lab technician firstly produced a total manual count of the particles in each image. Then to derive statistics typically used in routine quality control, the technician randomly selected and manually measured the diameter of 20 distinct particles. This random sample was used to calculate estimates for the population mean diameter and coefficient of variation the given by the formulas</w:t>
      </w:r>
    </w:p>
    <w:p w14:paraId="4D15A69B" w14:textId="77777777" w:rsidR="003657FE" w:rsidRDefault="003657FE" w:rsidP="00024CFD">
      <w:pPr>
        <w:jc w:val="both"/>
        <w:rPr>
          <w:sz w:val="16"/>
          <w:szCs w:val="16"/>
        </w:rPr>
      </w:pPr>
    </w:p>
    <w:p w14:paraId="152ADD24" w14:textId="17A56971" w:rsidR="003657FE" w:rsidRDefault="00000000" w:rsidP="00024CFD">
      <w:pPr>
        <w:jc w:val="both"/>
        <w:rPr>
          <w:sz w:val="16"/>
          <w:szCs w:val="16"/>
        </w:rPr>
      </w:pPr>
      <m:oMathPara>
        <m:oMath>
          <m:acc>
            <m:accPr>
              <m:chr m:val="̅"/>
              <m:ctrlPr>
                <w:rPr>
                  <w:rFonts w:ascii="Cambria Math" w:eastAsia="宋体" w:hAnsi="Cambria Math" w:cstheme="minorBidi"/>
                  <w:i/>
                  <w:kern w:val="2"/>
                  <w:sz w:val="16"/>
                  <w:szCs w:val="16"/>
                  <w:lang w:eastAsia="en-US"/>
                  <w14:ligatures w14:val="standardContextual"/>
                </w:rPr>
              </m:ctrlPr>
            </m:accPr>
            <m:e>
              <m:r>
                <w:rPr>
                  <w:rFonts w:ascii="Cambria Math" w:hAnsi="Cambria Math"/>
                  <w:sz w:val="16"/>
                  <w:szCs w:val="16"/>
                </w:rPr>
                <m:t>d</m:t>
              </m:r>
            </m:e>
          </m:acc>
          <m:r>
            <w:rPr>
              <w:rFonts w:ascii="Cambria Math" w:hAnsi="Cambria Math"/>
              <w:sz w:val="16"/>
              <w:szCs w:val="16"/>
            </w:rPr>
            <m:t>=</m:t>
          </m:r>
          <m:nary>
            <m:naryPr>
              <m:chr m:val="∑"/>
              <m:limLoc m:val="undOvr"/>
              <m:ctrlPr>
                <w:rPr>
                  <w:rFonts w:ascii="Cambria Math" w:eastAsia="宋体" w:hAnsi="Cambria Math" w:cstheme="minorBidi"/>
                  <w:i/>
                  <w:kern w:val="2"/>
                  <w:sz w:val="16"/>
                  <w:szCs w:val="16"/>
                  <w:lang w:eastAsia="en-US"/>
                  <w14:ligatures w14:val="standardContextual"/>
                </w:rPr>
              </m:ctrlPr>
            </m:naryPr>
            <m:sub>
              <m:r>
                <w:rPr>
                  <w:rFonts w:ascii="Cambria Math" w:hAnsi="Cambria Math"/>
                  <w:sz w:val="16"/>
                  <w:szCs w:val="16"/>
                </w:rPr>
                <m:t>i=1</m:t>
              </m:r>
            </m:sub>
            <m:sup>
              <m:r>
                <w:rPr>
                  <w:rFonts w:ascii="Cambria Math" w:hAnsi="Cambria Math"/>
                  <w:sz w:val="16"/>
                  <w:szCs w:val="16"/>
                </w:rPr>
                <m:t>20</m:t>
              </m:r>
            </m:sup>
            <m:e>
              <m:sSub>
                <m:sSubPr>
                  <m:ctrlPr>
                    <w:rPr>
                      <w:rFonts w:ascii="Cambria Math" w:hAnsi="Cambria Math"/>
                      <w:i/>
                      <w:sz w:val="16"/>
                      <w:szCs w:val="16"/>
                    </w:rPr>
                  </m:ctrlPr>
                </m:sSubPr>
                <m:e>
                  <m:r>
                    <w:rPr>
                      <w:rFonts w:ascii="Cambria Math" w:hAnsi="Cambria Math"/>
                      <w:sz w:val="16"/>
                      <w:szCs w:val="16"/>
                    </w:rPr>
                    <m:t>d</m:t>
                  </m:r>
                </m:e>
                <m:sub>
                  <m:r>
                    <w:rPr>
                      <w:rFonts w:ascii="Cambria Math" w:hAnsi="Cambria Math"/>
                      <w:sz w:val="16"/>
                      <w:szCs w:val="16"/>
                    </w:rPr>
                    <m:t>i</m:t>
                  </m:r>
                </m:sub>
              </m:sSub>
            </m:e>
          </m:nary>
        </m:oMath>
      </m:oMathPara>
    </w:p>
    <w:p w14:paraId="2DD59BED" w14:textId="2E45ABC7" w:rsidR="003657FE" w:rsidRDefault="003657FE" w:rsidP="00024CFD">
      <w:pPr>
        <w:jc w:val="both"/>
        <w:rPr>
          <w:sz w:val="16"/>
          <w:szCs w:val="16"/>
        </w:rPr>
      </w:pPr>
      <w:r>
        <w:rPr>
          <w:sz w:val="16"/>
          <w:szCs w:val="16"/>
        </w:rPr>
        <w:t>and</w:t>
      </w:r>
    </w:p>
    <w:p w14:paraId="44BED459" w14:textId="2FB967C3" w:rsidR="003657FE" w:rsidRDefault="00000000" w:rsidP="00024CFD">
      <w:pPr>
        <w:jc w:val="both"/>
        <w:rPr>
          <w:sz w:val="16"/>
          <w:szCs w:val="16"/>
        </w:rPr>
      </w:pPr>
      <m:oMathPara>
        <m:oMath>
          <m:acc>
            <m:accPr>
              <m:chr m:val="̌"/>
              <m:ctrlPr>
                <w:rPr>
                  <w:rFonts w:ascii="Cambria Math" w:eastAsia="宋体" w:hAnsi="Cambria Math" w:cstheme="minorBidi"/>
                  <w:i/>
                  <w:kern w:val="2"/>
                  <w:sz w:val="16"/>
                  <w:szCs w:val="16"/>
                  <w:lang w:eastAsia="en-US"/>
                  <w14:ligatures w14:val="standardContextual"/>
                </w:rPr>
              </m:ctrlPr>
            </m:accPr>
            <m:e>
              <m:r>
                <w:rPr>
                  <w:rFonts w:ascii="Cambria Math" w:hAnsi="Cambria Math"/>
                  <w:sz w:val="16"/>
                  <w:szCs w:val="16"/>
                </w:rPr>
                <m:t>CV</m:t>
              </m:r>
            </m:e>
          </m:acc>
          <m:r>
            <w:rPr>
              <w:rFonts w:ascii="Cambria Math" w:hAnsi="Cambria Math"/>
              <w:sz w:val="16"/>
              <w:szCs w:val="16"/>
            </w:rPr>
            <m:t>=</m:t>
          </m:r>
          <m:f>
            <m:fPr>
              <m:ctrlPr>
                <w:rPr>
                  <w:rFonts w:ascii="Cambria Math" w:hAnsi="Cambria Math"/>
                  <w:i/>
                  <w:sz w:val="16"/>
                  <w:szCs w:val="16"/>
                </w:rPr>
              </m:ctrlPr>
            </m:fPr>
            <m:num>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d</m:t>
                  </m:r>
                </m:sub>
              </m:sSub>
            </m:num>
            <m:den>
              <m:acc>
                <m:accPr>
                  <m:chr m:val="̅"/>
                  <m:ctrlPr>
                    <w:rPr>
                      <w:rFonts w:ascii="Cambria Math" w:eastAsia="宋体" w:hAnsi="Cambria Math" w:cstheme="minorBidi"/>
                      <w:i/>
                      <w:kern w:val="2"/>
                      <w:sz w:val="16"/>
                      <w:szCs w:val="16"/>
                      <w:lang w:eastAsia="en-US"/>
                      <w14:ligatures w14:val="standardContextual"/>
                    </w:rPr>
                  </m:ctrlPr>
                </m:accPr>
                <m:e>
                  <m:r>
                    <w:rPr>
                      <w:rFonts w:ascii="Cambria Math" w:hAnsi="Cambria Math"/>
                      <w:sz w:val="16"/>
                      <w:szCs w:val="16"/>
                    </w:rPr>
                    <m:t>d</m:t>
                  </m:r>
                </m:e>
              </m:acc>
            </m:den>
          </m:f>
        </m:oMath>
      </m:oMathPara>
    </w:p>
    <w:p w14:paraId="5DEA1AD9" w14:textId="4DFCDA97" w:rsidR="003657FE" w:rsidRDefault="003657FE" w:rsidP="00024CFD">
      <w:pPr>
        <w:jc w:val="both"/>
        <w:rPr>
          <w:sz w:val="16"/>
          <w:szCs w:val="16"/>
        </w:rPr>
      </w:pPr>
      <w:r>
        <w:rPr>
          <w:sz w:val="16"/>
          <w:szCs w:val="16"/>
        </w:rPr>
        <w:t>where</w:t>
      </w:r>
    </w:p>
    <w:p w14:paraId="639BF2F8" w14:textId="6CD28057" w:rsidR="003657FE" w:rsidRDefault="00000000" w:rsidP="00024CFD">
      <w:pPr>
        <w:jc w:val="both"/>
        <w:rPr>
          <w:sz w:val="16"/>
          <w:szCs w:val="16"/>
        </w:rPr>
      </w:pPr>
      <m:oMathPara>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d</m:t>
              </m:r>
            </m:sub>
          </m:sSub>
          <m:r>
            <w:rPr>
              <w:rFonts w:ascii="Cambria Math" w:hAnsi="Cambria Math"/>
              <w:sz w:val="16"/>
              <w:szCs w:val="16"/>
            </w:rPr>
            <m:t>=</m:t>
          </m:r>
          <m:rad>
            <m:radPr>
              <m:degHide m:val="1"/>
              <m:ctrlPr>
                <w:rPr>
                  <w:rFonts w:ascii="Cambria Math" w:eastAsia="宋体" w:hAnsi="Cambria Math" w:cstheme="minorBidi"/>
                  <w:i/>
                  <w:kern w:val="2"/>
                  <w:sz w:val="16"/>
                  <w:szCs w:val="16"/>
                  <w:lang w:eastAsia="en-US"/>
                  <w14:ligatures w14:val="standardContextual"/>
                </w:rPr>
              </m:ctrlPr>
            </m:radPr>
            <m:deg/>
            <m:e>
              <m:f>
                <m:fPr>
                  <m:ctrlPr>
                    <w:rPr>
                      <w:rFonts w:ascii="Cambria Math" w:eastAsia="宋体" w:hAnsi="Cambria Math" w:cstheme="minorBidi"/>
                      <w:i/>
                      <w:kern w:val="2"/>
                      <w:sz w:val="16"/>
                      <w:szCs w:val="16"/>
                      <w:lang w:eastAsia="en-US"/>
                      <w14:ligatures w14:val="standardContextual"/>
                    </w:rPr>
                  </m:ctrlPr>
                </m:fPr>
                <m:num>
                  <m:r>
                    <w:rPr>
                      <w:rFonts w:ascii="Cambria Math" w:hAnsi="Cambria Math"/>
                      <w:sz w:val="16"/>
                      <w:szCs w:val="16"/>
                    </w:rPr>
                    <m:t>1</m:t>
                  </m:r>
                </m:num>
                <m:den>
                  <m:r>
                    <w:rPr>
                      <w:rFonts w:ascii="Cambria Math" w:hAnsi="Cambria Math"/>
                      <w:sz w:val="16"/>
                      <w:szCs w:val="16"/>
                    </w:rPr>
                    <m:t>20-1</m:t>
                  </m:r>
                </m:den>
              </m:f>
              <m:nary>
                <m:naryPr>
                  <m:chr m:val="∑"/>
                  <m:limLoc m:val="undOvr"/>
                  <m:ctrlPr>
                    <w:rPr>
                      <w:rFonts w:ascii="Cambria Math" w:eastAsia="宋体" w:hAnsi="Cambria Math" w:cstheme="minorBidi"/>
                      <w:i/>
                      <w:kern w:val="2"/>
                      <w:sz w:val="16"/>
                      <w:szCs w:val="16"/>
                      <w:lang w:eastAsia="en-US"/>
                      <w14:ligatures w14:val="standardContextual"/>
                    </w:rPr>
                  </m:ctrlPr>
                </m:naryPr>
                <m:sub>
                  <m:r>
                    <w:rPr>
                      <w:rFonts w:ascii="Cambria Math" w:hAnsi="Cambria Math"/>
                      <w:sz w:val="16"/>
                      <w:szCs w:val="16"/>
                    </w:rPr>
                    <m:t>i=1</m:t>
                  </m:r>
                </m:sub>
                <m:sup>
                  <m:r>
                    <w:rPr>
                      <w:rFonts w:ascii="Cambria Math" w:hAnsi="Cambria Math"/>
                      <w:sz w:val="16"/>
                      <w:szCs w:val="16"/>
                    </w:rPr>
                    <m:t>20</m:t>
                  </m:r>
                </m:sup>
                <m:e>
                  <m:sSup>
                    <m:sSupPr>
                      <m:ctrlPr>
                        <w:rPr>
                          <w:rFonts w:ascii="Cambria Math" w:hAnsi="Cambria Math"/>
                          <w:i/>
                          <w:sz w:val="16"/>
                          <w:szCs w:val="16"/>
                        </w:rPr>
                      </m:ctrlPr>
                    </m:sSupPr>
                    <m:e>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d</m:t>
                              </m:r>
                            </m:e>
                            <m:sub>
                              <m:r>
                                <w:rPr>
                                  <w:rFonts w:ascii="Cambria Math" w:hAnsi="Cambria Math"/>
                                  <w:sz w:val="16"/>
                                  <w:szCs w:val="16"/>
                                </w:rPr>
                                <m:t>i</m:t>
                              </m:r>
                            </m:sub>
                          </m:sSub>
                          <m:r>
                            <w:rPr>
                              <w:rFonts w:ascii="Cambria Math" w:hAnsi="Cambria Math"/>
                              <w:sz w:val="16"/>
                              <w:szCs w:val="16"/>
                            </w:rPr>
                            <m:t>-</m:t>
                          </m:r>
                          <m:acc>
                            <m:accPr>
                              <m:chr m:val="̅"/>
                              <m:ctrlPr>
                                <w:rPr>
                                  <w:rFonts w:ascii="Cambria Math" w:eastAsia="宋体" w:hAnsi="Cambria Math" w:cstheme="minorBidi"/>
                                  <w:i/>
                                  <w:kern w:val="2"/>
                                  <w:sz w:val="16"/>
                                  <w:szCs w:val="16"/>
                                  <w:lang w:eastAsia="en-US"/>
                                  <w14:ligatures w14:val="standardContextual"/>
                                </w:rPr>
                              </m:ctrlPr>
                            </m:accPr>
                            <m:e>
                              <m:r>
                                <w:rPr>
                                  <w:rFonts w:ascii="Cambria Math" w:hAnsi="Cambria Math"/>
                                  <w:sz w:val="16"/>
                                  <w:szCs w:val="16"/>
                                </w:rPr>
                                <m:t>d</m:t>
                              </m:r>
                            </m:e>
                          </m:acc>
                        </m:e>
                      </m:d>
                    </m:e>
                    <m:sup>
                      <m:r>
                        <w:rPr>
                          <w:rFonts w:ascii="Cambria Math" w:hAnsi="Cambria Math"/>
                          <w:sz w:val="16"/>
                          <w:szCs w:val="16"/>
                        </w:rPr>
                        <m:t>2</m:t>
                      </m:r>
                    </m:sup>
                  </m:sSup>
                </m:e>
              </m:nary>
            </m:e>
          </m:rad>
        </m:oMath>
      </m:oMathPara>
    </w:p>
    <w:p w14:paraId="4B5A8F80" w14:textId="77777777" w:rsidR="008B5260" w:rsidRDefault="008B5260" w:rsidP="00024CFD">
      <w:pPr>
        <w:jc w:val="both"/>
        <w:rPr>
          <w:sz w:val="16"/>
          <w:szCs w:val="16"/>
        </w:rPr>
      </w:pPr>
    </w:p>
    <w:p w14:paraId="76E12308" w14:textId="77777777" w:rsidR="00287625" w:rsidRDefault="00287625" w:rsidP="00024CFD">
      <w:pPr>
        <w:jc w:val="both"/>
        <w:rPr>
          <w:sz w:val="32"/>
          <w:szCs w:val="32"/>
        </w:rPr>
      </w:pPr>
    </w:p>
    <w:p w14:paraId="1AE84511" w14:textId="7240F4D3" w:rsidR="00287625" w:rsidRPr="00287625" w:rsidRDefault="00287625" w:rsidP="00287625">
      <w:pPr>
        <w:pStyle w:val="ListParagraph"/>
        <w:numPr>
          <w:ilvl w:val="0"/>
          <w:numId w:val="4"/>
        </w:numPr>
        <w:jc w:val="both"/>
        <w:rPr>
          <w:sz w:val="32"/>
          <w:szCs w:val="32"/>
        </w:rPr>
      </w:pPr>
      <w:r>
        <w:rPr>
          <w:sz w:val="32"/>
          <w:szCs w:val="32"/>
        </w:rPr>
        <w:t>Image Classes</w:t>
      </w:r>
    </w:p>
    <w:p w14:paraId="4AAE470B" w14:textId="564270E3" w:rsidR="00287625" w:rsidRDefault="00287625" w:rsidP="00024CFD">
      <w:pPr>
        <w:jc w:val="both"/>
        <w:rPr>
          <w:sz w:val="16"/>
          <w:szCs w:val="16"/>
        </w:rPr>
      </w:pPr>
      <w:r w:rsidRPr="00287625">
        <w:rPr>
          <w:sz w:val="16"/>
          <w:szCs w:val="16"/>
        </w:rPr>
        <w:t>A total of 6 image classes each with 5 images, were used to benchmark the model’s effectiveness using a broad range of images. Classes A-C are of microcarriers, and classes D-F are of cells. These classes differ in colour shape of particles as well as the amount of background noise in the image to benchmark the generalisability of the model.</w:t>
      </w:r>
    </w:p>
    <w:p w14:paraId="768A4807" w14:textId="77777777" w:rsidR="00287625" w:rsidRDefault="00287625" w:rsidP="00024CFD">
      <w:pPr>
        <w:jc w:val="both"/>
        <w:rPr>
          <w:sz w:val="16"/>
          <w:szCs w:val="16"/>
        </w:rPr>
      </w:pPr>
    </w:p>
    <w:p w14:paraId="04D0731E" w14:textId="77777777" w:rsidR="00287625" w:rsidRDefault="00287625" w:rsidP="00024CFD">
      <w:pPr>
        <w:jc w:val="both"/>
        <w:rPr>
          <w:sz w:val="16"/>
          <w:szCs w:val="16"/>
        </w:rPr>
      </w:pPr>
    </w:p>
    <w:tbl>
      <w:tblPr>
        <w:tblStyle w:val="TableGrid"/>
        <w:tblW w:w="0" w:type="auto"/>
        <w:tblLook w:val="04A0" w:firstRow="1" w:lastRow="0" w:firstColumn="1" w:lastColumn="0" w:noHBand="0" w:noVBand="1"/>
      </w:tblPr>
      <w:tblGrid>
        <w:gridCol w:w="581"/>
        <w:gridCol w:w="4033"/>
        <w:gridCol w:w="4396"/>
      </w:tblGrid>
      <w:tr w:rsidR="00287625" w14:paraId="2F0E8348" w14:textId="77777777" w:rsidTr="00287625">
        <w:tc>
          <w:tcPr>
            <w:tcW w:w="562" w:type="dxa"/>
          </w:tcPr>
          <w:p w14:paraId="26C36127" w14:textId="2D625201" w:rsidR="00287625" w:rsidRPr="00287625" w:rsidRDefault="00287625" w:rsidP="00287625">
            <w:pPr>
              <w:jc w:val="center"/>
              <w:rPr>
                <w:b/>
                <w:bCs/>
                <w:sz w:val="16"/>
                <w:szCs w:val="16"/>
              </w:rPr>
            </w:pPr>
            <w:r>
              <w:rPr>
                <w:b/>
                <w:bCs/>
                <w:sz w:val="16"/>
                <w:szCs w:val="16"/>
              </w:rPr>
              <w:t>Class</w:t>
            </w:r>
          </w:p>
        </w:tc>
        <w:tc>
          <w:tcPr>
            <w:tcW w:w="4372" w:type="dxa"/>
          </w:tcPr>
          <w:p w14:paraId="3072DEAD" w14:textId="6E90208A" w:rsidR="00287625" w:rsidRPr="00287625" w:rsidRDefault="00287625" w:rsidP="00287625">
            <w:pPr>
              <w:jc w:val="center"/>
              <w:rPr>
                <w:b/>
                <w:bCs/>
                <w:sz w:val="16"/>
                <w:szCs w:val="16"/>
              </w:rPr>
            </w:pPr>
            <w:r>
              <w:rPr>
                <w:b/>
                <w:bCs/>
                <w:sz w:val="16"/>
                <w:szCs w:val="16"/>
              </w:rPr>
              <w:t>Descriptors</w:t>
            </w:r>
          </w:p>
        </w:tc>
        <w:tc>
          <w:tcPr>
            <w:tcW w:w="4076" w:type="dxa"/>
          </w:tcPr>
          <w:p w14:paraId="41D54D97" w14:textId="7757E432" w:rsidR="00287625" w:rsidRPr="00287625" w:rsidRDefault="00287625" w:rsidP="00287625">
            <w:pPr>
              <w:jc w:val="center"/>
              <w:rPr>
                <w:b/>
                <w:bCs/>
                <w:sz w:val="16"/>
                <w:szCs w:val="16"/>
              </w:rPr>
            </w:pPr>
            <w:r>
              <w:rPr>
                <w:b/>
                <w:bCs/>
                <w:sz w:val="16"/>
                <w:szCs w:val="16"/>
              </w:rPr>
              <w:t>Example Image</w:t>
            </w:r>
          </w:p>
        </w:tc>
      </w:tr>
      <w:tr w:rsidR="00287625" w14:paraId="3D9C5DC5" w14:textId="77777777" w:rsidTr="00287625">
        <w:tc>
          <w:tcPr>
            <w:tcW w:w="562" w:type="dxa"/>
          </w:tcPr>
          <w:p w14:paraId="5ACF2A6F" w14:textId="01DA3D64" w:rsidR="00287625" w:rsidRPr="00287625" w:rsidRDefault="00287625" w:rsidP="00287625">
            <w:pPr>
              <w:jc w:val="center"/>
              <w:rPr>
                <w:b/>
                <w:bCs/>
                <w:sz w:val="16"/>
                <w:szCs w:val="16"/>
              </w:rPr>
            </w:pPr>
            <w:r>
              <w:rPr>
                <w:b/>
                <w:bCs/>
                <w:sz w:val="16"/>
                <w:szCs w:val="16"/>
              </w:rPr>
              <w:t>A</w:t>
            </w:r>
          </w:p>
        </w:tc>
        <w:tc>
          <w:tcPr>
            <w:tcW w:w="4372" w:type="dxa"/>
          </w:tcPr>
          <w:p w14:paraId="3C637957" w14:textId="77777777" w:rsidR="00287625" w:rsidRPr="00287625" w:rsidRDefault="00287625" w:rsidP="00287625">
            <w:pPr>
              <w:jc w:val="center"/>
              <w:rPr>
                <w:sz w:val="16"/>
                <w:szCs w:val="16"/>
              </w:rPr>
            </w:pPr>
            <w:r w:rsidRPr="00287625">
              <w:rPr>
                <w:sz w:val="16"/>
                <w:szCs w:val="16"/>
              </w:rPr>
              <w:t>Morphology: Highly circular/spherical</w:t>
            </w:r>
          </w:p>
          <w:p w14:paraId="4F32D872" w14:textId="77777777" w:rsidR="00287625" w:rsidRPr="00287625" w:rsidRDefault="00287625" w:rsidP="00287625">
            <w:pPr>
              <w:jc w:val="center"/>
              <w:rPr>
                <w:sz w:val="16"/>
                <w:szCs w:val="16"/>
              </w:rPr>
            </w:pPr>
            <w:r w:rsidRPr="00287625">
              <w:rPr>
                <w:sz w:val="16"/>
                <w:szCs w:val="16"/>
              </w:rPr>
              <w:t>Size Variation: Low</w:t>
            </w:r>
          </w:p>
          <w:p w14:paraId="6CA65F15" w14:textId="77777777" w:rsidR="00287625" w:rsidRPr="00287625" w:rsidRDefault="00287625" w:rsidP="00287625">
            <w:pPr>
              <w:jc w:val="center"/>
              <w:rPr>
                <w:sz w:val="16"/>
                <w:szCs w:val="16"/>
              </w:rPr>
            </w:pPr>
            <w:r w:rsidRPr="00287625">
              <w:rPr>
                <w:sz w:val="16"/>
                <w:szCs w:val="16"/>
              </w:rPr>
              <w:t>Spatial Distribution: High particle clustering and significant overlap (occlusion)</w:t>
            </w:r>
          </w:p>
          <w:p w14:paraId="459AA862" w14:textId="77777777" w:rsidR="00287625" w:rsidRPr="00287625" w:rsidRDefault="00287625" w:rsidP="00287625">
            <w:pPr>
              <w:jc w:val="center"/>
              <w:rPr>
                <w:sz w:val="16"/>
                <w:szCs w:val="16"/>
              </w:rPr>
            </w:pPr>
            <w:r w:rsidRPr="00287625">
              <w:rPr>
                <w:sz w:val="16"/>
                <w:szCs w:val="16"/>
              </w:rPr>
              <w:t>Image Quality: Moderate non-particle background noise, with medium particle-background contrast ratio</w:t>
            </w:r>
          </w:p>
          <w:p w14:paraId="589BD6E3" w14:textId="062D1B96" w:rsidR="00287625" w:rsidRDefault="00287625" w:rsidP="00287625">
            <w:pPr>
              <w:jc w:val="center"/>
              <w:rPr>
                <w:sz w:val="16"/>
                <w:szCs w:val="16"/>
              </w:rPr>
            </w:pPr>
            <w:r w:rsidRPr="00287625">
              <w:rPr>
                <w:sz w:val="16"/>
                <w:szCs w:val="16"/>
              </w:rPr>
              <w:t>Colo</w:t>
            </w:r>
            <w:r>
              <w:rPr>
                <w:sz w:val="16"/>
                <w:szCs w:val="16"/>
              </w:rPr>
              <w:t>u</w:t>
            </w:r>
            <w:r w:rsidRPr="00287625">
              <w:rPr>
                <w:sz w:val="16"/>
                <w:szCs w:val="16"/>
              </w:rPr>
              <w:t>r Consistency: Homogenous particle colour</w:t>
            </w:r>
          </w:p>
        </w:tc>
        <w:tc>
          <w:tcPr>
            <w:tcW w:w="4076" w:type="dxa"/>
          </w:tcPr>
          <w:p w14:paraId="6D8FB840" w14:textId="4A42D199" w:rsidR="00287625" w:rsidRDefault="00287625" w:rsidP="00287625">
            <w:pPr>
              <w:jc w:val="center"/>
              <w:rPr>
                <w:sz w:val="16"/>
                <w:szCs w:val="16"/>
              </w:rPr>
            </w:pPr>
            <w:r>
              <w:rPr>
                <w:noProof/>
                <w:sz w:val="16"/>
                <w:szCs w:val="16"/>
              </w:rPr>
              <w:drawing>
                <wp:inline distT="0" distB="0" distL="0" distR="0" wp14:anchorId="006FB7A6" wp14:editId="7E5F07E2">
                  <wp:extent cx="1761260" cy="1451192"/>
                  <wp:effectExtent l="0" t="0" r="4445" b="0"/>
                  <wp:docPr id="1892538888" name="Picture 1" descr="A close-up of a microsco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538888" name="Picture 1" descr="A close-up of a microscope&#10;&#10;AI-generated content may be incorrect."/>
                          <pic:cNvPicPr/>
                        </pic:nvPicPr>
                        <pic:blipFill rotWithShape="1">
                          <a:blip r:embed="rId8" cstate="print">
                            <a:extLst>
                              <a:ext uri="{28A0092B-C50C-407E-A947-70E740481C1C}">
                                <a14:useLocalDpi xmlns:a14="http://schemas.microsoft.com/office/drawing/2010/main" val="0"/>
                              </a:ext>
                            </a:extLst>
                          </a:blip>
                          <a:srcRect l="3392" t="4658" r="9824"/>
                          <a:stretch>
                            <a:fillRect/>
                          </a:stretch>
                        </pic:blipFill>
                        <pic:spPr bwMode="auto">
                          <a:xfrm>
                            <a:off x="0" y="0"/>
                            <a:ext cx="1761605" cy="1451477"/>
                          </a:xfrm>
                          <a:prstGeom prst="rect">
                            <a:avLst/>
                          </a:prstGeom>
                          <a:ln>
                            <a:noFill/>
                          </a:ln>
                          <a:extLst>
                            <a:ext uri="{53640926-AAD7-44D8-BBD7-CCE9431645EC}">
                              <a14:shadowObscured xmlns:a14="http://schemas.microsoft.com/office/drawing/2010/main"/>
                            </a:ext>
                          </a:extLst>
                        </pic:spPr>
                      </pic:pic>
                    </a:graphicData>
                  </a:graphic>
                </wp:inline>
              </w:drawing>
            </w:r>
          </w:p>
        </w:tc>
      </w:tr>
      <w:tr w:rsidR="00287625" w14:paraId="4D68BD98" w14:textId="77777777" w:rsidTr="00287625">
        <w:tc>
          <w:tcPr>
            <w:tcW w:w="562" w:type="dxa"/>
          </w:tcPr>
          <w:p w14:paraId="32C62569" w14:textId="2C71D61C" w:rsidR="00287625" w:rsidRPr="00287625" w:rsidRDefault="00287625" w:rsidP="00287625">
            <w:pPr>
              <w:jc w:val="center"/>
              <w:rPr>
                <w:b/>
                <w:bCs/>
                <w:sz w:val="16"/>
                <w:szCs w:val="16"/>
              </w:rPr>
            </w:pPr>
            <w:r>
              <w:rPr>
                <w:b/>
                <w:bCs/>
                <w:sz w:val="16"/>
                <w:szCs w:val="16"/>
              </w:rPr>
              <w:t>B</w:t>
            </w:r>
          </w:p>
        </w:tc>
        <w:tc>
          <w:tcPr>
            <w:tcW w:w="4372" w:type="dxa"/>
          </w:tcPr>
          <w:p w14:paraId="4AC958AE" w14:textId="77777777" w:rsidR="00287625" w:rsidRPr="00287625" w:rsidRDefault="00287625" w:rsidP="00287625">
            <w:pPr>
              <w:jc w:val="center"/>
              <w:rPr>
                <w:sz w:val="16"/>
                <w:szCs w:val="16"/>
              </w:rPr>
            </w:pPr>
            <w:r w:rsidRPr="00287625">
              <w:rPr>
                <w:sz w:val="16"/>
                <w:szCs w:val="16"/>
              </w:rPr>
              <w:t>Morphology Predominantly non-circular (oval/irregular)</w:t>
            </w:r>
          </w:p>
          <w:p w14:paraId="295BE7D3" w14:textId="77777777" w:rsidR="00287625" w:rsidRPr="00287625" w:rsidRDefault="00287625" w:rsidP="00287625">
            <w:pPr>
              <w:jc w:val="center"/>
              <w:rPr>
                <w:sz w:val="16"/>
                <w:szCs w:val="16"/>
              </w:rPr>
            </w:pPr>
            <w:r w:rsidRPr="00287625">
              <w:rPr>
                <w:sz w:val="16"/>
                <w:szCs w:val="16"/>
              </w:rPr>
              <w:t>Size Variation: Low</w:t>
            </w:r>
          </w:p>
          <w:p w14:paraId="45D9509C" w14:textId="77777777" w:rsidR="00287625" w:rsidRPr="00287625" w:rsidRDefault="00287625" w:rsidP="00287625">
            <w:pPr>
              <w:jc w:val="center"/>
              <w:rPr>
                <w:sz w:val="16"/>
                <w:szCs w:val="16"/>
              </w:rPr>
            </w:pPr>
            <w:r w:rsidRPr="00287625">
              <w:rPr>
                <w:sz w:val="16"/>
                <w:szCs w:val="16"/>
              </w:rPr>
              <w:t>Spatial Distribution: High degree of particle aggregation/clustering</w:t>
            </w:r>
          </w:p>
          <w:p w14:paraId="3CF64B09" w14:textId="77777777" w:rsidR="00287625" w:rsidRPr="00287625" w:rsidRDefault="00287625" w:rsidP="00287625">
            <w:pPr>
              <w:jc w:val="center"/>
              <w:rPr>
                <w:sz w:val="16"/>
                <w:szCs w:val="16"/>
              </w:rPr>
            </w:pPr>
            <w:r w:rsidRPr="00287625">
              <w:rPr>
                <w:sz w:val="16"/>
                <w:szCs w:val="16"/>
              </w:rPr>
              <w:t>Image Quality: Low background noise, high particle-to-background contrast</w:t>
            </w:r>
          </w:p>
          <w:p w14:paraId="7695F4A0" w14:textId="32E1A9F7" w:rsidR="00287625" w:rsidRDefault="00287625" w:rsidP="00287625">
            <w:pPr>
              <w:jc w:val="center"/>
              <w:rPr>
                <w:sz w:val="16"/>
                <w:szCs w:val="16"/>
              </w:rPr>
            </w:pPr>
            <w:r w:rsidRPr="00287625">
              <w:rPr>
                <w:sz w:val="16"/>
                <w:szCs w:val="16"/>
              </w:rPr>
              <w:t>Colo</w:t>
            </w:r>
            <w:r>
              <w:rPr>
                <w:sz w:val="16"/>
                <w:szCs w:val="16"/>
              </w:rPr>
              <w:t>u</w:t>
            </w:r>
            <w:r w:rsidRPr="00287625">
              <w:rPr>
                <w:sz w:val="16"/>
                <w:szCs w:val="16"/>
              </w:rPr>
              <w:t>r Consistency: Homogenous particle colour</w:t>
            </w:r>
          </w:p>
        </w:tc>
        <w:tc>
          <w:tcPr>
            <w:tcW w:w="4076" w:type="dxa"/>
          </w:tcPr>
          <w:p w14:paraId="71D682E7" w14:textId="0BF4FC1A" w:rsidR="00287625" w:rsidRDefault="00287625" w:rsidP="00287625">
            <w:pPr>
              <w:jc w:val="center"/>
              <w:rPr>
                <w:sz w:val="16"/>
                <w:szCs w:val="16"/>
              </w:rPr>
            </w:pPr>
            <w:r>
              <w:rPr>
                <w:noProof/>
                <w:sz w:val="16"/>
                <w:szCs w:val="16"/>
              </w:rPr>
              <w:drawing>
                <wp:inline distT="0" distB="0" distL="0" distR="0" wp14:anchorId="50781A81" wp14:editId="615E6BEB">
                  <wp:extent cx="2119085" cy="1589314"/>
                  <wp:effectExtent l="0" t="0" r="1905" b="0"/>
                  <wp:docPr id="953339269" name="Picture 2" descr="A close-up of blu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339269" name="Picture 2" descr="A close-up of blue dot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33670" cy="1600253"/>
                          </a:xfrm>
                          <a:prstGeom prst="rect">
                            <a:avLst/>
                          </a:prstGeom>
                        </pic:spPr>
                      </pic:pic>
                    </a:graphicData>
                  </a:graphic>
                </wp:inline>
              </w:drawing>
            </w:r>
          </w:p>
        </w:tc>
      </w:tr>
      <w:tr w:rsidR="00287625" w14:paraId="5623B895" w14:textId="77777777" w:rsidTr="00287625">
        <w:tc>
          <w:tcPr>
            <w:tcW w:w="562" w:type="dxa"/>
          </w:tcPr>
          <w:p w14:paraId="463E5CCA" w14:textId="262FAD2B" w:rsidR="00287625" w:rsidRPr="00287625" w:rsidRDefault="00287625" w:rsidP="00287625">
            <w:pPr>
              <w:jc w:val="center"/>
              <w:rPr>
                <w:b/>
                <w:bCs/>
                <w:sz w:val="16"/>
                <w:szCs w:val="16"/>
              </w:rPr>
            </w:pPr>
            <w:r>
              <w:rPr>
                <w:b/>
                <w:bCs/>
                <w:sz w:val="16"/>
                <w:szCs w:val="16"/>
              </w:rPr>
              <w:t>C</w:t>
            </w:r>
          </w:p>
        </w:tc>
        <w:tc>
          <w:tcPr>
            <w:tcW w:w="4372" w:type="dxa"/>
          </w:tcPr>
          <w:p w14:paraId="5C63A668" w14:textId="77777777" w:rsidR="00287625" w:rsidRPr="00287625" w:rsidRDefault="00287625" w:rsidP="00287625">
            <w:pPr>
              <w:jc w:val="center"/>
              <w:rPr>
                <w:sz w:val="16"/>
                <w:szCs w:val="16"/>
              </w:rPr>
            </w:pPr>
            <w:r w:rsidRPr="00287625">
              <w:rPr>
                <w:sz w:val="16"/>
                <w:szCs w:val="16"/>
              </w:rPr>
              <w:t>Morphology: Highly circular/spherical</w:t>
            </w:r>
          </w:p>
          <w:p w14:paraId="75F3CD5A" w14:textId="77777777" w:rsidR="00287625" w:rsidRPr="00287625" w:rsidRDefault="00287625" w:rsidP="00287625">
            <w:pPr>
              <w:jc w:val="center"/>
              <w:rPr>
                <w:sz w:val="16"/>
                <w:szCs w:val="16"/>
              </w:rPr>
            </w:pPr>
            <w:r w:rsidRPr="00287625">
              <w:rPr>
                <w:sz w:val="16"/>
                <w:szCs w:val="16"/>
              </w:rPr>
              <w:t>Size Variation: Low</w:t>
            </w:r>
          </w:p>
          <w:p w14:paraId="2519F347" w14:textId="77777777" w:rsidR="00287625" w:rsidRPr="00287625" w:rsidRDefault="00287625" w:rsidP="00287625">
            <w:pPr>
              <w:jc w:val="center"/>
              <w:rPr>
                <w:sz w:val="16"/>
                <w:szCs w:val="16"/>
              </w:rPr>
            </w:pPr>
            <w:r w:rsidRPr="00287625">
              <w:rPr>
                <w:sz w:val="16"/>
                <w:szCs w:val="16"/>
              </w:rPr>
              <w:t>Spatial Distribution: Moderate clustering</w:t>
            </w:r>
          </w:p>
          <w:p w14:paraId="6F96AEC0" w14:textId="77777777" w:rsidR="00287625" w:rsidRPr="00287625" w:rsidRDefault="00287625" w:rsidP="00287625">
            <w:pPr>
              <w:jc w:val="center"/>
              <w:rPr>
                <w:sz w:val="16"/>
                <w:szCs w:val="16"/>
              </w:rPr>
            </w:pPr>
            <w:r w:rsidRPr="00287625">
              <w:rPr>
                <w:sz w:val="16"/>
                <w:szCs w:val="16"/>
              </w:rPr>
              <w:t>Image Quality: Minimal non-particle background noise, high particle-to-background contrast. Background is non-homogenous in colour (dark patches)</w:t>
            </w:r>
          </w:p>
          <w:p w14:paraId="617A92CA" w14:textId="02BAF24A" w:rsidR="00287625" w:rsidRDefault="00287625" w:rsidP="00287625">
            <w:pPr>
              <w:jc w:val="center"/>
              <w:rPr>
                <w:sz w:val="16"/>
                <w:szCs w:val="16"/>
              </w:rPr>
            </w:pPr>
            <w:r w:rsidRPr="00287625">
              <w:rPr>
                <w:sz w:val="16"/>
                <w:szCs w:val="16"/>
              </w:rPr>
              <w:t>Colour consistency: Homogenous particle colour (with consistent white circle inside particles)</w:t>
            </w:r>
          </w:p>
        </w:tc>
        <w:tc>
          <w:tcPr>
            <w:tcW w:w="4076" w:type="dxa"/>
          </w:tcPr>
          <w:p w14:paraId="365E2E51" w14:textId="5446273C" w:rsidR="00287625" w:rsidRDefault="00287625" w:rsidP="00287625">
            <w:pPr>
              <w:jc w:val="center"/>
              <w:rPr>
                <w:sz w:val="16"/>
                <w:szCs w:val="16"/>
              </w:rPr>
            </w:pPr>
            <w:r>
              <w:rPr>
                <w:noProof/>
                <w:sz w:val="16"/>
                <w:szCs w:val="16"/>
              </w:rPr>
              <w:drawing>
                <wp:inline distT="0" distB="0" distL="0" distR="0" wp14:anchorId="225C094F" wp14:editId="77610DE1">
                  <wp:extent cx="2185730" cy="1639298"/>
                  <wp:effectExtent l="0" t="0" r="0" b="0"/>
                  <wp:docPr id="168674819" name="Picture 3" descr="A close-up of black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74819" name="Picture 3" descr="A close-up of black circle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06408" cy="1654806"/>
                          </a:xfrm>
                          <a:prstGeom prst="rect">
                            <a:avLst/>
                          </a:prstGeom>
                        </pic:spPr>
                      </pic:pic>
                    </a:graphicData>
                  </a:graphic>
                </wp:inline>
              </w:drawing>
            </w:r>
          </w:p>
        </w:tc>
      </w:tr>
      <w:tr w:rsidR="00287625" w14:paraId="11B5C07D" w14:textId="77777777" w:rsidTr="00287625">
        <w:tc>
          <w:tcPr>
            <w:tcW w:w="562" w:type="dxa"/>
          </w:tcPr>
          <w:p w14:paraId="336D2032" w14:textId="0E130F8F" w:rsidR="00287625" w:rsidRPr="00287625" w:rsidRDefault="00287625" w:rsidP="00287625">
            <w:pPr>
              <w:jc w:val="center"/>
              <w:rPr>
                <w:b/>
                <w:bCs/>
                <w:sz w:val="16"/>
                <w:szCs w:val="16"/>
              </w:rPr>
            </w:pPr>
            <w:r>
              <w:rPr>
                <w:b/>
                <w:bCs/>
                <w:sz w:val="16"/>
                <w:szCs w:val="16"/>
              </w:rPr>
              <w:lastRenderedPageBreak/>
              <w:t>D</w:t>
            </w:r>
          </w:p>
        </w:tc>
        <w:tc>
          <w:tcPr>
            <w:tcW w:w="4372" w:type="dxa"/>
          </w:tcPr>
          <w:p w14:paraId="2BF46A77" w14:textId="77777777" w:rsidR="00287625" w:rsidRPr="00287625" w:rsidRDefault="00287625" w:rsidP="00287625">
            <w:pPr>
              <w:jc w:val="center"/>
              <w:rPr>
                <w:sz w:val="16"/>
                <w:szCs w:val="16"/>
              </w:rPr>
            </w:pPr>
            <w:r w:rsidRPr="00287625">
              <w:rPr>
                <w:sz w:val="16"/>
                <w:szCs w:val="16"/>
              </w:rPr>
              <w:t>Morphology: Highly circular/spherical</w:t>
            </w:r>
          </w:p>
          <w:p w14:paraId="5AA51858" w14:textId="0D114EEC" w:rsidR="00287625" w:rsidRPr="00287625" w:rsidRDefault="00287625" w:rsidP="00287625">
            <w:pPr>
              <w:jc w:val="center"/>
              <w:rPr>
                <w:sz w:val="16"/>
                <w:szCs w:val="16"/>
              </w:rPr>
            </w:pPr>
            <w:r w:rsidRPr="00287625">
              <w:rPr>
                <w:sz w:val="16"/>
                <w:szCs w:val="16"/>
              </w:rPr>
              <w:t>Size Variation: Moderate (includes sub-micron/very small particles)</w:t>
            </w:r>
          </w:p>
          <w:p w14:paraId="0AA3BBE4" w14:textId="77777777" w:rsidR="00287625" w:rsidRPr="00287625" w:rsidRDefault="00287625" w:rsidP="00287625">
            <w:pPr>
              <w:jc w:val="center"/>
              <w:rPr>
                <w:sz w:val="16"/>
                <w:szCs w:val="16"/>
              </w:rPr>
            </w:pPr>
            <w:r w:rsidRPr="00287625">
              <w:rPr>
                <w:sz w:val="16"/>
                <w:szCs w:val="16"/>
              </w:rPr>
              <w:t>Spatial Distribution: Spread out</w:t>
            </w:r>
          </w:p>
          <w:p w14:paraId="466BDE16" w14:textId="77777777" w:rsidR="00287625" w:rsidRPr="00287625" w:rsidRDefault="00287625" w:rsidP="00287625">
            <w:pPr>
              <w:jc w:val="center"/>
              <w:rPr>
                <w:sz w:val="16"/>
                <w:szCs w:val="16"/>
              </w:rPr>
            </w:pPr>
            <w:r w:rsidRPr="00287625">
              <w:rPr>
                <w:sz w:val="16"/>
                <w:szCs w:val="16"/>
              </w:rPr>
              <w:t>Image Quality: High background noise including many non-particle artefacts, low particle-background contrast</w:t>
            </w:r>
          </w:p>
          <w:p w14:paraId="7C78DF80" w14:textId="3333DE0A" w:rsidR="00287625" w:rsidRDefault="00287625" w:rsidP="00287625">
            <w:pPr>
              <w:jc w:val="center"/>
              <w:rPr>
                <w:sz w:val="16"/>
                <w:szCs w:val="16"/>
              </w:rPr>
            </w:pPr>
            <w:r w:rsidRPr="00287625">
              <w:rPr>
                <w:sz w:val="16"/>
                <w:szCs w:val="16"/>
              </w:rPr>
              <w:t>Colour consistency: Moderately homogenous particle colour</w:t>
            </w:r>
          </w:p>
        </w:tc>
        <w:tc>
          <w:tcPr>
            <w:tcW w:w="4076" w:type="dxa"/>
          </w:tcPr>
          <w:p w14:paraId="44231A53" w14:textId="007AE313" w:rsidR="00287625" w:rsidRDefault="00287625" w:rsidP="00287625">
            <w:pPr>
              <w:jc w:val="center"/>
              <w:rPr>
                <w:sz w:val="16"/>
                <w:szCs w:val="16"/>
              </w:rPr>
            </w:pPr>
            <w:r>
              <w:rPr>
                <w:noProof/>
                <w:sz w:val="16"/>
                <w:szCs w:val="16"/>
              </w:rPr>
              <w:drawing>
                <wp:inline distT="0" distB="0" distL="0" distR="0" wp14:anchorId="0565EE8D" wp14:editId="210FD4BD">
                  <wp:extent cx="2399048" cy="2394857"/>
                  <wp:effectExtent l="0" t="0" r="1270" b="5715"/>
                  <wp:docPr id="1856842382" name="Picture 5" descr="A yellow circl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842382" name="Picture 5" descr="A yellow circle with black background&#10;&#10;AI-generated content may be incorrect."/>
                          <pic:cNvPicPr/>
                        </pic:nvPicPr>
                        <pic:blipFill rotWithShape="1">
                          <a:blip r:embed="rId11" cstate="print">
                            <a:extLst>
                              <a:ext uri="{28A0092B-C50C-407E-A947-70E740481C1C}">
                                <a14:useLocalDpi xmlns:a14="http://schemas.microsoft.com/office/drawing/2010/main" val="0"/>
                              </a:ext>
                            </a:extLst>
                          </a:blip>
                          <a:srcRect t="15558" r="1240" b="10503"/>
                          <a:stretch>
                            <a:fillRect/>
                          </a:stretch>
                        </pic:blipFill>
                        <pic:spPr bwMode="auto">
                          <a:xfrm>
                            <a:off x="0" y="0"/>
                            <a:ext cx="2414845" cy="2410627"/>
                          </a:xfrm>
                          <a:prstGeom prst="rect">
                            <a:avLst/>
                          </a:prstGeom>
                          <a:ln>
                            <a:noFill/>
                          </a:ln>
                          <a:extLst>
                            <a:ext uri="{53640926-AAD7-44D8-BBD7-CCE9431645EC}">
                              <a14:shadowObscured xmlns:a14="http://schemas.microsoft.com/office/drawing/2010/main"/>
                            </a:ext>
                          </a:extLst>
                        </pic:spPr>
                      </pic:pic>
                    </a:graphicData>
                  </a:graphic>
                </wp:inline>
              </w:drawing>
            </w:r>
          </w:p>
        </w:tc>
      </w:tr>
      <w:tr w:rsidR="00287625" w14:paraId="10C87535" w14:textId="77777777" w:rsidTr="00287625">
        <w:tc>
          <w:tcPr>
            <w:tcW w:w="562" w:type="dxa"/>
          </w:tcPr>
          <w:p w14:paraId="04A64931" w14:textId="0C4898A0" w:rsidR="00287625" w:rsidRPr="00287625" w:rsidRDefault="00287625" w:rsidP="00287625">
            <w:pPr>
              <w:jc w:val="center"/>
              <w:rPr>
                <w:b/>
                <w:bCs/>
                <w:sz w:val="16"/>
                <w:szCs w:val="16"/>
              </w:rPr>
            </w:pPr>
            <w:r>
              <w:rPr>
                <w:b/>
                <w:bCs/>
                <w:sz w:val="16"/>
                <w:szCs w:val="16"/>
              </w:rPr>
              <w:t>E</w:t>
            </w:r>
          </w:p>
        </w:tc>
        <w:tc>
          <w:tcPr>
            <w:tcW w:w="4372" w:type="dxa"/>
          </w:tcPr>
          <w:p w14:paraId="372F88F3" w14:textId="77777777" w:rsidR="00287625" w:rsidRPr="00287625" w:rsidRDefault="00287625" w:rsidP="00287625">
            <w:pPr>
              <w:jc w:val="center"/>
              <w:rPr>
                <w:sz w:val="16"/>
                <w:szCs w:val="16"/>
              </w:rPr>
            </w:pPr>
            <w:r w:rsidRPr="00287625">
              <w:rPr>
                <w:sz w:val="16"/>
                <w:szCs w:val="16"/>
              </w:rPr>
              <w:t>Morphology: Highly circular/spherical</w:t>
            </w:r>
          </w:p>
          <w:p w14:paraId="35A59437" w14:textId="77777777" w:rsidR="00287625" w:rsidRPr="00287625" w:rsidRDefault="00287625" w:rsidP="00287625">
            <w:pPr>
              <w:jc w:val="center"/>
              <w:rPr>
                <w:sz w:val="16"/>
                <w:szCs w:val="16"/>
              </w:rPr>
            </w:pPr>
            <w:r w:rsidRPr="00287625">
              <w:rPr>
                <w:sz w:val="16"/>
                <w:szCs w:val="16"/>
              </w:rPr>
              <w:t>Size Variation: Moderate (has many small particles)</w:t>
            </w:r>
          </w:p>
          <w:p w14:paraId="2C33E14A" w14:textId="77777777" w:rsidR="00287625" w:rsidRPr="00287625" w:rsidRDefault="00287625" w:rsidP="00287625">
            <w:pPr>
              <w:jc w:val="center"/>
              <w:rPr>
                <w:sz w:val="16"/>
                <w:szCs w:val="16"/>
              </w:rPr>
            </w:pPr>
            <w:r w:rsidRPr="00287625">
              <w:rPr>
                <w:sz w:val="16"/>
                <w:szCs w:val="16"/>
              </w:rPr>
              <w:t>Image Quality: High background noise, high particle-background contrast. Includes many non-particle artifacts (transparent particles)</w:t>
            </w:r>
          </w:p>
          <w:p w14:paraId="7A527EBD" w14:textId="5D56AF85" w:rsidR="00287625" w:rsidRDefault="00287625" w:rsidP="00287625">
            <w:pPr>
              <w:jc w:val="center"/>
              <w:rPr>
                <w:sz w:val="16"/>
                <w:szCs w:val="16"/>
              </w:rPr>
            </w:pPr>
            <w:r w:rsidRPr="00287625">
              <w:rPr>
                <w:sz w:val="16"/>
                <w:szCs w:val="16"/>
              </w:rPr>
              <w:t>Colour Consistency: Heterogeneous particle colours (multiple classes)</w:t>
            </w:r>
          </w:p>
        </w:tc>
        <w:tc>
          <w:tcPr>
            <w:tcW w:w="4076" w:type="dxa"/>
          </w:tcPr>
          <w:p w14:paraId="49D523BA" w14:textId="2610EAA8" w:rsidR="00287625" w:rsidRDefault="00287625" w:rsidP="00287625">
            <w:pPr>
              <w:jc w:val="center"/>
              <w:rPr>
                <w:sz w:val="16"/>
                <w:szCs w:val="16"/>
              </w:rPr>
            </w:pPr>
            <w:r>
              <w:rPr>
                <w:noProof/>
                <w:sz w:val="16"/>
                <w:szCs w:val="16"/>
              </w:rPr>
              <w:drawing>
                <wp:inline distT="0" distB="0" distL="0" distR="0" wp14:anchorId="72070067" wp14:editId="6CC37296">
                  <wp:extent cx="2625876" cy="1969407"/>
                  <wp:effectExtent l="0" t="0" r="3175" b="0"/>
                  <wp:docPr id="621825062" name="Picture 6" descr="A close-up of a microsco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825062" name="Picture 6" descr="A close-up of a microscop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39521" cy="1979640"/>
                          </a:xfrm>
                          <a:prstGeom prst="rect">
                            <a:avLst/>
                          </a:prstGeom>
                        </pic:spPr>
                      </pic:pic>
                    </a:graphicData>
                  </a:graphic>
                </wp:inline>
              </w:drawing>
            </w:r>
          </w:p>
        </w:tc>
      </w:tr>
      <w:tr w:rsidR="00287625" w14:paraId="3B0B0AFC" w14:textId="77777777" w:rsidTr="00287625">
        <w:tc>
          <w:tcPr>
            <w:tcW w:w="562" w:type="dxa"/>
          </w:tcPr>
          <w:p w14:paraId="75453589" w14:textId="5813E407" w:rsidR="00287625" w:rsidRPr="00287625" w:rsidRDefault="00287625" w:rsidP="00287625">
            <w:pPr>
              <w:jc w:val="center"/>
              <w:rPr>
                <w:b/>
                <w:bCs/>
                <w:sz w:val="16"/>
                <w:szCs w:val="16"/>
              </w:rPr>
            </w:pPr>
            <w:r>
              <w:rPr>
                <w:b/>
                <w:bCs/>
                <w:sz w:val="16"/>
                <w:szCs w:val="16"/>
              </w:rPr>
              <w:t>F</w:t>
            </w:r>
          </w:p>
        </w:tc>
        <w:tc>
          <w:tcPr>
            <w:tcW w:w="4372" w:type="dxa"/>
          </w:tcPr>
          <w:p w14:paraId="5856607A" w14:textId="77777777" w:rsidR="00287625" w:rsidRPr="00287625" w:rsidRDefault="00287625" w:rsidP="00287625">
            <w:pPr>
              <w:jc w:val="center"/>
              <w:rPr>
                <w:sz w:val="16"/>
                <w:szCs w:val="16"/>
              </w:rPr>
            </w:pPr>
            <w:r w:rsidRPr="00287625">
              <w:rPr>
                <w:sz w:val="16"/>
                <w:szCs w:val="16"/>
              </w:rPr>
              <w:t>Morphology: Moderately circular (slight deviation)</w:t>
            </w:r>
          </w:p>
          <w:p w14:paraId="04C00A41" w14:textId="77777777" w:rsidR="00287625" w:rsidRPr="00287625" w:rsidRDefault="00287625" w:rsidP="00287625">
            <w:pPr>
              <w:jc w:val="center"/>
              <w:rPr>
                <w:sz w:val="16"/>
                <w:szCs w:val="16"/>
              </w:rPr>
            </w:pPr>
            <w:r w:rsidRPr="00287625">
              <w:rPr>
                <w:sz w:val="16"/>
                <w:szCs w:val="16"/>
              </w:rPr>
              <w:t>Size Variation:  Consistent, broad range (includes small particles)</w:t>
            </w:r>
          </w:p>
          <w:p w14:paraId="56562299" w14:textId="77777777" w:rsidR="00287625" w:rsidRPr="00287625" w:rsidRDefault="00287625" w:rsidP="00287625">
            <w:pPr>
              <w:jc w:val="center"/>
              <w:rPr>
                <w:sz w:val="16"/>
                <w:szCs w:val="16"/>
              </w:rPr>
            </w:pPr>
            <w:r w:rsidRPr="00287625">
              <w:rPr>
                <w:sz w:val="16"/>
                <w:szCs w:val="16"/>
              </w:rPr>
              <w:t>Image Quality: High background noise, including non-particle artifacts (smudges)</w:t>
            </w:r>
          </w:p>
          <w:p w14:paraId="417A3042" w14:textId="77777777" w:rsidR="00287625" w:rsidRPr="00287625" w:rsidRDefault="00287625" w:rsidP="00287625">
            <w:pPr>
              <w:jc w:val="center"/>
              <w:rPr>
                <w:sz w:val="16"/>
                <w:szCs w:val="16"/>
              </w:rPr>
            </w:pPr>
            <w:r w:rsidRPr="00287625">
              <w:rPr>
                <w:sz w:val="16"/>
                <w:szCs w:val="16"/>
              </w:rPr>
              <w:t>Low particle to background contrast ratio</w:t>
            </w:r>
          </w:p>
          <w:p w14:paraId="7B23CD50" w14:textId="079A244E" w:rsidR="00287625" w:rsidRDefault="00287625" w:rsidP="00287625">
            <w:pPr>
              <w:jc w:val="center"/>
              <w:rPr>
                <w:sz w:val="16"/>
                <w:szCs w:val="16"/>
              </w:rPr>
            </w:pPr>
            <w:r w:rsidRPr="00287625">
              <w:rPr>
                <w:sz w:val="16"/>
                <w:szCs w:val="16"/>
              </w:rPr>
              <w:t>Colour consistency: Homogenous particle colour</w:t>
            </w:r>
          </w:p>
        </w:tc>
        <w:tc>
          <w:tcPr>
            <w:tcW w:w="4076" w:type="dxa"/>
          </w:tcPr>
          <w:p w14:paraId="278882B4" w14:textId="15C2C1F1" w:rsidR="00287625" w:rsidRDefault="00287625" w:rsidP="00287625">
            <w:pPr>
              <w:jc w:val="center"/>
              <w:rPr>
                <w:sz w:val="16"/>
                <w:szCs w:val="16"/>
              </w:rPr>
            </w:pPr>
            <w:r>
              <w:rPr>
                <w:noProof/>
                <w:sz w:val="16"/>
                <w:szCs w:val="16"/>
              </w:rPr>
              <w:drawing>
                <wp:inline distT="0" distB="0" distL="0" distR="0" wp14:anchorId="6B96F717" wp14:editId="0D540EAB">
                  <wp:extent cx="2648955" cy="2627086"/>
                  <wp:effectExtent l="0" t="0" r="5715" b="1905"/>
                  <wp:docPr id="1276288737" name="Picture 7" descr="A white circle with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288737" name="Picture 7" descr="A white circle with black border&#10;&#10;AI-generated content may be incorrect."/>
                          <pic:cNvPicPr/>
                        </pic:nvPicPr>
                        <pic:blipFill rotWithShape="1">
                          <a:blip r:embed="rId13" cstate="print">
                            <a:extLst>
                              <a:ext uri="{28A0092B-C50C-407E-A947-70E740481C1C}">
                                <a14:useLocalDpi xmlns:a14="http://schemas.microsoft.com/office/drawing/2010/main" val="0"/>
                              </a:ext>
                            </a:extLst>
                          </a:blip>
                          <a:srcRect t="16273" b="9348"/>
                          <a:stretch>
                            <a:fillRect/>
                          </a:stretch>
                        </pic:blipFill>
                        <pic:spPr bwMode="auto">
                          <a:xfrm>
                            <a:off x="0" y="0"/>
                            <a:ext cx="2657754" cy="2635813"/>
                          </a:xfrm>
                          <a:prstGeom prst="rect">
                            <a:avLst/>
                          </a:prstGeom>
                          <a:ln>
                            <a:noFill/>
                          </a:ln>
                          <a:extLst>
                            <a:ext uri="{53640926-AAD7-44D8-BBD7-CCE9431645EC}">
                              <a14:shadowObscured xmlns:a14="http://schemas.microsoft.com/office/drawing/2010/main"/>
                            </a:ext>
                          </a:extLst>
                        </pic:spPr>
                      </pic:pic>
                    </a:graphicData>
                  </a:graphic>
                </wp:inline>
              </w:drawing>
            </w:r>
          </w:p>
        </w:tc>
      </w:tr>
    </w:tbl>
    <w:p w14:paraId="780141EA" w14:textId="7946035B" w:rsidR="00287625" w:rsidRDefault="00287625" w:rsidP="00024CFD">
      <w:pPr>
        <w:jc w:val="both"/>
        <w:rPr>
          <w:sz w:val="16"/>
          <w:szCs w:val="16"/>
        </w:rPr>
      </w:pPr>
      <w:r>
        <w:rPr>
          <w:sz w:val="16"/>
          <w:szCs w:val="16"/>
        </w:rPr>
        <w:t>Table 1: Image descriptors per class</w:t>
      </w:r>
    </w:p>
    <w:p w14:paraId="67BD8A02" w14:textId="77777777" w:rsidR="00287625" w:rsidRDefault="00287625" w:rsidP="00024CFD">
      <w:pPr>
        <w:jc w:val="both"/>
        <w:rPr>
          <w:sz w:val="32"/>
          <w:szCs w:val="32"/>
        </w:rPr>
      </w:pPr>
    </w:p>
    <w:p w14:paraId="59D98CDA" w14:textId="6E41EB94" w:rsidR="002710E8" w:rsidRPr="002710E8" w:rsidRDefault="002710E8" w:rsidP="002710E8">
      <w:pPr>
        <w:pStyle w:val="ListParagraph"/>
        <w:numPr>
          <w:ilvl w:val="0"/>
          <w:numId w:val="4"/>
        </w:numPr>
        <w:jc w:val="both"/>
        <w:rPr>
          <w:sz w:val="32"/>
          <w:szCs w:val="32"/>
        </w:rPr>
      </w:pPr>
      <w:r>
        <w:rPr>
          <w:sz w:val="32"/>
          <w:szCs w:val="32"/>
        </w:rPr>
        <w:t>Pipeline Parameters</w:t>
      </w:r>
    </w:p>
    <w:p w14:paraId="1D74AF7F" w14:textId="32FB5119" w:rsidR="002710E8" w:rsidRDefault="002710E8" w:rsidP="00024CFD">
      <w:pPr>
        <w:jc w:val="both"/>
        <w:rPr>
          <w:sz w:val="16"/>
          <w:szCs w:val="16"/>
        </w:rPr>
      </w:pPr>
      <w:r w:rsidRPr="002710E8">
        <w:rPr>
          <w:sz w:val="16"/>
          <w:szCs w:val="16"/>
        </w:rPr>
        <w:t xml:space="preserve">The full </w:t>
      </w:r>
      <w:r>
        <w:rPr>
          <w:sz w:val="16"/>
          <w:szCs w:val="16"/>
        </w:rPr>
        <w:t xml:space="preserve">Gradient Hough Transform (GHT) </w:t>
      </w:r>
      <w:r w:rsidRPr="002710E8">
        <w:rPr>
          <w:sz w:val="16"/>
          <w:szCs w:val="16"/>
        </w:rPr>
        <w:t xml:space="preserve">pipeline has a range of parameters that dictate how well it fits towards specific image classes. </w:t>
      </w:r>
      <w:r>
        <w:rPr>
          <w:sz w:val="16"/>
          <w:szCs w:val="16"/>
        </w:rPr>
        <w:t>These are the parameters tuned by the Bayesian optimisation loop.</w:t>
      </w:r>
    </w:p>
    <w:p w14:paraId="1C3C5598" w14:textId="77777777" w:rsidR="002710E8" w:rsidRDefault="002710E8" w:rsidP="00024CFD">
      <w:pPr>
        <w:jc w:val="both"/>
        <w:rPr>
          <w:sz w:val="16"/>
          <w:szCs w:val="16"/>
        </w:rPr>
      </w:pPr>
    </w:p>
    <w:tbl>
      <w:tblPr>
        <w:tblW w:w="0" w:type="auto"/>
        <w:tblCellMar>
          <w:top w:w="15" w:type="dxa"/>
          <w:left w:w="15" w:type="dxa"/>
          <w:bottom w:w="15" w:type="dxa"/>
          <w:right w:w="15" w:type="dxa"/>
        </w:tblCellMar>
        <w:tblLook w:val="04A0" w:firstRow="1" w:lastRow="0" w:firstColumn="1" w:lastColumn="0" w:noHBand="0" w:noVBand="1"/>
      </w:tblPr>
      <w:tblGrid>
        <w:gridCol w:w="3677"/>
        <w:gridCol w:w="5323"/>
      </w:tblGrid>
      <w:tr w:rsidR="002710E8" w14:paraId="0F10A65B"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3A45F9" w14:textId="77777777" w:rsidR="002710E8" w:rsidRPr="002710E8" w:rsidRDefault="002710E8">
            <w:pPr>
              <w:pStyle w:val="NormalWeb"/>
              <w:spacing w:before="0" w:beforeAutospacing="0" w:after="0" w:afterAutospacing="0"/>
              <w:jc w:val="center"/>
              <w:rPr>
                <w:sz w:val="21"/>
                <w:szCs w:val="21"/>
              </w:rPr>
            </w:pPr>
            <w:r w:rsidRPr="002710E8">
              <w:rPr>
                <w:rFonts w:ascii="Arial" w:hAnsi="Arial" w:cs="Arial"/>
                <w:b/>
                <w:bCs/>
                <w:color w:val="000000"/>
                <w:sz w:val="21"/>
                <w:szCs w:val="21"/>
              </w:rPr>
              <w:t>Pipeline Parameter(s)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9B3A18" w14:textId="77777777" w:rsidR="002710E8" w:rsidRPr="002710E8" w:rsidRDefault="002710E8">
            <w:pPr>
              <w:pStyle w:val="NormalWeb"/>
              <w:spacing w:before="0" w:beforeAutospacing="0" w:after="0" w:afterAutospacing="0"/>
              <w:jc w:val="center"/>
              <w:rPr>
                <w:sz w:val="21"/>
                <w:szCs w:val="21"/>
              </w:rPr>
            </w:pPr>
            <w:r w:rsidRPr="002710E8">
              <w:rPr>
                <w:rFonts w:ascii="Arial" w:hAnsi="Arial" w:cs="Arial"/>
                <w:b/>
                <w:bCs/>
                <w:color w:val="000000"/>
                <w:sz w:val="21"/>
                <w:szCs w:val="21"/>
              </w:rPr>
              <w:t>Role in Pipeline</w:t>
            </w:r>
          </w:p>
        </w:tc>
      </w:tr>
      <w:tr w:rsidR="002710E8" w14:paraId="4E5DD5D7"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CA994C" w14:textId="77777777" w:rsidR="002710E8" w:rsidRPr="002710E8" w:rsidRDefault="002710E8">
            <w:pPr>
              <w:pStyle w:val="NormalWeb"/>
              <w:spacing w:before="0" w:beforeAutospacing="0" w:after="0" w:afterAutospacing="0"/>
              <w:jc w:val="center"/>
              <w:rPr>
                <w:sz w:val="21"/>
                <w:szCs w:val="21"/>
              </w:rPr>
            </w:pPr>
            <w:r w:rsidRPr="002710E8">
              <w:rPr>
                <w:rFonts w:ascii="Arial" w:hAnsi="Arial" w:cs="Arial"/>
                <w:color w:val="000000"/>
                <w:sz w:val="21"/>
                <w:szCs w:val="21"/>
              </w:rPr>
              <w:t>“min_diameter” - “max_diameter”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67C0D7" w14:textId="77777777" w:rsidR="002710E8" w:rsidRPr="002710E8" w:rsidRDefault="002710E8">
            <w:pPr>
              <w:pStyle w:val="NormalWeb"/>
              <w:spacing w:before="0" w:beforeAutospacing="0" w:after="0" w:afterAutospacing="0"/>
              <w:jc w:val="center"/>
              <w:rPr>
                <w:sz w:val="21"/>
                <w:szCs w:val="21"/>
              </w:rPr>
            </w:pPr>
            <w:r w:rsidRPr="002710E8">
              <w:rPr>
                <w:rFonts w:ascii="Arial" w:hAnsi="Arial" w:cs="Arial"/>
                <w:color w:val="000000"/>
                <w:sz w:val="21"/>
                <w:szCs w:val="21"/>
              </w:rPr>
              <w:t>Dictates the range of diameters that the GHT algorithm will accept</w:t>
            </w:r>
          </w:p>
        </w:tc>
      </w:tr>
      <w:tr w:rsidR="002710E8" w14:paraId="1A50DDEC"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E17BDD" w14:textId="77777777" w:rsidR="002710E8" w:rsidRPr="002710E8" w:rsidRDefault="002710E8">
            <w:pPr>
              <w:pStyle w:val="NormalWeb"/>
              <w:spacing w:before="0" w:beforeAutospacing="0" w:after="0" w:afterAutospacing="0"/>
              <w:jc w:val="center"/>
              <w:rPr>
                <w:sz w:val="21"/>
                <w:szCs w:val="21"/>
              </w:rPr>
            </w:pPr>
            <w:r w:rsidRPr="002710E8">
              <w:rPr>
                <w:rFonts w:ascii="Arial" w:hAnsi="Arial" w:cs="Arial"/>
                <w:color w:val="000000"/>
                <w:sz w:val="21"/>
                <w:szCs w:val="21"/>
              </w:rPr>
              <w:lastRenderedPageBreak/>
              <w:t xml:space="preserve"> “blur_level”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599032" w14:textId="77777777" w:rsidR="002710E8" w:rsidRPr="002710E8" w:rsidRDefault="002710E8">
            <w:pPr>
              <w:pStyle w:val="NormalWeb"/>
              <w:spacing w:before="0" w:beforeAutospacing="0" w:after="0" w:afterAutospacing="0"/>
              <w:jc w:val="center"/>
              <w:rPr>
                <w:sz w:val="21"/>
                <w:szCs w:val="21"/>
              </w:rPr>
            </w:pPr>
            <w:r w:rsidRPr="002710E8">
              <w:rPr>
                <w:rFonts w:ascii="Arial" w:hAnsi="Arial" w:cs="Arial"/>
                <w:color w:val="000000"/>
                <w:sz w:val="21"/>
                <w:szCs w:val="21"/>
              </w:rPr>
              <w:t>Controls how much the image gets blurred before being put processed through the GHT algorithm</w:t>
            </w:r>
          </w:p>
          <w:p w14:paraId="37FDAFDF" w14:textId="77777777" w:rsidR="002710E8" w:rsidRPr="002710E8" w:rsidRDefault="002710E8">
            <w:pPr>
              <w:pStyle w:val="NormalWeb"/>
              <w:spacing w:before="0" w:beforeAutospacing="0" w:after="0" w:afterAutospacing="0"/>
              <w:jc w:val="center"/>
              <w:rPr>
                <w:sz w:val="21"/>
                <w:szCs w:val="21"/>
              </w:rPr>
            </w:pPr>
            <w:r w:rsidRPr="002710E8">
              <w:rPr>
                <w:rFonts w:ascii="Arial" w:hAnsi="Arial" w:cs="Arial"/>
                <w:color w:val="000000"/>
                <w:sz w:val="21"/>
                <w:szCs w:val="21"/>
              </w:rPr>
              <w:t>Balanced to reduce noise while retaining important details</w:t>
            </w:r>
          </w:p>
        </w:tc>
      </w:tr>
      <w:tr w:rsidR="002710E8" w14:paraId="2E372349"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5E6D65" w14:textId="77777777" w:rsidR="002710E8" w:rsidRPr="002710E8" w:rsidRDefault="002710E8">
            <w:pPr>
              <w:pStyle w:val="NormalWeb"/>
              <w:spacing w:before="0" w:beforeAutospacing="0" w:after="0" w:afterAutospacing="0"/>
              <w:jc w:val="center"/>
              <w:rPr>
                <w:sz w:val="21"/>
                <w:szCs w:val="21"/>
              </w:rPr>
            </w:pPr>
            <w:r w:rsidRPr="002710E8">
              <w:rPr>
                <w:rFonts w:ascii="Arial" w:hAnsi="Arial" w:cs="Arial"/>
                <w:color w:val="000000"/>
                <w:sz w:val="21"/>
                <w:szCs w:val="21"/>
              </w:rPr>
              <w:t>“min_intensity_threshold” - “max_intensity_threshold”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977A2E" w14:textId="4D768940" w:rsidR="002710E8" w:rsidRPr="002710E8" w:rsidRDefault="002710E8">
            <w:pPr>
              <w:pStyle w:val="NormalWeb"/>
              <w:spacing w:before="0" w:beforeAutospacing="0" w:after="0" w:afterAutospacing="0"/>
              <w:jc w:val="center"/>
              <w:rPr>
                <w:sz w:val="21"/>
                <w:szCs w:val="21"/>
              </w:rPr>
            </w:pPr>
            <w:r w:rsidRPr="002710E8">
              <w:rPr>
                <w:rFonts w:ascii="Arial" w:hAnsi="Arial" w:cs="Arial"/>
                <w:color w:val="000000"/>
                <w:sz w:val="21"/>
                <w:szCs w:val="21"/>
              </w:rPr>
              <w:t xml:space="preserve">Specifies a range of intensity (brightness) that circles must be to </w:t>
            </w:r>
            <w:r>
              <w:rPr>
                <w:rFonts w:ascii="Arial" w:hAnsi="Arial" w:cs="Arial"/>
                <w:color w:val="000000"/>
                <w:sz w:val="21"/>
                <w:szCs w:val="21"/>
              </w:rPr>
              <w:t xml:space="preserve">be </w:t>
            </w:r>
            <w:r w:rsidRPr="002710E8">
              <w:rPr>
                <w:rFonts w:ascii="Arial" w:hAnsi="Arial" w:cs="Arial"/>
                <w:color w:val="000000"/>
                <w:sz w:val="21"/>
                <w:szCs w:val="21"/>
              </w:rPr>
              <w:t>accepted as part of the processing of the GHT</w:t>
            </w:r>
          </w:p>
        </w:tc>
      </w:tr>
      <w:tr w:rsidR="002710E8" w14:paraId="3AEC090C"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516291" w14:textId="77777777" w:rsidR="002710E8" w:rsidRPr="002710E8" w:rsidRDefault="002710E8">
            <w:pPr>
              <w:pStyle w:val="NormalWeb"/>
              <w:spacing w:before="0" w:beforeAutospacing="0" w:after="0" w:afterAutospacing="0"/>
              <w:jc w:val="center"/>
              <w:rPr>
                <w:sz w:val="21"/>
                <w:szCs w:val="21"/>
              </w:rPr>
            </w:pPr>
            <w:r w:rsidRPr="002710E8">
              <w:rPr>
                <w:rFonts w:ascii="Arial" w:hAnsi="Arial" w:cs="Arial"/>
                <w:color w:val="000000"/>
                <w:sz w:val="21"/>
                <w:szCs w:val="21"/>
              </w:rPr>
              <w:t>“upper_canny_threshold”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3F0D40" w14:textId="77777777" w:rsidR="002710E8" w:rsidRPr="002710E8" w:rsidRDefault="002710E8">
            <w:pPr>
              <w:pStyle w:val="NormalWeb"/>
              <w:spacing w:before="0" w:beforeAutospacing="0" w:after="0" w:afterAutospacing="0"/>
              <w:jc w:val="center"/>
              <w:rPr>
                <w:sz w:val="21"/>
                <w:szCs w:val="21"/>
              </w:rPr>
            </w:pPr>
            <w:r w:rsidRPr="002710E8">
              <w:rPr>
                <w:rFonts w:ascii="Arial" w:hAnsi="Arial" w:cs="Arial"/>
                <w:color w:val="000000"/>
                <w:sz w:val="21"/>
                <w:szCs w:val="21"/>
              </w:rPr>
              <w:t>Provides a threshold for edge detection in GHT based on the intensity of edge gradients in the image</w:t>
            </w:r>
          </w:p>
        </w:tc>
      </w:tr>
      <w:tr w:rsidR="002710E8" w14:paraId="142ADCA2"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23DF10" w14:textId="77777777" w:rsidR="002710E8" w:rsidRPr="002710E8" w:rsidRDefault="002710E8">
            <w:pPr>
              <w:pStyle w:val="NormalWeb"/>
              <w:spacing w:before="0" w:beforeAutospacing="0" w:after="0" w:afterAutospacing="0"/>
              <w:jc w:val="center"/>
              <w:rPr>
                <w:sz w:val="21"/>
                <w:szCs w:val="21"/>
              </w:rPr>
            </w:pPr>
            <w:r w:rsidRPr="002710E8">
              <w:rPr>
                <w:rFonts w:ascii="Arial" w:hAnsi="Arial" w:cs="Arial"/>
                <w:color w:val="000000"/>
                <w:sz w:val="21"/>
                <w:szCs w:val="21"/>
              </w:rPr>
              <w:t>“accumulator_threshold”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312A26" w14:textId="77777777" w:rsidR="002710E8" w:rsidRPr="002710E8" w:rsidRDefault="002710E8">
            <w:pPr>
              <w:pStyle w:val="NormalWeb"/>
              <w:spacing w:before="0" w:beforeAutospacing="0" w:after="0" w:afterAutospacing="0"/>
              <w:jc w:val="center"/>
              <w:rPr>
                <w:sz w:val="21"/>
                <w:szCs w:val="21"/>
              </w:rPr>
            </w:pPr>
            <w:r w:rsidRPr="002710E8">
              <w:rPr>
                <w:rFonts w:ascii="Arial" w:hAnsi="Arial" w:cs="Arial"/>
                <w:color w:val="000000"/>
                <w:sz w:val="21"/>
                <w:szCs w:val="21"/>
              </w:rPr>
              <w:t>Threshold on how many votes a circle center (a,b) needs to have before it is accepted in GHT</w:t>
            </w:r>
          </w:p>
        </w:tc>
      </w:tr>
      <w:tr w:rsidR="002710E8" w14:paraId="7CCBD733"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5EEABF" w14:textId="77777777" w:rsidR="002710E8" w:rsidRPr="002710E8" w:rsidRDefault="002710E8">
            <w:pPr>
              <w:pStyle w:val="NormalWeb"/>
              <w:spacing w:before="0" w:beforeAutospacing="0" w:after="0" w:afterAutospacing="0"/>
              <w:jc w:val="center"/>
              <w:rPr>
                <w:sz w:val="21"/>
                <w:szCs w:val="21"/>
              </w:rPr>
            </w:pPr>
            <w:r w:rsidRPr="002710E8">
              <w:rPr>
                <w:rFonts w:ascii="Arial" w:hAnsi="Arial" w:cs="Arial"/>
                <w:color w:val="000000"/>
                <w:sz w:val="21"/>
                <w:szCs w:val="21"/>
              </w:rPr>
              <w:t>“min_distance”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608E8F" w14:textId="77777777" w:rsidR="002710E8" w:rsidRPr="002710E8" w:rsidRDefault="002710E8">
            <w:pPr>
              <w:pStyle w:val="NormalWeb"/>
              <w:spacing w:before="0" w:beforeAutospacing="0" w:after="0" w:afterAutospacing="0"/>
              <w:jc w:val="center"/>
              <w:rPr>
                <w:sz w:val="21"/>
                <w:szCs w:val="21"/>
              </w:rPr>
            </w:pPr>
            <w:r w:rsidRPr="002710E8">
              <w:rPr>
                <w:rFonts w:ascii="Arial" w:hAnsi="Arial" w:cs="Arial"/>
                <w:color w:val="000000"/>
                <w:sz w:val="21"/>
                <w:szCs w:val="21"/>
              </w:rPr>
              <w:t>Minimum spacing that circles must be apart to be considered as separate </w:t>
            </w:r>
          </w:p>
          <w:p w14:paraId="7A49D05F" w14:textId="77777777" w:rsidR="002710E8" w:rsidRPr="002710E8" w:rsidRDefault="002710E8">
            <w:pPr>
              <w:rPr>
                <w:sz w:val="21"/>
                <w:szCs w:val="21"/>
              </w:rPr>
            </w:pPr>
          </w:p>
        </w:tc>
      </w:tr>
    </w:tbl>
    <w:p w14:paraId="5CCDA742" w14:textId="13EA9A58" w:rsidR="002710E8" w:rsidRDefault="002710E8" w:rsidP="00024CFD">
      <w:pPr>
        <w:jc w:val="both"/>
        <w:rPr>
          <w:sz w:val="16"/>
          <w:szCs w:val="16"/>
        </w:rPr>
      </w:pPr>
      <w:r w:rsidRPr="002710E8">
        <w:rPr>
          <w:sz w:val="16"/>
          <w:szCs w:val="16"/>
        </w:rPr>
        <w:t xml:space="preserve">Table </w:t>
      </w:r>
      <w:r>
        <w:rPr>
          <w:sz w:val="16"/>
          <w:szCs w:val="16"/>
        </w:rPr>
        <w:t>2:</w:t>
      </w:r>
      <w:r w:rsidRPr="002710E8">
        <w:rPr>
          <w:sz w:val="16"/>
          <w:szCs w:val="16"/>
        </w:rPr>
        <w:t xml:space="preserve"> A list of the overall parameters and their role in the pipeline</w:t>
      </w:r>
    </w:p>
    <w:p w14:paraId="5B4B6A68" w14:textId="50088305" w:rsidR="001F7D24" w:rsidRPr="00396030" w:rsidRDefault="001F7D24" w:rsidP="00024CFD">
      <w:pPr>
        <w:jc w:val="both"/>
        <w:rPr>
          <w:sz w:val="16"/>
          <w:szCs w:val="16"/>
        </w:rPr>
      </w:pPr>
    </w:p>
    <w:sectPr w:rsidR="001F7D24" w:rsidRPr="00396030" w:rsidSect="004A405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AAAF1" w14:textId="77777777" w:rsidR="006C3776" w:rsidRDefault="006C3776" w:rsidP="006C0B16">
      <w:r>
        <w:separator/>
      </w:r>
    </w:p>
  </w:endnote>
  <w:endnote w:type="continuationSeparator" w:id="0">
    <w:p w14:paraId="0B4F51CE" w14:textId="77777777" w:rsidR="006C3776" w:rsidRDefault="006C3776" w:rsidP="006C0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0A6F2" w14:textId="77777777" w:rsidR="006C3776" w:rsidRDefault="006C3776" w:rsidP="006C0B16">
      <w:r>
        <w:separator/>
      </w:r>
    </w:p>
  </w:footnote>
  <w:footnote w:type="continuationSeparator" w:id="0">
    <w:p w14:paraId="763B161D" w14:textId="77777777" w:rsidR="006C3776" w:rsidRDefault="006C3776" w:rsidP="006C0B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F7D8A"/>
    <w:multiLevelType w:val="hybridMultilevel"/>
    <w:tmpl w:val="014AE1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FB4A0A"/>
    <w:multiLevelType w:val="hybridMultilevel"/>
    <w:tmpl w:val="51CEC0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54431D"/>
    <w:multiLevelType w:val="hybridMultilevel"/>
    <w:tmpl w:val="AA3A03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29477C"/>
    <w:multiLevelType w:val="hybridMultilevel"/>
    <w:tmpl w:val="014AE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446800"/>
    <w:multiLevelType w:val="hybridMultilevel"/>
    <w:tmpl w:val="014AE1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CD02EB6"/>
    <w:multiLevelType w:val="hybridMultilevel"/>
    <w:tmpl w:val="FD80C7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E6D5EEF"/>
    <w:multiLevelType w:val="hybridMultilevel"/>
    <w:tmpl w:val="014AE1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10724173">
    <w:abstractNumId w:val="2"/>
  </w:num>
  <w:num w:numId="2" w16cid:durableId="990522697">
    <w:abstractNumId w:val="5"/>
  </w:num>
  <w:num w:numId="3" w16cid:durableId="1245186836">
    <w:abstractNumId w:val="1"/>
  </w:num>
  <w:num w:numId="4" w16cid:durableId="1543400838">
    <w:abstractNumId w:val="3"/>
  </w:num>
  <w:num w:numId="5" w16cid:durableId="2087726222">
    <w:abstractNumId w:val="0"/>
  </w:num>
  <w:num w:numId="6" w16cid:durableId="445513838">
    <w:abstractNumId w:val="4"/>
  </w:num>
  <w:num w:numId="7" w16cid:durableId="11458983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a25rszw8vxsslef0f3xfd57zevd5fz2tprs&quot;&gt;My EndNote Library&lt;record-ids&gt;&lt;item&gt;23&lt;/item&gt;&lt;/record-ids&gt;&lt;/item&gt;&lt;/Libraries&gt;"/>
  </w:docVars>
  <w:rsids>
    <w:rsidRoot w:val="008B5260"/>
    <w:rsid w:val="00001D54"/>
    <w:rsid w:val="00024CFD"/>
    <w:rsid w:val="0003770A"/>
    <w:rsid w:val="000A0109"/>
    <w:rsid w:val="000A56E6"/>
    <w:rsid w:val="000F3679"/>
    <w:rsid w:val="000F7D3F"/>
    <w:rsid w:val="001432C4"/>
    <w:rsid w:val="00147753"/>
    <w:rsid w:val="00155C47"/>
    <w:rsid w:val="00160B8E"/>
    <w:rsid w:val="00177765"/>
    <w:rsid w:val="0019260D"/>
    <w:rsid w:val="001D2C0D"/>
    <w:rsid w:val="001F2581"/>
    <w:rsid w:val="001F4730"/>
    <w:rsid w:val="001F7D24"/>
    <w:rsid w:val="00203680"/>
    <w:rsid w:val="00206D3C"/>
    <w:rsid w:val="00214DBB"/>
    <w:rsid w:val="002710E8"/>
    <w:rsid w:val="0028261C"/>
    <w:rsid w:val="00287625"/>
    <w:rsid w:val="002B15ED"/>
    <w:rsid w:val="002B46C3"/>
    <w:rsid w:val="002B5107"/>
    <w:rsid w:val="00336700"/>
    <w:rsid w:val="0034722F"/>
    <w:rsid w:val="003657FE"/>
    <w:rsid w:val="00382516"/>
    <w:rsid w:val="00382CE5"/>
    <w:rsid w:val="0039332E"/>
    <w:rsid w:val="00396030"/>
    <w:rsid w:val="00396C59"/>
    <w:rsid w:val="003B6DF5"/>
    <w:rsid w:val="00451ACE"/>
    <w:rsid w:val="00490AB6"/>
    <w:rsid w:val="004A4058"/>
    <w:rsid w:val="004C6821"/>
    <w:rsid w:val="00590D11"/>
    <w:rsid w:val="00591DCC"/>
    <w:rsid w:val="005C5027"/>
    <w:rsid w:val="005E6616"/>
    <w:rsid w:val="00603FC8"/>
    <w:rsid w:val="00604697"/>
    <w:rsid w:val="00611CD7"/>
    <w:rsid w:val="00651CC4"/>
    <w:rsid w:val="006835F0"/>
    <w:rsid w:val="006858D9"/>
    <w:rsid w:val="0069401C"/>
    <w:rsid w:val="006B1FE9"/>
    <w:rsid w:val="006C0B16"/>
    <w:rsid w:val="006C3776"/>
    <w:rsid w:val="00730D73"/>
    <w:rsid w:val="007512CF"/>
    <w:rsid w:val="007C2B23"/>
    <w:rsid w:val="007C2BFC"/>
    <w:rsid w:val="007E5574"/>
    <w:rsid w:val="008046B6"/>
    <w:rsid w:val="00820BED"/>
    <w:rsid w:val="00856136"/>
    <w:rsid w:val="008B5260"/>
    <w:rsid w:val="008B6F01"/>
    <w:rsid w:val="008F1F81"/>
    <w:rsid w:val="00990D5D"/>
    <w:rsid w:val="00992473"/>
    <w:rsid w:val="009A3C57"/>
    <w:rsid w:val="009A5440"/>
    <w:rsid w:val="009E3B57"/>
    <w:rsid w:val="009F0F44"/>
    <w:rsid w:val="009F2E9A"/>
    <w:rsid w:val="00A257A9"/>
    <w:rsid w:val="00A26461"/>
    <w:rsid w:val="00A906FB"/>
    <w:rsid w:val="00A94EFF"/>
    <w:rsid w:val="00AA0466"/>
    <w:rsid w:val="00AA6064"/>
    <w:rsid w:val="00B04460"/>
    <w:rsid w:val="00B323AC"/>
    <w:rsid w:val="00B46A67"/>
    <w:rsid w:val="00B6199F"/>
    <w:rsid w:val="00B86EEC"/>
    <w:rsid w:val="00C27FF2"/>
    <w:rsid w:val="00C30CCA"/>
    <w:rsid w:val="00CA14EE"/>
    <w:rsid w:val="00CD5069"/>
    <w:rsid w:val="00CF262C"/>
    <w:rsid w:val="00CF38C0"/>
    <w:rsid w:val="00D2699B"/>
    <w:rsid w:val="00D664F7"/>
    <w:rsid w:val="00DA3605"/>
    <w:rsid w:val="00DE798F"/>
    <w:rsid w:val="00E003D5"/>
    <w:rsid w:val="00E03C14"/>
    <w:rsid w:val="00E26FA7"/>
    <w:rsid w:val="00E34113"/>
    <w:rsid w:val="00E61861"/>
    <w:rsid w:val="00E861F4"/>
    <w:rsid w:val="00E919E7"/>
    <w:rsid w:val="00E94B00"/>
    <w:rsid w:val="00EA07D8"/>
    <w:rsid w:val="00EA3CB4"/>
    <w:rsid w:val="00EF14FE"/>
    <w:rsid w:val="00EF4E08"/>
    <w:rsid w:val="00F01E45"/>
    <w:rsid w:val="00F63C21"/>
    <w:rsid w:val="00FA615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A73444"/>
  <w15:chartTrackingRefBased/>
  <w15:docId w15:val="{94549CCF-60CC-624F-AC02-AD0F1FEAF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0E8"/>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8B5260"/>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8B5260"/>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8B5260"/>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8B5260"/>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8B5260"/>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8B5260"/>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8B5260"/>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8B5260"/>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8B5260"/>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2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52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52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52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52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52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2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2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260"/>
    <w:rPr>
      <w:rFonts w:eastAsiaTheme="majorEastAsia" w:cstheme="majorBidi"/>
      <w:color w:val="272727" w:themeColor="text1" w:themeTint="D8"/>
    </w:rPr>
  </w:style>
  <w:style w:type="paragraph" w:styleId="Title">
    <w:name w:val="Title"/>
    <w:basedOn w:val="Normal"/>
    <w:next w:val="Normal"/>
    <w:link w:val="TitleChar"/>
    <w:uiPriority w:val="10"/>
    <w:qFormat/>
    <w:rsid w:val="008B526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8B52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260"/>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8B52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260"/>
    <w:pPr>
      <w:spacing w:before="160" w:after="160"/>
      <w:jc w:val="center"/>
    </w:pPr>
    <w:rPr>
      <w:rFonts w:asciiTheme="minorHAnsi" w:eastAsia="宋体"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8B5260"/>
    <w:rPr>
      <w:i/>
      <w:iCs/>
      <w:color w:val="404040" w:themeColor="text1" w:themeTint="BF"/>
    </w:rPr>
  </w:style>
  <w:style w:type="paragraph" w:styleId="ListParagraph">
    <w:name w:val="List Paragraph"/>
    <w:basedOn w:val="Normal"/>
    <w:uiPriority w:val="34"/>
    <w:qFormat/>
    <w:rsid w:val="008B5260"/>
    <w:pPr>
      <w:ind w:left="720"/>
      <w:contextualSpacing/>
    </w:pPr>
    <w:rPr>
      <w:rFonts w:asciiTheme="minorHAnsi" w:eastAsia="宋体" w:hAnsiTheme="minorHAnsi" w:cstheme="minorBidi"/>
      <w:kern w:val="2"/>
      <w:lang w:eastAsia="en-US"/>
      <w14:ligatures w14:val="standardContextual"/>
    </w:rPr>
  </w:style>
  <w:style w:type="character" w:styleId="IntenseEmphasis">
    <w:name w:val="Intense Emphasis"/>
    <w:basedOn w:val="DefaultParagraphFont"/>
    <w:uiPriority w:val="21"/>
    <w:qFormat/>
    <w:rsid w:val="008B5260"/>
    <w:rPr>
      <w:i/>
      <w:iCs/>
      <w:color w:val="0F4761" w:themeColor="accent1" w:themeShade="BF"/>
    </w:rPr>
  </w:style>
  <w:style w:type="paragraph" w:styleId="IntenseQuote">
    <w:name w:val="Intense Quote"/>
    <w:basedOn w:val="Normal"/>
    <w:next w:val="Normal"/>
    <w:link w:val="IntenseQuoteChar"/>
    <w:uiPriority w:val="30"/>
    <w:qFormat/>
    <w:rsid w:val="008B526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宋体"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8B5260"/>
    <w:rPr>
      <w:i/>
      <w:iCs/>
      <w:color w:val="0F4761" w:themeColor="accent1" w:themeShade="BF"/>
    </w:rPr>
  </w:style>
  <w:style w:type="character" w:styleId="IntenseReference">
    <w:name w:val="Intense Reference"/>
    <w:basedOn w:val="DefaultParagraphFont"/>
    <w:uiPriority w:val="32"/>
    <w:qFormat/>
    <w:rsid w:val="008B5260"/>
    <w:rPr>
      <w:b/>
      <w:bCs/>
      <w:smallCaps/>
      <w:color w:val="0F4761" w:themeColor="accent1" w:themeShade="BF"/>
      <w:spacing w:val="5"/>
    </w:rPr>
  </w:style>
  <w:style w:type="character" w:styleId="PlaceholderText">
    <w:name w:val="Placeholder Text"/>
    <w:basedOn w:val="DefaultParagraphFont"/>
    <w:uiPriority w:val="99"/>
    <w:semiHidden/>
    <w:rsid w:val="008B5260"/>
    <w:rPr>
      <w:color w:val="666666"/>
    </w:rPr>
  </w:style>
  <w:style w:type="paragraph" w:styleId="EndnoteText">
    <w:name w:val="endnote text"/>
    <w:basedOn w:val="Normal"/>
    <w:link w:val="EndnoteTextChar"/>
    <w:uiPriority w:val="99"/>
    <w:semiHidden/>
    <w:unhideWhenUsed/>
    <w:rsid w:val="006C0B16"/>
    <w:rPr>
      <w:rFonts w:asciiTheme="minorHAnsi" w:eastAsia="宋体" w:hAnsiTheme="minorHAnsi" w:cstheme="minorBidi"/>
      <w:kern w:val="2"/>
      <w:sz w:val="20"/>
      <w:szCs w:val="20"/>
      <w:lang w:eastAsia="en-US"/>
      <w14:ligatures w14:val="standardContextual"/>
    </w:rPr>
  </w:style>
  <w:style w:type="character" w:customStyle="1" w:styleId="EndnoteTextChar">
    <w:name w:val="Endnote Text Char"/>
    <w:basedOn w:val="DefaultParagraphFont"/>
    <w:link w:val="EndnoteText"/>
    <w:uiPriority w:val="99"/>
    <w:semiHidden/>
    <w:rsid w:val="006C0B16"/>
    <w:rPr>
      <w:sz w:val="20"/>
      <w:szCs w:val="20"/>
    </w:rPr>
  </w:style>
  <w:style w:type="character" w:styleId="EndnoteReference">
    <w:name w:val="endnote reference"/>
    <w:basedOn w:val="DefaultParagraphFont"/>
    <w:uiPriority w:val="99"/>
    <w:semiHidden/>
    <w:unhideWhenUsed/>
    <w:rsid w:val="006C0B16"/>
    <w:rPr>
      <w:vertAlign w:val="superscript"/>
    </w:rPr>
  </w:style>
  <w:style w:type="paragraph" w:customStyle="1" w:styleId="EndNoteBibliographyTitle">
    <w:name w:val="EndNote Bibliography Title"/>
    <w:basedOn w:val="Normal"/>
    <w:link w:val="EndNoteBibliographyTitleChar"/>
    <w:rsid w:val="00160B8E"/>
    <w:pPr>
      <w:jc w:val="center"/>
    </w:pPr>
    <w:rPr>
      <w:rFonts w:ascii="Aptos" w:eastAsia="宋体" w:hAnsi="Aptos" w:cstheme="minorBidi"/>
      <w:kern w:val="2"/>
      <w:lang w:val="en-US" w:eastAsia="en-US"/>
      <w14:ligatures w14:val="standardContextual"/>
    </w:rPr>
  </w:style>
  <w:style w:type="character" w:customStyle="1" w:styleId="EndNoteBibliographyTitleChar">
    <w:name w:val="EndNote Bibliography Title Char"/>
    <w:basedOn w:val="DefaultParagraphFont"/>
    <w:link w:val="EndNoteBibliographyTitle"/>
    <w:rsid w:val="00160B8E"/>
    <w:rPr>
      <w:rFonts w:ascii="Aptos" w:hAnsi="Aptos"/>
      <w:lang w:val="en-US"/>
    </w:rPr>
  </w:style>
  <w:style w:type="paragraph" w:customStyle="1" w:styleId="EndNoteBibliography">
    <w:name w:val="EndNote Bibliography"/>
    <w:basedOn w:val="Normal"/>
    <w:link w:val="EndNoteBibliographyChar"/>
    <w:rsid w:val="00160B8E"/>
    <w:rPr>
      <w:rFonts w:ascii="Aptos" w:eastAsia="宋体" w:hAnsi="Aptos" w:cstheme="minorBidi"/>
      <w:kern w:val="2"/>
      <w:lang w:val="en-US" w:eastAsia="en-US"/>
      <w14:ligatures w14:val="standardContextual"/>
    </w:rPr>
  </w:style>
  <w:style w:type="character" w:customStyle="1" w:styleId="EndNoteBibliographyChar">
    <w:name w:val="EndNote Bibliography Char"/>
    <w:basedOn w:val="DefaultParagraphFont"/>
    <w:link w:val="EndNoteBibliography"/>
    <w:rsid w:val="00160B8E"/>
    <w:rPr>
      <w:rFonts w:ascii="Aptos" w:hAnsi="Aptos"/>
      <w:lang w:val="en-US"/>
    </w:rPr>
  </w:style>
  <w:style w:type="paragraph" w:styleId="Header">
    <w:name w:val="header"/>
    <w:basedOn w:val="Normal"/>
    <w:link w:val="HeaderChar"/>
    <w:uiPriority w:val="99"/>
    <w:unhideWhenUsed/>
    <w:rsid w:val="00E94B00"/>
    <w:pPr>
      <w:tabs>
        <w:tab w:val="center" w:pos="4680"/>
        <w:tab w:val="right" w:pos="9360"/>
      </w:tabs>
    </w:pPr>
    <w:rPr>
      <w:rFonts w:asciiTheme="minorHAnsi" w:eastAsia="宋体" w:hAnsiTheme="minorHAnsi" w:cstheme="minorBidi"/>
      <w:kern w:val="2"/>
      <w:lang w:eastAsia="en-US"/>
      <w14:ligatures w14:val="standardContextual"/>
    </w:rPr>
  </w:style>
  <w:style w:type="character" w:customStyle="1" w:styleId="HeaderChar">
    <w:name w:val="Header Char"/>
    <w:basedOn w:val="DefaultParagraphFont"/>
    <w:link w:val="Header"/>
    <w:uiPriority w:val="99"/>
    <w:rsid w:val="00E94B00"/>
  </w:style>
  <w:style w:type="paragraph" w:styleId="Footer">
    <w:name w:val="footer"/>
    <w:basedOn w:val="Normal"/>
    <w:link w:val="FooterChar"/>
    <w:uiPriority w:val="99"/>
    <w:unhideWhenUsed/>
    <w:rsid w:val="00E94B00"/>
    <w:pPr>
      <w:tabs>
        <w:tab w:val="center" w:pos="4680"/>
        <w:tab w:val="right" w:pos="9360"/>
      </w:tabs>
    </w:pPr>
    <w:rPr>
      <w:rFonts w:asciiTheme="minorHAnsi" w:eastAsia="宋体" w:hAnsiTheme="minorHAnsi" w:cstheme="minorBidi"/>
      <w:kern w:val="2"/>
      <w:lang w:eastAsia="en-US"/>
      <w14:ligatures w14:val="standardContextual"/>
    </w:rPr>
  </w:style>
  <w:style w:type="character" w:customStyle="1" w:styleId="FooterChar">
    <w:name w:val="Footer Char"/>
    <w:basedOn w:val="DefaultParagraphFont"/>
    <w:link w:val="Footer"/>
    <w:uiPriority w:val="99"/>
    <w:rsid w:val="00E94B00"/>
  </w:style>
  <w:style w:type="paragraph" w:styleId="Revision">
    <w:name w:val="Revision"/>
    <w:hidden/>
    <w:uiPriority w:val="99"/>
    <w:semiHidden/>
    <w:rsid w:val="00E94B00"/>
  </w:style>
  <w:style w:type="character" w:styleId="CommentReference">
    <w:name w:val="annotation reference"/>
    <w:basedOn w:val="DefaultParagraphFont"/>
    <w:uiPriority w:val="99"/>
    <w:semiHidden/>
    <w:unhideWhenUsed/>
    <w:rsid w:val="0028261C"/>
    <w:rPr>
      <w:sz w:val="16"/>
      <w:szCs w:val="16"/>
    </w:rPr>
  </w:style>
  <w:style w:type="paragraph" w:styleId="CommentText">
    <w:name w:val="annotation text"/>
    <w:basedOn w:val="Normal"/>
    <w:link w:val="CommentTextChar"/>
    <w:uiPriority w:val="99"/>
    <w:unhideWhenUsed/>
    <w:rsid w:val="0028261C"/>
    <w:rPr>
      <w:rFonts w:asciiTheme="minorHAnsi" w:eastAsia="宋体" w:hAnsiTheme="minorHAnsi" w:cstheme="minorBid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28261C"/>
    <w:rPr>
      <w:sz w:val="20"/>
      <w:szCs w:val="20"/>
    </w:rPr>
  </w:style>
  <w:style w:type="paragraph" w:styleId="CommentSubject">
    <w:name w:val="annotation subject"/>
    <w:basedOn w:val="CommentText"/>
    <w:next w:val="CommentText"/>
    <w:link w:val="CommentSubjectChar"/>
    <w:uiPriority w:val="99"/>
    <w:semiHidden/>
    <w:unhideWhenUsed/>
    <w:rsid w:val="0028261C"/>
    <w:rPr>
      <w:b/>
      <w:bCs/>
    </w:rPr>
  </w:style>
  <w:style w:type="character" w:customStyle="1" w:styleId="CommentSubjectChar">
    <w:name w:val="Comment Subject Char"/>
    <w:basedOn w:val="CommentTextChar"/>
    <w:link w:val="CommentSubject"/>
    <w:uiPriority w:val="99"/>
    <w:semiHidden/>
    <w:rsid w:val="0028261C"/>
    <w:rPr>
      <w:b/>
      <w:bCs/>
      <w:sz w:val="20"/>
      <w:szCs w:val="20"/>
    </w:rPr>
  </w:style>
  <w:style w:type="table" w:styleId="TableGrid">
    <w:name w:val="Table Grid"/>
    <w:basedOn w:val="TableNormal"/>
    <w:uiPriority w:val="39"/>
    <w:rsid w:val="00287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710E8"/>
    <w:pPr>
      <w:spacing w:before="100" w:beforeAutospacing="1" w:after="100" w:afterAutospacing="1"/>
    </w:pPr>
  </w:style>
  <w:style w:type="character" w:styleId="Hyperlink">
    <w:name w:val="Hyperlink"/>
    <w:basedOn w:val="DefaultParagraphFont"/>
    <w:uiPriority w:val="99"/>
    <w:unhideWhenUsed/>
    <w:rsid w:val="0017776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7B1B6-5F3C-614C-A792-C7734F02D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4</Pages>
  <Words>887</Words>
  <Characters>5512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 Mehta</dc:creator>
  <cp:keywords/>
  <dc:description/>
  <cp:lastModifiedBy>Lin Ding</cp:lastModifiedBy>
  <cp:revision>29</cp:revision>
  <dcterms:created xsi:type="dcterms:W3CDTF">2026-01-20T05:27:00Z</dcterms:created>
  <dcterms:modified xsi:type="dcterms:W3CDTF">2026-04-08T04:56:00Z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1a6c3db-1667-4f49-995a-8b9973972958_Enabled">
    <vt:lpwstr>true</vt:lpwstr>
  </property>
  <property fmtid="{D5CDD505-2E9C-101B-9397-08002B2CF9AE}" pid="3" name="MSIP_Label_51a6c3db-1667-4f49-995a-8b9973972958_SetDate">
    <vt:lpwstr>2026-01-20T05:23:41Z</vt:lpwstr>
  </property>
  <property fmtid="{D5CDD505-2E9C-101B-9397-08002B2CF9AE}" pid="4" name="MSIP_Label_51a6c3db-1667-4f49-995a-8b9973972958_Method">
    <vt:lpwstr>Standard</vt:lpwstr>
  </property>
  <property fmtid="{D5CDD505-2E9C-101B-9397-08002B2CF9AE}" pid="5" name="MSIP_Label_51a6c3db-1667-4f49-995a-8b9973972958_Name">
    <vt:lpwstr>UTS-Internal</vt:lpwstr>
  </property>
  <property fmtid="{D5CDD505-2E9C-101B-9397-08002B2CF9AE}" pid="6" name="MSIP_Label_51a6c3db-1667-4f49-995a-8b9973972958_SiteId">
    <vt:lpwstr>e8911c26-cf9f-4a9c-878e-527807be8791</vt:lpwstr>
  </property>
  <property fmtid="{D5CDD505-2E9C-101B-9397-08002B2CF9AE}" pid="7" name="MSIP_Label_51a6c3db-1667-4f49-995a-8b9973972958_ActionId">
    <vt:lpwstr>aafd5c0c-1253-4e6a-bd5a-4332a07b16c1</vt:lpwstr>
  </property>
  <property fmtid="{D5CDD505-2E9C-101B-9397-08002B2CF9AE}" pid="8" name="MSIP_Label_51a6c3db-1667-4f49-995a-8b9973972958_ContentBits">
    <vt:lpwstr>0</vt:lpwstr>
  </property>
  <property fmtid="{D5CDD505-2E9C-101B-9397-08002B2CF9AE}" pid="9" name="MSIP_Label_51a6c3db-1667-4f49-995a-8b9973972958_Tag">
    <vt:lpwstr>10, 3, 0, 1</vt:lpwstr>
  </property>
</Properties>
</file>