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041061" w14:textId="77777777" w:rsidR="00EA37AF" w:rsidRDefault="00EA37AF">
      <w:pPr>
        <w:rPr>
          <w:b/>
          <w:bCs/>
          <w:color w:val="333333"/>
          <w:highlight w:val="white"/>
        </w:rPr>
      </w:pPr>
    </w:p>
    <w:p w14:paraId="2C0555C6" w14:textId="30AF08C3" w:rsidR="008D10D6" w:rsidRDefault="008D10D6">
      <w:pPr>
        <w:rPr>
          <w:color w:val="333333"/>
          <w:highlight w:val="white"/>
        </w:rPr>
      </w:pPr>
      <w:r>
        <w:rPr>
          <w:color w:val="333333"/>
          <w:highlight w:val="white"/>
        </w:rPr>
        <w:t>Supplemental Information</w:t>
      </w:r>
    </w:p>
    <w:p w14:paraId="61158005" w14:textId="72CA7EE0" w:rsidR="00CE0597" w:rsidRDefault="00CE0597">
      <w:pPr>
        <w:rPr>
          <w:color w:val="333333"/>
          <w:highlight w:val="white"/>
        </w:rPr>
      </w:pPr>
      <w:r>
        <w:rPr>
          <w:color w:val="333333"/>
          <w:highlight w:val="white"/>
        </w:rPr>
        <w:t>Supplemental Information: Author Affiliations</w:t>
      </w:r>
      <w:r w:rsidR="00131B43">
        <w:rPr>
          <w:color w:val="333333"/>
          <w:highlight w:val="white"/>
        </w:rPr>
        <w:t xml:space="preserve"> </w:t>
      </w:r>
      <w:r>
        <w:rPr>
          <w:color w:val="333333"/>
          <w:highlight w:val="white"/>
        </w:rPr>
        <w:t>and Acknowledgments</w:t>
      </w:r>
    </w:p>
    <w:p w14:paraId="5AF5479B" w14:textId="45EFE014" w:rsidR="00EA37AF" w:rsidRDefault="00000000">
      <w:pPr>
        <w:rPr>
          <w:color w:val="333333"/>
          <w:highlight w:val="white"/>
        </w:rPr>
      </w:pPr>
      <w:r>
        <w:rPr>
          <w:color w:val="333333"/>
          <w:highlight w:val="white"/>
        </w:rPr>
        <w:t xml:space="preserve">Supplementary Methods 1. Regression Instructions </w:t>
      </w:r>
    </w:p>
    <w:p w14:paraId="161D37B5" w14:textId="78FEA929" w:rsidR="00CE0597" w:rsidRDefault="00000000">
      <w:r>
        <w:rPr>
          <w:color w:val="333333"/>
          <w:highlight w:val="white"/>
        </w:rPr>
        <w:t xml:space="preserve">Supplementary Methods 2. </w:t>
      </w:r>
      <w:r>
        <w:t>Questions included in Global survey.</w:t>
      </w:r>
    </w:p>
    <w:p w14:paraId="4E5BA17D" w14:textId="13515AB8" w:rsidR="00EA37AF" w:rsidRDefault="00DF32BF">
      <w:pPr>
        <w:rPr>
          <w:color w:val="333333"/>
          <w:highlight w:val="white"/>
        </w:rPr>
      </w:pPr>
      <w:r w:rsidRPr="00DF32BF">
        <w:rPr>
          <w:color w:val="333333"/>
          <w:highlight w:val="white"/>
        </w:rPr>
        <w:t>Supplemental Table 1: Summary of Cohort Details</w:t>
      </w:r>
    </w:p>
    <w:p w14:paraId="21C14CDE" w14:textId="6D9AB35F" w:rsidR="009E2D02" w:rsidRPr="00DF32BF" w:rsidRDefault="009E2D02">
      <w:pPr>
        <w:rPr>
          <w:color w:val="333333"/>
          <w:highlight w:val="white"/>
        </w:rPr>
      </w:pPr>
      <w:r>
        <w:rPr>
          <w:color w:val="333333"/>
          <w:highlight w:val="white"/>
        </w:rPr>
        <w:t>Supplemental Table 2: Summary of respondents</w:t>
      </w:r>
    </w:p>
    <w:p w14:paraId="54A6A57E" w14:textId="4DE39410" w:rsidR="00DF32BF" w:rsidRPr="00DF32BF" w:rsidRDefault="00DF32BF">
      <w:pPr>
        <w:rPr>
          <w:color w:val="333333"/>
        </w:rPr>
      </w:pPr>
      <w:r w:rsidRPr="00DF32BF">
        <w:rPr>
          <w:color w:val="333333"/>
          <w:highlight w:val="white"/>
        </w:rPr>
        <w:t xml:space="preserve">Supplemental Table </w:t>
      </w:r>
      <w:r w:rsidR="009E2D02">
        <w:rPr>
          <w:color w:val="333333"/>
          <w:highlight w:val="white"/>
        </w:rPr>
        <w:t>3</w:t>
      </w:r>
      <w:r w:rsidRPr="00DF32BF">
        <w:rPr>
          <w:color w:val="333333"/>
          <w:highlight w:val="white"/>
        </w:rPr>
        <w:t xml:space="preserve">: </w:t>
      </w:r>
      <w:r w:rsidRPr="00DF32BF">
        <w:rPr>
          <w:color w:val="333333"/>
        </w:rPr>
        <w:t>Detailed results, by cohort, of regression analyses of functional outcome</w:t>
      </w:r>
    </w:p>
    <w:p w14:paraId="4A95CD12" w14:textId="490BA5B7" w:rsidR="00DF32BF" w:rsidRPr="00DF32BF" w:rsidRDefault="00DF32BF">
      <w:pPr>
        <w:rPr>
          <w:color w:val="333333"/>
          <w:highlight w:val="white"/>
        </w:rPr>
      </w:pPr>
      <w:r w:rsidRPr="00DF32BF">
        <w:rPr>
          <w:color w:val="333333"/>
        </w:rPr>
        <w:t xml:space="preserve">Supplemental Table </w:t>
      </w:r>
      <w:r w:rsidR="009E2D02">
        <w:rPr>
          <w:color w:val="333333"/>
        </w:rPr>
        <w:t>4</w:t>
      </w:r>
      <w:r w:rsidRPr="00DF32BF">
        <w:rPr>
          <w:color w:val="333333"/>
        </w:rPr>
        <w:t>: Detailed results, by cohort, of regression analyses of functional outcome showing the rank of p-value for each predictor</w:t>
      </w:r>
    </w:p>
    <w:p w14:paraId="2C4F1C71" w14:textId="77777777" w:rsidR="00EA37AF" w:rsidRDefault="00EA37AF">
      <w:pPr>
        <w:rPr>
          <w:b/>
          <w:bCs/>
          <w:color w:val="333333"/>
          <w:highlight w:val="white"/>
        </w:rPr>
        <w:sectPr w:rsidR="00EA37AF">
          <w:headerReference w:type="default" r:id="rId8"/>
          <w:pgSz w:w="11906" w:h="16838"/>
          <w:pgMar w:top="1440" w:right="1440" w:bottom="1440" w:left="1440" w:header="720" w:footer="720" w:gutter="0"/>
          <w:pgNumType w:start="1"/>
          <w:cols w:space="720"/>
        </w:sectPr>
      </w:pPr>
    </w:p>
    <w:p w14:paraId="7202E155" w14:textId="6D7FFE4E" w:rsidR="00EA37AF" w:rsidRDefault="00000000">
      <w:pPr>
        <w:rPr>
          <w:b/>
          <w:bCs/>
          <w:color w:val="333333"/>
          <w:highlight w:val="white"/>
        </w:rPr>
      </w:pPr>
      <w:r>
        <w:rPr>
          <w:color w:val="333333"/>
          <w:highlight w:val="white"/>
        </w:rPr>
        <w:lastRenderedPageBreak/>
        <w:t xml:space="preserve">Supplementary Methods 1. Regression Instructions </w:t>
      </w:r>
    </w:p>
    <w:p w14:paraId="738B6240" w14:textId="77777777" w:rsidR="00EA37AF" w:rsidRDefault="00000000">
      <w:pPr>
        <w:rPr>
          <w:i/>
          <w:iCs/>
          <w:sz w:val="24"/>
          <w:szCs w:val="24"/>
        </w:rPr>
      </w:pPr>
      <w:r>
        <w:rPr>
          <w:b/>
          <w:bCs/>
          <w:i/>
          <w:iCs/>
          <w:sz w:val="24"/>
          <w:szCs w:val="24"/>
        </w:rPr>
        <w:t>Synopsis</w:t>
      </w:r>
      <w:r>
        <w:rPr>
          <w:i/>
          <w:iCs/>
          <w:sz w:val="24"/>
          <w:szCs w:val="24"/>
        </w:rPr>
        <w:t>: Functional impairment is common in BD and is influenced by a number of demographic, clinical, and cognitive features. The goal of this project is to measure the influence of key factors on community function in multiple cohorts of well-characterized BD patients from around the world.</w:t>
      </w:r>
    </w:p>
    <w:p w14:paraId="45453280" w14:textId="77777777" w:rsidR="00EA37AF" w:rsidRDefault="00000000">
      <w:pPr>
        <w:rPr>
          <w:sz w:val="24"/>
          <w:szCs w:val="24"/>
        </w:rPr>
      </w:pPr>
      <w:r>
        <w:rPr>
          <w:sz w:val="24"/>
          <w:szCs w:val="24"/>
        </w:rPr>
        <w:t xml:space="preserve">What sites need to do: </w:t>
      </w:r>
    </w:p>
    <w:p w14:paraId="0AAF3F15" w14:textId="77777777" w:rsidR="00EA37AF" w:rsidRDefault="00000000">
      <w:pPr>
        <w:numPr>
          <w:ilvl w:val="0"/>
          <w:numId w:val="11"/>
        </w:numPr>
        <w:spacing w:after="0" w:line="256" w:lineRule="auto"/>
        <w:rPr>
          <w:b/>
          <w:bCs/>
          <w:color w:val="000000"/>
          <w:sz w:val="24"/>
          <w:szCs w:val="24"/>
        </w:rPr>
      </w:pPr>
      <w:r>
        <w:rPr>
          <w:b/>
          <w:bCs/>
          <w:sz w:val="24"/>
          <w:szCs w:val="24"/>
        </w:rPr>
        <w:t>Define ‘good’ vs ‘bad’ functioning</w:t>
      </w:r>
    </w:p>
    <w:p w14:paraId="0013AF4C" w14:textId="77777777" w:rsidR="00EA37AF" w:rsidRDefault="00000000">
      <w:pPr>
        <w:spacing w:after="0"/>
        <w:ind w:left="720"/>
        <w:rPr>
          <w:sz w:val="24"/>
          <w:szCs w:val="24"/>
        </w:rPr>
      </w:pPr>
      <w:r>
        <w:rPr>
          <w:color w:val="000000"/>
          <w:sz w:val="24"/>
          <w:szCs w:val="24"/>
        </w:rPr>
        <w:t>Identify how you will define good versus bad functioning – this is kept purposefully coarse in its definition</w:t>
      </w:r>
      <w:r>
        <w:rPr>
          <w:sz w:val="24"/>
          <w:szCs w:val="24"/>
        </w:rPr>
        <w:t>.</w:t>
      </w:r>
      <w:r>
        <w:rPr>
          <w:color w:val="000000"/>
          <w:sz w:val="24"/>
          <w:szCs w:val="24"/>
        </w:rPr>
        <w:t xml:space="preserve"> </w:t>
      </w:r>
      <w:r>
        <w:rPr>
          <w:sz w:val="24"/>
          <w:szCs w:val="24"/>
        </w:rPr>
        <w:t>S</w:t>
      </w:r>
      <w:r>
        <w:rPr>
          <w:color w:val="000000"/>
          <w:sz w:val="24"/>
          <w:szCs w:val="24"/>
        </w:rPr>
        <w:t xml:space="preserve">ome projects will have WHODAS/Sheehan/Social Adjustment Scale/FAST etc. Others may only have employed vs unemployed, married vs unmarried or some other indicator. If the site PI feels it can be reliably estimated, use that. </w:t>
      </w:r>
    </w:p>
    <w:p w14:paraId="0E389F99" w14:textId="77777777" w:rsidR="00EA37AF" w:rsidRDefault="00000000">
      <w:pPr>
        <w:spacing w:after="0"/>
        <w:ind w:left="720"/>
        <w:rPr>
          <w:sz w:val="24"/>
          <w:szCs w:val="24"/>
        </w:rPr>
      </w:pPr>
      <w:r>
        <w:rPr>
          <w:sz w:val="24"/>
          <w:szCs w:val="24"/>
          <w:u w:val="single"/>
        </w:rPr>
        <w:t>If your site has more than one functional outcome measure</w:t>
      </w:r>
      <w:r>
        <w:rPr>
          <w:sz w:val="24"/>
          <w:szCs w:val="24"/>
        </w:rPr>
        <w:t xml:space="preserve">, as a general rule of thumb, use the one with: 1) the most complete data, 2) the most detailed assessment (e.g. FAST instead of GAF), and 3) the most overlap with other sites. The below figure </w:t>
      </w:r>
      <w:proofErr w:type="spellStart"/>
      <w:r>
        <w:rPr>
          <w:sz w:val="24"/>
          <w:szCs w:val="24"/>
        </w:rPr>
        <w:t>summarises</w:t>
      </w:r>
      <w:proofErr w:type="spellEnd"/>
      <w:r>
        <w:rPr>
          <w:sz w:val="24"/>
          <w:szCs w:val="24"/>
        </w:rPr>
        <w:t xml:space="preserve"> the most frequent outcome measures, as per the GBC survey responses we received.</w:t>
      </w:r>
    </w:p>
    <w:p w14:paraId="2D4F71C6" w14:textId="77777777" w:rsidR="00EA37AF" w:rsidRDefault="00EA37AF">
      <w:pPr>
        <w:spacing w:after="0"/>
        <w:ind w:left="720"/>
        <w:jc w:val="center"/>
        <w:rPr>
          <w:sz w:val="24"/>
          <w:szCs w:val="24"/>
        </w:rPr>
      </w:pPr>
    </w:p>
    <w:p w14:paraId="5BCC7B1C" w14:textId="77777777" w:rsidR="00EA37AF" w:rsidRDefault="00000000">
      <w:pPr>
        <w:numPr>
          <w:ilvl w:val="1"/>
          <w:numId w:val="11"/>
        </w:numPr>
        <w:spacing w:after="0" w:line="256" w:lineRule="auto"/>
        <w:rPr>
          <w:color w:val="000000"/>
          <w:sz w:val="24"/>
          <w:szCs w:val="24"/>
        </w:rPr>
      </w:pPr>
      <w:r>
        <w:rPr>
          <w:color w:val="000000"/>
          <w:sz w:val="24"/>
          <w:szCs w:val="24"/>
        </w:rPr>
        <w:t xml:space="preserve">Considerations – use z-scores to split sample, or use </w:t>
      </w:r>
      <w:r>
        <w:rPr>
          <w:i/>
          <w:iCs/>
          <w:color w:val="000000"/>
          <w:sz w:val="24"/>
          <w:szCs w:val="24"/>
        </w:rPr>
        <w:t>a priori</w:t>
      </w:r>
      <w:r>
        <w:rPr>
          <w:color w:val="000000"/>
          <w:sz w:val="24"/>
          <w:szCs w:val="24"/>
        </w:rPr>
        <w:t xml:space="preserve"> ‘good’ and ‘bad’ cutoff</w:t>
      </w:r>
      <w:r>
        <w:rPr>
          <w:sz w:val="24"/>
          <w:szCs w:val="24"/>
        </w:rPr>
        <w:t>. Please</w:t>
      </w:r>
      <w:r>
        <w:rPr>
          <w:color w:val="000000"/>
          <w:sz w:val="24"/>
          <w:szCs w:val="24"/>
        </w:rPr>
        <w:t xml:space="preserve"> code </w:t>
      </w:r>
      <w:r>
        <w:rPr>
          <w:sz w:val="24"/>
          <w:szCs w:val="24"/>
        </w:rPr>
        <w:t xml:space="preserve">‘good’ as zero (0), and ‘bad’ as one (1). </w:t>
      </w:r>
    </w:p>
    <w:p w14:paraId="4E9BC217" w14:textId="77777777" w:rsidR="00EA37AF" w:rsidRDefault="00000000">
      <w:pPr>
        <w:numPr>
          <w:ilvl w:val="1"/>
          <w:numId w:val="11"/>
        </w:numPr>
        <w:spacing w:after="0" w:line="256" w:lineRule="auto"/>
        <w:rPr>
          <w:sz w:val="24"/>
          <w:szCs w:val="24"/>
        </w:rPr>
      </w:pPr>
      <w:r>
        <w:rPr>
          <w:sz w:val="24"/>
          <w:szCs w:val="24"/>
        </w:rPr>
        <w:t xml:space="preserve">For married vs unmarried, there is the issue of dealing with widowed status. Please include widowed as missing, or potentially (formerly) married. </w:t>
      </w:r>
    </w:p>
    <w:p w14:paraId="4871D794" w14:textId="77777777" w:rsidR="00EA37AF" w:rsidRDefault="00000000">
      <w:pPr>
        <w:numPr>
          <w:ilvl w:val="1"/>
          <w:numId w:val="11"/>
        </w:numPr>
        <w:spacing w:after="0" w:line="256" w:lineRule="auto"/>
        <w:rPr>
          <w:sz w:val="24"/>
          <w:szCs w:val="24"/>
        </w:rPr>
      </w:pPr>
      <w:r>
        <w:rPr>
          <w:sz w:val="24"/>
          <w:szCs w:val="24"/>
        </w:rPr>
        <w:t xml:space="preserve">For employed vs unemployed, there is the issue of dealing with retired status. How this is dealt with will somewhat depend on the demographics of your sample, and the typical or fixed retirement age in your country.** For example, if BD cases retired “early” they could be considered within the “unemployed” group, whereas BD cases who retired at or after your country-specific retirement age (e.g. 65 years) could be considered within the “employed” group. </w:t>
      </w:r>
    </w:p>
    <w:p w14:paraId="52681FD5" w14:textId="77777777" w:rsidR="00EA37AF" w:rsidRDefault="00000000">
      <w:pPr>
        <w:spacing w:after="0"/>
        <w:ind w:left="1440"/>
        <w:rPr>
          <w:sz w:val="24"/>
          <w:szCs w:val="24"/>
        </w:rPr>
      </w:pPr>
      <w:r>
        <w:rPr>
          <w:sz w:val="24"/>
          <w:szCs w:val="24"/>
        </w:rPr>
        <w:t xml:space="preserve">**For a summary of retirement ages by country/region, please refer to this </w:t>
      </w:r>
      <w:hyperlink r:id="rId9">
        <w:r w:rsidR="00EA37AF">
          <w:rPr>
            <w:color w:val="1155CC"/>
            <w:sz w:val="24"/>
            <w:szCs w:val="24"/>
            <w:u w:val="single"/>
          </w:rPr>
          <w:t>wiki</w:t>
        </w:r>
      </w:hyperlink>
      <w:r>
        <w:rPr>
          <w:sz w:val="24"/>
          <w:szCs w:val="24"/>
        </w:rPr>
        <w:t xml:space="preserve"> (with variably current data for n&gt;100 countries) or this </w:t>
      </w:r>
      <w:hyperlink r:id="rId10">
        <w:r w:rsidR="00EA37AF">
          <w:rPr>
            <w:color w:val="1155CC"/>
            <w:sz w:val="24"/>
            <w:szCs w:val="24"/>
            <w:u w:val="single"/>
          </w:rPr>
          <w:t>link</w:t>
        </w:r>
      </w:hyperlink>
      <w:r>
        <w:rPr>
          <w:sz w:val="24"/>
          <w:szCs w:val="24"/>
        </w:rPr>
        <w:t xml:space="preserve"> (for 2021 data for n=38 countries/regions). </w:t>
      </w:r>
    </w:p>
    <w:p w14:paraId="7F9A0AC3" w14:textId="77777777" w:rsidR="00EA37AF" w:rsidRDefault="00EA37AF">
      <w:pPr>
        <w:spacing w:after="0"/>
        <w:ind w:left="1440"/>
        <w:rPr>
          <w:sz w:val="24"/>
          <w:szCs w:val="24"/>
        </w:rPr>
      </w:pPr>
    </w:p>
    <w:p w14:paraId="539BD99E" w14:textId="77777777" w:rsidR="00EA37AF" w:rsidRDefault="00EA37AF">
      <w:pPr>
        <w:spacing w:after="0"/>
        <w:ind w:left="1440"/>
        <w:rPr>
          <w:sz w:val="24"/>
          <w:szCs w:val="24"/>
        </w:rPr>
      </w:pPr>
    </w:p>
    <w:p w14:paraId="1CF86921" w14:textId="77777777" w:rsidR="00EA37AF" w:rsidRDefault="00EA37AF">
      <w:pPr>
        <w:spacing w:after="0"/>
        <w:ind w:left="1440"/>
        <w:rPr>
          <w:sz w:val="24"/>
          <w:szCs w:val="24"/>
        </w:rPr>
      </w:pPr>
    </w:p>
    <w:p w14:paraId="00E5CB98" w14:textId="77777777" w:rsidR="00EA37AF" w:rsidRDefault="00EA37AF">
      <w:pPr>
        <w:spacing w:after="0"/>
        <w:ind w:left="1440"/>
        <w:rPr>
          <w:sz w:val="24"/>
          <w:szCs w:val="24"/>
        </w:rPr>
      </w:pPr>
    </w:p>
    <w:p w14:paraId="0AC026F7" w14:textId="77777777" w:rsidR="00EA37AF" w:rsidRDefault="00000000">
      <w:pPr>
        <w:numPr>
          <w:ilvl w:val="0"/>
          <w:numId w:val="11"/>
        </w:numPr>
        <w:spacing w:after="0" w:line="256" w:lineRule="auto"/>
        <w:rPr>
          <w:b/>
          <w:bCs/>
          <w:color w:val="000000"/>
          <w:sz w:val="24"/>
          <w:szCs w:val="24"/>
        </w:rPr>
      </w:pPr>
      <w:r>
        <w:rPr>
          <w:b/>
          <w:bCs/>
          <w:sz w:val="24"/>
          <w:szCs w:val="24"/>
        </w:rPr>
        <w:t>Create a sample characteristics summary table</w:t>
      </w:r>
    </w:p>
    <w:p w14:paraId="08A393AC" w14:textId="77777777" w:rsidR="00EA37AF" w:rsidRDefault="00000000">
      <w:pPr>
        <w:ind w:left="720"/>
        <w:rPr>
          <w:color w:val="000000"/>
          <w:sz w:val="24"/>
          <w:szCs w:val="24"/>
        </w:rPr>
      </w:pPr>
      <w:r>
        <w:rPr>
          <w:color w:val="000000"/>
          <w:sz w:val="24"/>
          <w:szCs w:val="24"/>
        </w:rPr>
        <w:t xml:space="preserve">Create a summary table as follows to describe </w:t>
      </w:r>
      <w:r>
        <w:rPr>
          <w:sz w:val="24"/>
          <w:szCs w:val="24"/>
        </w:rPr>
        <w:t xml:space="preserve">the </w:t>
      </w:r>
      <w:r>
        <w:rPr>
          <w:color w:val="000000"/>
          <w:sz w:val="24"/>
          <w:szCs w:val="24"/>
        </w:rPr>
        <w:t xml:space="preserve">cohort that </w:t>
      </w:r>
      <w:r>
        <w:rPr>
          <w:sz w:val="24"/>
          <w:szCs w:val="24"/>
        </w:rPr>
        <w:t>you intend to</w:t>
      </w:r>
      <w:r>
        <w:rPr>
          <w:color w:val="000000"/>
          <w:sz w:val="24"/>
          <w:szCs w:val="24"/>
        </w:rPr>
        <w:t xml:space="preserve"> include in analyses (an excel template is found in SupplementalAppendixTables.xlsx). </w:t>
      </w:r>
    </w:p>
    <w:p w14:paraId="0664E679" w14:textId="77777777" w:rsidR="00EA37AF" w:rsidRDefault="00000000">
      <w:pPr>
        <w:ind w:left="720"/>
        <w:rPr>
          <w:sz w:val="24"/>
          <w:szCs w:val="24"/>
        </w:rPr>
      </w:pPr>
      <w:r>
        <w:rPr>
          <w:sz w:val="24"/>
          <w:szCs w:val="24"/>
        </w:rPr>
        <w:t xml:space="preserve">Once this table is completed for your cohort, please send it to </w:t>
      </w:r>
      <w:hyperlink r:id="rId11">
        <w:r w:rsidR="00EA37AF">
          <w:rPr>
            <w:b/>
            <w:bCs/>
            <w:color w:val="1155CC"/>
            <w:sz w:val="24"/>
            <w:szCs w:val="24"/>
            <w:u w:val="single"/>
          </w:rPr>
          <w:t>j.fullerton@neura.edu.au</w:t>
        </w:r>
      </w:hyperlink>
      <w:r>
        <w:rPr>
          <w:b/>
          <w:bCs/>
          <w:sz w:val="24"/>
          <w:szCs w:val="24"/>
        </w:rPr>
        <w:t xml:space="preserve"> </w:t>
      </w:r>
      <w:r>
        <w:rPr>
          <w:sz w:val="24"/>
          <w:szCs w:val="24"/>
        </w:rPr>
        <w:t xml:space="preserve">and </w:t>
      </w:r>
      <w:hyperlink r:id="rId12">
        <w:r w:rsidR="00EA37AF">
          <w:rPr>
            <w:b/>
            <w:bCs/>
            <w:color w:val="1155CC"/>
            <w:sz w:val="24"/>
            <w:szCs w:val="24"/>
            <w:u w:val="single"/>
          </w:rPr>
          <w:t>gbcasiapacific@gmail.com</w:t>
        </w:r>
      </w:hyperlink>
      <w:r>
        <w:rPr>
          <w:sz w:val="24"/>
          <w:szCs w:val="24"/>
        </w:rPr>
        <w:t xml:space="preserve"> to enable us to assist in the selection of appropriate variables for inclusion in the regression analysis. </w:t>
      </w:r>
    </w:p>
    <w:p w14:paraId="67EA5588" w14:textId="77777777" w:rsidR="00EA37AF" w:rsidRDefault="00EA37AF">
      <w:pPr>
        <w:spacing w:after="0"/>
        <w:rPr>
          <w:sz w:val="24"/>
          <w:szCs w:val="24"/>
        </w:rPr>
      </w:pPr>
    </w:p>
    <w:p w14:paraId="23E032FD" w14:textId="77777777" w:rsidR="00EA37AF" w:rsidRDefault="00000000">
      <w:pPr>
        <w:numPr>
          <w:ilvl w:val="0"/>
          <w:numId w:val="11"/>
        </w:numPr>
        <w:spacing w:after="0" w:line="256" w:lineRule="auto"/>
        <w:rPr>
          <w:b/>
          <w:bCs/>
          <w:color w:val="000000"/>
          <w:sz w:val="24"/>
          <w:szCs w:val="24"/>
        </w:rPr>
      </w:pPr>
      <w:r>
        <w:rPr>
          <w:b/>
          <w:bCs/>
          <w:color w:val="000000"/>
          <w:sz w:val="24"/>
          <w:szCs w:val="24"/>
        </w:rPr>
        <w:t>Conduct a logistic regression to predict good versus bad global functioning</w:t>
      </w:r>
    </w:p>
    <w:p w14:paraId="6B10D758" w14:textId="77777777" w:rsidR="00EA37AF" w:rsidRDefault="00000000">
      <w:pPr>
        <w:ind w:left="720"/>
        <w:rPr>
          <w:sz w:val="24"/>
          <w:szCs w:val="24"/>
        </w:rPr>
      </w:pPr>
      <w:r>
        <w:rPr>
          <w:sz w:val="24"/>
          <w:szCs w:val="24"/>
        </w:rPr>
        <w:t>See detailed instructions for logistic regression on page 4</w:t>
      </w:r>
      <w:r>
        <w:rPr>
          <w:color w:val="000000"/>
          <w:sz w:val="24"/>
          <w:szCs w:val="24"/>
        </w:rPr>
        <w:t xml:space="preserve">. </w:t>
      </w:r>
      <w:r>
        <w:rPr>
          <w:sz w:val="24"/>
          <w:szCs w:val="24"/>
        </w:rPr>
        <w:t>We recommend that you include any LEVEL ONE, LEVEL TWO &amp;/or LEVEL THREE measures that you have at your site (those indicated with * in the table above represent ‘core’ independent variables) and e</w:t>
      </w:r>
      <w:r>
        <w:rPr>
          <w:color w:val="000000"/>
          <w:sz w:val="24"/>
          <w:szCs w:val="24"/>
        </w:rPr>
        <w:t>nter in</w:t>
      </w:r>
      <w:r>
        <w:rPr>
          <w:sz w:val="24"/>
          <w:szCs w:val="24"/>
        </w:rPr>
        <w:t xml:space="preserve"> </w:t>
      </w:r>
      <w:r>
        <w:rPr>
          <w:color w:val="000000"/>
          <w:sz w:val="24"/>
          <w:szCs w:val="24"/>
        </w:rPr>
        <w:t xml:space="preserve">the order above. Report all model-level and predictor-level results. </w:t>
      </w:r>
    </w:p>
    <w:p w14:paraId="00223718" w14:textId="77777777" w:rsidR="00EA37AF" w:rsidRDefault="00000000">
      <w:pPr>
        <w:spacing w:after="0"/>
        <w:ind w:left="720"/>
        <w:rPr>
          <w:b/>
          <w:bCs/>
          <w:sz w:val="24"/>
          <w:szCs w:val="24"/>
        </w:rPr>
      </w:pPr>
      <w:r>
        <w:rPr>
          <w:b/>
          <w:bCs/>
          <w:sz w:val="24"/>
          <w:szCs w:val="24"/>
        </w:rPr>
        <w:t>Derive general cognitive ability measure</w:t>
      </w:r>
    </w:p>
    <w:p w14:paraId="3BA84B64" w14:textId="77777777" w:rsidR="00EA37AF" w:rsidRDefault="00000000">
      <w:pPr>
        <w:ind w:left="720"/>
        <w:rPr>
          <w:sz w:val="24"/>
          <w:szCs w:val="24"/>
        </w:rPr>
      </w:pPr>
      <w:r>
        <w:rPr>
          <w:sz w:val="24"/>
          <w:szCs w:val="24"/>
        </w:rPr>
        <w:t>See detailed instructions on page 6. Any site that has cognitive data will derive ‘</w:t>
      </w:r>
      <w:r>
        <w:rPr>
          <w:i/>
          <w:iCs/>
          <w:sz w:val="24"/>
          <w:szCs w:val="24"/>
        </w:rPr>
        <w:t>g</w:t>
      </w:r>
      <w:r>
        <w:rPr>
          <w:sz w:val="24"/>
          <w:szCs w:val="24"/>
        </w:rPr>
        <w:t xml:space="preserve">’ using an unrotated PCA with up to two representative measures per cognitive domain (be aware of power here – 10 subjects per variable included on average). </w:t>
      </w:r>
      <w:r>
        <w:rPr>
          <w:i/>
          <w:iCs/>
          <w:sz w:val="24"/>
          <w:szCs w:val="24"/>
        </w:rPr>
        <w:t>g</w:t>
      </w:r>
      <w:r>
        <w:rPr>
          <w:sz w:val="24"/>
          <w:szCs w:val="24"/>
        </w:rPr>
        <w:t xml:space="preserve"> can be reliably derived with only 3 measures provided that they measure different domains. If you have a global measure only (e.g. IQ) – this can be substituted but not ideal. Do not include premorbid estimates of IQ when calculating </w:t>
      </w:r>
      <w:r>
        <w:rPr>
          <w:i/>
          <w:iCs/>
          <w:sz w:val="24"/>
          <w:szCs w:val="24"/>
        </w:rPr>
        <w:t>g</w:t>
      </w:r>
      <w:r>
        <w:rPr>
          <w:sz w:val="24"/>
          <w:szCs w:val="24"/>
        </w:rPr>
        <w:t>.</w:t>
      </w:r>
    </w:p>
    <w:p w14:paraId="42611398" w14:textId="77777777" w:rsidR="00EA37AF" w:rsidRDefault="00000000">
      <w:pPr>
        <w:spacing w:after="0"/>
        <w:ind w:left="720"/>
        <w:rPr>
          <w:sz w:val="24"/>
          <w:szCs w:val="24"/>
        </w:rPr>
      </w:pPr>
      <w:r>
        <w:rPr>
          <w:i/>
          <w:iCs/>
          <w:sz w:val="24"/>
          <w:szCs w:val="24"/>
        </w:rPr>
        <w:t xml:space="preserve">g </w:t>
      </w:r>
      <w:r>
        <w:rPr>
          <w:sz w:val="24"/>
          <w:szCs w:val="24"/>
        </w:rPr>
        <w:t>will be included for any site that has it, as will premorbid IQ – it is NOT necessary to have cognitive data to do this project – anyone without these LEVEL THREE measures will report only on the demographic and ‘illness features’ above.</w:t>
      </w:r>
    </w:p>
    <w:p w14:paraId="21399566" w14:textId="77777777" w:rsidR="00EA37AF" w:rsidRDefault="00EA37AF">
      <w:pPr>
        <w:ind w:left="360"/>
        <w:rPr>
          <w:sz w:val="24"/>
          <w:szCs w:val="24"/>
        </w:rPr>
      </w:pPr>
    </w:p>
    <w:p w14:paraId="3925221A" w14:textId="77777777" w:rsidR="00EA37AF" w:rsidRDefault="00000000">
      <w:pPr>
        <w:ind w:left="360"/>
        <w:rPr>
          <w:sz w:val="24"/>
          <w:szCs w:val="24"/>
        </w:rPr>
      </w:pPr>
      <w:r>
        <w:rPr>
          <w:sz w:val="24"/>
          <w:szCs w:val="24"/>
        </w:rPr>
        <w:t xml:space="preserve">The results will not be </w:t>
      </w:r>
      <w:r>
        <w:rPr>
          <w:i/>
          <w:iCs/>
          <w:sz w:val="24"/>
          <w:szCs w:val="24"/>
        </w:rPr>
        <w:t>directly</w:t>
      </w:r>
      <w:r>
        <w:rPr>
          <w:sz w:val="24"/>
          <w:szCs w:val="24"/>
        </w:rPr>
        <w:t xml:space="preserve"> combined – so it is ok to have different predictors/definitions of outcome etc. We will report the consistencies across samples and where differences exist by cohort. </w:t>
      </w:r>
    </w:p>
    <w:p w14:paraId="609A1430" w14:textId="77777777" w:rsidR="00EA37AF" w:rsidRDefault="00000000">
      <w:pPr>
        <w:ind w:left="360"/>
        <w:rPr>
          <w:b/>
          <w:bCs/>
          <w:sz w:val="24"/>
          <w:szCs w:val="24"/>
          <w:u w:val="single"/>
        </w:rPr>
        <w:sectPr w:rsidR="00EA37AF">
          <w:headerReference w:type="default" r:id="rId13"/>
          <w:pgSz w:w="11906" w:h="16838"/>
          <w:pgMar w:top="1350" w:right="1440" w:bottom="1440" w:left="1440" w:header="720" w:footer="720" w:gutter="0"/>
          <w:pgNumType w:start="1"/>
          <w:cols w:space="720"/>
        </w:sectPr>
      </w:pPr>
      <w:r>
        <w:rPr>
          <w:sz w:val="24"/>
          <w:szCs w:val="24"/>
        </w:rPr>
        <w:t>This will not require meta-analyses, rather it will be a multiple cohort replication and expansion type of approach. We anticipate this will be compelling due to the world-wide collaboration and the (hopefully) consistent findings around some of the factors we look at. Of course, the data will drive this, so we shall see…</w:t>
      </w:r>
    </w:p>
    <w:p w14:paraId="12055FFD" w14:textId="77777777" w:rsidR="00EA37AF" w:rsidRDefault="00000000">
      <w:pPr>
        <w:rPr>
          <w:b/>
          <w:bCs/>
          <w:sz w:val="24"/>
          <w:szCs w:val="24"/>
          <w:u w:val="single"/>
        </w:rPr>
      </w:pPr>
      <w:r>
        <w:rPr>
          <w:b/>
          <w:bCs/>
          <w:sz w:val="24"/>
          <w:szCs w:val="24"/>
          <w:u w:val="single"/>
        </w:rPr>
        <w:lastRenderedPageBreak/>
        <w:t>Detailed instructions for analysis – Functional Outcomes Project</w:t>
      </w:r>
    </w:p>
    <w:p w14:paraId="73402B9F" w14:textId="77777777" w:rsidR="00EA37AF" w:rsidRDefault="00000000">
      <w:pPr>
        <w:rPr>
          <w:b/>
          <w:bCs/>
          <w:sz w:val="24"/>
          <w:szCs w:val="24"/>
        </w:rPr>
      </w:pPr>
      <w:r>
        <w:rPr>
          <w:b/>
          <w:bCs/>
          <w:sz w:val="24"/>
          <w:szCs w:val="24"/>
        </w:rPr>
        <w:t xml:space="preserve">Step 1. In preparation for your logistic regression, please </w:t>
      </w:r>
    </w:p>
    <w:p w14:paraId="7FD6743C" w14:textId="77777777" w:rsidR="00EA37AF" w:rsidRDefault="00000000">
      <w:pPr>
        <w:numPr>
          <w:ilvl w:val="0"/>
          <w:numId w:val="12"/>
        </w:numPr>
        <w:spacing w:after="0" w:line="256" w:lineRule="auto"/>
        <w:rPr>
          <w:color w:val="000000"/>
          <w:sz w:val="24"/>
          <w:szCs w:val="24"/>
        </w:rPr>
      </w:pPr>
      <w:r>
        <w:rPr>
          <w:color w:val="000000"/>
          <w:sz w:val="24"/>
          <w:szCs w:val="24"/>
        </w:rPr>
        <w:t>Code dichotomous variables as 0 or 1 (yes)</w:t>
      </w:r>
      <w:r>
        <w:rPr>
          <w:sz w:val="24"/>
          <w:szCs w:val="24"/>
        </w:rPr>
        <w:t xml:space="preserve"> </w:t>
      </w:r>
      <w:r>
        <w:rPr>
          <w:color w:val="000000"/>
          <w:sz w:val="24"/>
          <w:szCs w:val="24"/>
        </w:rPr>
        <w:t>t</w:t>
      </w:r>
      <w:r>
        <w:rPr>
          <w:sz w:val="24"/>
          <w:szCs w:val="24"/>
        </w:rPr>
        <w:t xml:space="preserve">o </w:t>
      </w:r>
      <w:r>
        <w:rPr>
          <w:color w:val="000000"/>
          <w:sz w:val="24"/>
          <w:szCs w:val="24"/>
        </w:rPr>
        <w:t>allow for uniform interpretation of results.</w:t>
      </w:r>
    </w:p>
    <w:p w14:paraId="61361D34" w14:textId="77777777" w:rsidR="00EA37AF" w:rsidRDefault="00000000">
      <w:pPr>
        <w:numPr>
          <w:ilvl w:val="0"/>
          <w:numId w:val="12"/>
        </w:numPr>
        <w:spacing w:after="0" w:line="256" w:lineRule="auto"/>
        <w:rPr>
          <w:color w:val="000000"/>
          <w:sz w:val="24"/>
          <w:szCs w:val="24"/>
        </w:rPr>
      </w:pPr>
      <w:r>
        <w:rPr>
          <w:color w:val="000000"/>
          <w:sz w:val="24"/>
          <w:szCs w:val="24"/>
        </w:rPr>
        <w:t>Label your variables in a human readable, clear, interpretable way</w:t>
      </w:r>
      <w:r>
        <w:rPr>
          <w:sz w:val="24"/>
          <w:szCs w:val="24"/>
        </w:rPr>
        <w:t xml:space="preserve">, and </w:t>
      </w:r>
      <w:r>
        <w:rPr>
          <w:color w:val="000000"/>
          <w:sz w:val="24"/>
          <w:szCs w:val="24"/>
        </w:rPr>
        <w:t xml:space="preserve">in English.   </w:t>
      </w:r>
    </w:p>
    <w:p w14:paraId="740B3405" w14:textId="77777777" w:rsidR="00EA37AF" w:rsidRDefault="00000000">
      <w:pPr>
        <w:numPr>
          <w:ilvl w:val="0"/>
          <w:numId w:val="12"/>
        </w:numPr>
        <w:spacing w:after="0" w:line="256" w:lineRule="auto"/>
        <w:rPr>
          <w:color w:val="000000"/>
          <w:sz w:val="24"/>
          <w:szCs w:val="24"/>
        </w:rPr>
      </w:pPr>
      <w:r>
        <w:rPr>
          <w:color w:val="000000"/>
          <w:sz w:val="24"/>
          <w:szCs w:val="24"/>
        </w:rPr>
        <w:t>If possible, include a data dictionary with your results file.</w:t>
      </w:r>
    </w:p>
    <w:p w14:paraId="6CD7A5BD" w14:textId="77777777" w:rsidR="00EA37AF" w:rsidRDefault="00000000">
      <w:pPr>
        <w:numPr>
          <w:ilvl w:val="0"/>
          <w:numId w:val="12"/>
        </w:numPr>
        <w:spacing w:after="0" w:line="256" w:lineRule="auto"/>
        <w:rPr>
          <w:color w:val="000000"/>
          <w:sz w:val="24"/>
          <w:szCs w:val="24"/>
        </w:rPr>
      </w:pPr>
      <w:r>
        <w:rPr>
          <w:color w:val="000000"/>
          <w:sz w:val="24"/>
          <w:szCs w:val="24"/>
        </w:rPr>
        <w:t>Please include a description for how you dichotomized your functional outcome measure.</w:t>
      </w:r>
    </w:p>
    <w:p w14:paraId="27FE4284" w14:textId="77777777" w:rsidR="00EA37AF" w:rsidRDefault="00000000">
      <w:pPr>
        <w:numPr>
          <w:ilvl w:val="0"/>
          <w:numId w:val="12"/>
        </w:numPr>
        <w:spacing w:line="256" w:lineRule="auto"/>
        <w:rPr>
          <w:color w:val="000000"/>
          <w:sz w:val="24"/>
          <w:szCs w:val="24"/>
        </w:rPr>
      </w:pPr>
      <w:r>
        <w:rPr>
          <w:color w:val="000000"/>
          <w:sz w:val="24"/>
          <w:szCs w:val="24"/>
        </w:rPr>
        <w:t xml:space="preserve">If you are including cognitive data, derive </w:t>
      </w:r>
      <w:r>
        <w:rPr>
          <w:i/>
          <w:iCs/>
          <w:color w:val="000000"/>
          <w:sz w:val="24"/>
          <w:szCs w:val="24"/>
        </w:rPr>
        <w:t xml:space="preserve">g, </w:t>
      </w:r>
      <w:r>
        <w:rPr>
          <w:color w:val="000000"/>
          <w:sz w:val="24"/>
          <w:szCs w:val="24"/>
        </w:rPr>
        <w:t xml:space="preserve">as instructed on page </w:t>
      </w:r>
      <w:r>
        <w:rPr>
          <w:sz w:val="24"/>
          <w:szCs w:val="24"/>
        </w:rPr>
        <w:t>6</w:t>
      </w:r>
      <w:r>
        <w:rPr>
          <w:color w:val="000000"/>
          <w:sz w:val="24"/>
          <w:szCs w:val="24"/>
        </w:rPr>
        <w:t xml:space="preserve"> below.</w:t>
      </w:r>
    </w:p>
    <w:p w14:paraId="604A895C" w14:textId="77777777" w:rsidR="00EA37AF" w:rsidRDefault="00000000">
      <w:pPr>
        <w:spacing w:line="240" w:lineRule="auto"/>
        <w:rPr>
          <w:b/>
          <w:bCs/>
          <w:sz w:val="24"/>
          <w:szCs w:val="24"/>
        </w:rPr>
      </w:pPr>
      <w:r>
        <w:rPr>
          <w:b/>
          <w:bCs/>
          <w:sz w:val="24"/>
          <w:szCs w:val="24"/>
        </w:rPr>
        <w:t>Step 2. Regression</w:t>
      </w:r>
    </w:p>
    <w:p w14:paraId="26846C3C" w14:textId="77777777" w:rsidR="00EA37AF" w:rsidRDefault="00000000">
      <w:pPr>
        <w:spacing w:line="240" w:lineRule="auto"/>
        <w:rPr>
          <w:sz w:val="24"/>
          <w:szCs w:val="24"/>
        </w:rPr>
      </w:pPr>
      <w:r>
        <w:rPr>
          <w:sz w:val="24"/>
          <w:szCs w:val="24"/>
        </w:rPr>
        <w:t>In whatever statistical program you are most comfortable, run a</w:t>
      </w:r>
      <w:r>
        <w:rPr>
          <w:b/>
          <w:bCs/>
          <w:sz w:val="24"/>
          <w:szCs w:val="24"/>
        </w:rPr>
        <w:t xml:space="preserve"> logistic regression using the “enter” method</w:t>
      </w:r>
      <w:r>
        <w:rPr>
          <w:sz w:val="24"/>
          <w:szCs w:val="24"/>
        </w:rPr>
        <w:t xml:space="preserve"> (please do not specify order or perform stepwise removal of variables).  Be aware of power and the variability of your measures – 10 subjects per variable included on average. So if your sample size is 100, include a maximum of 10 independent variables. </w:t>
      </w:r>
    </w:p>
    <w:p w14:paraId="4138FD28" w14:textId="77777777" w:rsidR="00EA37AF" w:rsidRDefault="00000000">
      <w:pPr>
        <w:spacing w:line="240" w:lineRule="auto"/>
        <w:rPr>
          <w:sz w:val="24"/>
          <w:szCs w:val="24"/>
        </w:rPr>
      </w:pPr>
      <w:r>
        <w:rPr>
          <w:sz w:val="24"/>
          <w:szCs w:val="24"/>
        </w:rPr>
        <w:t xml:space="preserve">The </w:t>
      </w:r>
      <w:r>
        <w:rPr>
          <w:sz w:val="24"/>
          <w:szCs w:val="24"/>
          <w:u w:val="single"/>
        </w:rPr>
        <w:t>dependent variable</w:t>
      </w:r>
      <w:r>
        <w:rPr>
          <w:sz w:val="24"/>
          <w:szCs w:val="24"/>
        </w:rPr>
        <w:t xml:space="preserve"> will be the functional outcome measure/s that you have for your cohort [e.g. Functioning Assessment Short Test (FAST), World Health </w:t>
      </w:r>
      <w:proofErr w:type="spellStart"/>
      <w:r>
        <w:rPr>
          <w:sz w:val="24"/>
          <w:szCs w:val="24"/>
        </w:rPr>
        <w:t>Organisation</w:t>
      </w:r>
      <w:proofErr w:type="spellEnd"/>
      <w:r>
        <w:rPr>
          <w:sz w:val="24"/>
          <w:szCs w:val="24"/>
        </w:rPr>
        <w:t xml:space="preserve"> Disability Assessment Scale (WHODAS), Sheehan Disability Scale (SDS), Social Adjustment Scale (SAS), Global Assessment of Functioning (GAF), employment status, marital status]. </w:t>
      </w:r>
    </w:p>
    <w:p w14:paraId="4254CCAF" w14:textId="77777777" w:rsidR="00EA37AF" w:rsidRDefault="00000000">
      <w:pPr>
        <w:spacing w:line="240" w:lineRule="auto"/>
        <w:rPr>
          <w:sz w:val="24"/>
          <w:szCs w:val="24"/>
        </w:rPr>
      </w:pPr>
      <w:r>
        <w:rPr>
          <w:sz w:val="24"/>
          <w:szCs w:val="24"/>
        </w:rPr>
        <w:t xml:space="preserve">The </w:t>
      </w:r>
      <w:r>
        <w:rPr>
          <w:sz w:val="24"/>
          <w:szCs w:val="24"/>
          <w:u w:val="single"/>
        </w:rPr>
        <w:t>independent variables</w:t>
      </w:r>
      <w:r>
        <w:rPr>
          <w:sz w:val="24"/>
          <w:szCs w:val="24"/>
        </w:rPr>
        <w:t xml:space="preserve">** will be specific to those available at your site and may include: age, sex, race, education, BD subtype, psychosis </w:t>
      </w:r>
      <w:proofErr w:type="spellStart"/>
      <w:r>
        <w:rPr>
          <w:sz w:val="24"/>
          <w:szCs w:val="24"/>
        </w:rPr>
        <w:t>hx</w:t>
      </w:r>
      <w:proofErr w:type="spellEnd"/>
      <w:r>
        <w:rPr>
          <w:sz w:val="24"/>
          <w:szCs w:val="24"/>
        </w:rPr>
        <w:t>, current depression, current mania, # prior manias, # prior depressions, age onset depression, age onset mania, comorbid substance use disorder (SUD), comorbid anxiety, general cognitive ability (</w:t>
      </w:r>
      <w:r>
        <w:rPr>
          <w:i/>
          <w:iCs/>
          <w:sz w:val="24"/>
          <w:szCs w:val="24"/>
        </w:rPr>
        <w:t>g</w:t>
      </w:r>
      <w:r>
        <w:rPr>
          <w:sz w:val="24"/>
          <w:szCs w:val="24"/>
        </w:rPr>
        <w:t xml:space="preserve">), premorbid IQ, medication (by class), total medication load. Please include all available LEVEL ONE measures, and LEVEL TWO and/or LEVEL THREE measures as appropriate to availability, reliability and your sample size. </w:t>
      </w:r>
    </w:p>
    <w:p w14:paraId="4A3D37A8" w14:textId="77777777" w:rsidR="00EA37AF" w:rsidRDefault="00000000">
      <w:pPr>
        <w:spacing w:after="0" w:line="240" w:lineRule="auto"/>
        <w:rPr>
          <w:sz w:val="24"/>
          <w:szCs w:val="24"/>
          <w:u w:val="single"/>
        </w:rPr>
      </w:pPr>
      <w:r>
        <w:rPr>
          <w:sz w:val="24"/>
          <w:szCs w:val="24"/>
          <w:u w:val="single"/>
        </w:rPr>
        <w:t>Medication classes (6) include:</w:t>
      </w:r>
    </w:p>
    <w:p w14:paraId="298CF8F5" w14:textId="77777777" w:rsidR="00EA37AF" w:rsidRDefault="00000000">
      <w:pPr>
        <w:numPr>
          <w:ilvl w:val="0"/>
          <w:numId w:val="13"/>
        </w:numPr>
        <w:spacing w:after="0" w:line="240" w:lineRule="auto"/>
        <w:ind w:left="426"/>
        <w:rPr>
          <w:color w:val="000000"/>
          <w:sz w:val="24"/>
          <w:szCs w:val="24"/>
        </w:rPr>
      </w:pPr>
      <w:r>
        <w:rPr>
          <w:color w:val="000000"/>
          <w:sz w:val="24"/>
          <w:szCs w:val="24"/>
        </w:rPr>
        <w:t>None</w:t>
      </w:r>
    </w:p>
    <w:p w14:paraId="20378913" w14:textId="77777777" w:rsidR="00EA37AF" w:rsidRDefault="00000000">
      <w:pPr>
        <w:numPr>
          <w:ilvl w:val="0"/>
          <w:numId w:val="13"/>
        </w:numPr>
        <w:spacing w:after="0" w:line="240" w:lineRule="auto"/>
        <w:ind w:left="426"/>
        <w:rPr>
          <w:color w:val="000000"/>
          <w:sz w:val="24"/>
          <w:szCs w:val="24"/>
        </w:rPr>
      </w:pPr>
      <w:r>
        <w:rPr>
          <w:color w:val="000000"/>
          <w:sz w:val="24"/>
          <w:szCs w:val="24"/>
        </w:rPr>
        <w:t>Lithium</w:t>
      </w:r>
    </w:p>
    <w:p w14:paraId="0D926EFA" w14:textId="77777777" w:rsidR="00EA37AF" w:rsidRDefault="00000000">
      <w:pPr>
        <w:numPr>
          <w:ilvl w:val="0"/>
          <w:numId w:val="13"/>
        </w:numPr>
        <w:spacing w:after="0" w:line="240" w:lineRule="auto"/>
        <w:ind w:left="426"/>
        <w:rPr>
          <w:color w:val="000000"/>
          <w:sz w:val="24"/>
          <w:szCs w:val="24"/>
        </w:rPr>
      </w:pPr>
      <w:r>
        <w:rPr>
          <w:color w:val="000000"/>
          <w:sz w:val="24"/>
          <w:szCs w:val="24"/>
        </w:rPr>
        <w:t>Anti-</w:t>
      </w:r>
      <w:proofErr w:type="spellStart"/>
      <w:r>
        <w:rPr>
          <w:color w:val="000000"/>
          <w:sz w:val="24"/>
          <w:szCs w:val="24"/>
        </w:rPr>
        <w:t>convulsants</w:t>
      </w:r>
      <w:proofErr w:type="spellEnd"/>
      <w:r>
        <w:rPr>
          <w:color w:val="000000"/>
          <w:sz w:val="24"/>
          <w:szCs w:val="24"/>
        </w:rPr>
        <w:t xml:space="preserve"> (e.g. valproic acid; carbamazepine; lamotrigine)</w:t>
      </w:r>
    </w:p>
    <w:p w14:paraId="45B834D4" w14:textId="77777777" w:rsidR="00EA37AF" w:rsidRDefault="00000000">
      <w:pPr>
        <w:numPr>
          <w:ilvl w:val="0"/>
          <w:numId w:val="13"/>
        </w:numPr>
        <w:spacing w:after="0" w:line="240" w:lineRule="auto"/>
        <w:ind w:left="426"/>
        <w:rPr>
          <w:color w:val="000000"/>
          <w:sz w:val="24"/>
          <w:szCs w:val="24"/>
        </w:rPr>
      </w:pPr>
      <w:r>
        <w:rPr>
          <w:color w:val="000000"/>
          <w:sz w:val="24"/>
          <w:szCs w:val="24"/>
        </w:rPr>
        <w:t xml:space="preserve">Anti-depressants (e.g. SSRIs; SNRIs; atypical </w:t>
      </w:r>
      <w:proofErr w:type="spellStart"/>
      <w:r>
        <w:rPr>
          <w:color w:val="000000"/>
          <w:sz w:val="24"/>
          <w:szCs w:val="24"/>
        </w:rPr>
        <w:t>antiDs</w:t>
      </w:r>
      <w:proofErr w:type="spellEnd"/>
      <w:r>
        <w:rPr>
          <w:color w:val="000000"/>
          <w:sz w:val="24"/>
          <w:szCs w:val="24"/>
        </w:rPr>
        <w:t xml:space="preserve">; tricyclic </w:t>
      </w:r>
      <w:proofErr w:type="spellStart"/>
      <w:r>
        <w:rPr>
          <w:color w:val="000000"/>
          <w:sz w:val="24"/>
          <w:szCs w:val="24"/>
        </w:rPr>
        <w:t>antiDs</w:t>
      </w:r>
      <w:proofErr w:type="spellEnd"/>
      <w:r>
        <w:rPr>
          <w:color w:val="000000"/>
          <w:sz w:val="24"/>
          <w:szCs w:val="24"/>
        </w:rPr>
        <w:t>; MAOIs)</w:t>
      </w:r>
    </w:p>
    <w:p w14:paraId="46CF71D9" w14:textId="77777777" w:rsidR="00EA37AF" w:rsidRDefault="00000000">
      <w:pPr>
        <w:numPr>
          <w:ilvl w:val="0"/>
          <w:numId w:val="13"/>
        </w:numPr>
        <w:spacing w:after="0" w:line="240" w:lineRule="auto"/>
        <w:ind w:left="426"/>
        <w:rPr>
          <w:color w:val="000000"/>
          <w:sz w:val="24"/>
          <w:szCs w:val="24"/>
        </w:rPr>
      </w:pPr>
      <w:r>
        <w:rPr>
          <w:color w:val="000000"/>
          <w:sz w:val="24"/>
          <w:szCs w:val="24"/>
        </w:rPr>
        <w:t>Anti-psychotics (e.g. aripiprazole; clozapine; olanzapine; quetiapine; risperidone)</w:t>
      </w:r>
    </w:p>
    <w:p w14:paraId="1F4F5A97" w14:textId="77777777" w:rsidR="00EA37AF" w:rsidRDefault="00000000">
      <w:pPr>
        <w:numPr>
          <w:ilvl w:val="0"/>
          <w:numId w:val="13"/>
        </w:numPr>
        <w:spacing w:after="0" w:line="240" w:lineRule="auto"/>
        <w:ind w:left="426"/>
        <w:rPr>
          <w:color w:val="000000"/>
          <w:sz w:val="24"/>
          <w:szCs w:val="24"/>
        </w:rPr>
      </w:pPr>
      <w:r>
        <w:rPr>
          <w:color w:val="000000"/>
          <w:sz w:val="24"/>
          <w:szCs w:val="24"/>
        </w:rPr>
        <w:t>Polypharmacy (i.e. two or mo</w:t>
      </w:r>
      <w:r>
        <w:rPr>
          <w:sz w:val="24"/>
          <w:szCs w:val="24"/>
        </w:rPr>
        <w:t>re of the above medication classes, of the same or different kind; e.g. two</w:t>
      </w:r>
      <w:r>
        <w:rPr>
          <w:color w:val="000000"/>
          <w:sz w:val="24"/>
          <w:szCs w:val="24"/>
        </w:rPr>
        <w:t xml:space="preserve"> antipsychotics; or </w:t>
      </w:r>
      <w:proofErr w:type="spellStart"/>
      <w:r>
        <w:rPr>
          <w:color w:val="000000"/>
          <w:sz w:val="24"/>
          <w:szCs w:val="24"/>
        </w:rPr>
        <w:t>antipsychotic+convulsant</w:t>
      </w:r>
      <w:proofErr w:type="spellEnd"/>
      <w:r>
        <w:rPr>
          <w:color w:val="000000"/>
          <w:sz w:val="24"/>
          <w:szCs w:val="24"/>
        </w:rPr>
        <w:t>)</w:t>
      </w:r>
    </w:p>
    <w:p w14:paraId="425314A5" w14:textId="77777777" w:rsidR="00EA37AF" w:rsidRDefault="00EA37AF">
      <w:pPr>
        <w:spacing w:after="0" w:line="240" w:lineRule="auto"/>
        <w:rPr>
          <w:sz w:val="24"/>
          <w:szCs w:val="24"/>
        </w:rPr>
      </w:pPr>
    </w:p>
    <w:p w14:paraId="084BC3DA" w14:textId="77777777" w:rsidR="00EA37AF" w:rsidRDefault="00000000">
      <w:pPr>
        <w:spacing w:after="0" w:line="240" w:lineRule="auto"/>
        <w:rPr>
          <w:sz w:val="24"/>
          <w:szCs w:val="24"/>
        </w:rPr>
      </w:pPr>
      <w:r>
        <w:rPr>
          <w:sz w:val="24"/>
          <w:szCs w:val="24"/>
        </w:rPr>
        <w:t>A list of medicines is available on the “</w:t>
      </w:r>
      <w:proofErr w:type="spellStart"/>
      <w:r>
        <w:rPr>
          <w:sz w:val="24"/>
          <w:szCs w:val="24"/>
        </w:rPr>
        <w:t>MedicationClasses</w:t>
      </w:r>
      <w:proofErr w:type="spellEnd"/>
      <w:r>
        <w:rPr>
          <w:sz w:val="24"/>
          <w:szCs w:val="24"/>
        </w:rPr>
        <w:t xml:space="preserve">” tab of the SupplementalAppendixTables.xlsx. </w:t>
      </w:r>
    </w:p>
    <w:p w14:paraId="5DA547BA" w14:textId="77777777" w:rsidR="00EA37AF" w:rsidRDefault="00EA37AF">
      <w:pPr>
        <w:jc w:val="both"/>
        <w:rPr>
          <w:b/>
          <w:bCs/>
        </w:rPr>
      </w:pPr>
    </w:p>
    <w:p w14:paraId="28BD99FE" w14:textId="77777777" w:rsidR="00EA37AF" w:rsidRDefault="00000000">
      <w:pPr>
        <w:jc w:val="both"/>
        <w:rPr>
          <w:b/>
          <w:bCs/>
        </w:rPr>
      </w:pPr>
      <w:r>
        <w:rPr>
          <w:b/>
          <w:bCs/>
        </w:rPr>
        <w:t>**Note – in samples with limited n, we can consider calculating a single measure of ‘illness burden’ which might simultaneously account for duration of illness and # episodes (calculated by average episodes per year of illness).</w:t>
      </w:r>
    </w:p>
    <w:p w14:paraId="0CC95C93" w14:textId="77777777" w:rsidR="00EA37AF" w:rsidRDefault="00000000">
      <w:pPr>
        <w:rPr>
          <w:i/>
          <w:iCs/>
          <w:sz w:val="24"/>
          <w:szCs w:val="24"/>
        </w:rPr>
      </w:pPr>
      <w:r>
        <w:rPr>
          <w:i/>
          <w:iCs/>
          <w:sz w:val="24"/>
          <w:szCs w:val="24"/>
        </w:rPr>
        <w:t>Contact Jan Fullerton and the GBC team (</w:t>
      </w:r>
      <w:hyperlink r:id="rId14">
        <w:r w:rsidR="00EA37AF">
          <w:rPr>
            <w:i/>
            <w:iCs/>
            <w:color w:val="0563C1"/>
            <w:sz w:val="24"/>
            <w:szCs w:val="24"/>
            <w:u w:val="single"/>
          </w:rPr>
          <w:t>j.fullerton@neura.edu.au</w:t>
        </w:r>
      </w:hyperlink>
      <w:r>
        <w:rPr>
          <w:i/>
          <w:iCs/>
          <w:sz w:val="24"/>
          <w:szCs w:val="24"/>
        </w:rPr>
        <w:t xml:space="preserve">; </w:t>
      </w:r>
      <w:hyperlink r:id="rId15">
        <w:r w:rsidR="00EA37AF">
          <w:rPr>
            <w:i/>
            <w:iCs/>
            <w:color w:val="1155CC"/>
            <w:sz w:val="24"/>
            <w:szCs w:val="24"/>
            <w:u w:val="single"/>
          </w:rPr>
          <w:t>gbcasiapacific@gmail.com</w:t>
        </w:r>
      </w:hyperlink>
      <w:r>
        <w:rPr>
          <w:i/>
          <w:iCs/>
          <w:sz w:val="24"/>
          <w:szCs w:val="24"/>
        </w:rPr>
        <w:t>) if you have any questions/concerns.</w:t>
      </w:r>
    </w:p>
    <w:p w14:paraId="23F128D4" w14:textId="77777777" w:rsidR="00EA37AF" w:rsidRDefault="00000000">
      <w:pPr>
        <w:rPr>
          <w:sz w:val="24"/>
          <w:szCs w:val="24"/>
        </w:rPr>
      </w:pPr>
      <w:r>
        <w:rPr>
          <w:b/>
          <w:bCs/>
          <w:sz w:val="24"/>
          <w:szCs w:val="24"/>
        </w:rPr>
        <w:t>Step 3.</w:t>
      </w:r>
      <w:r>
        <w:rPr>
          <w:sz w:val="24"/>
          <w:szCs w:val="24"/>
        </w:rPr>
        <w:t xml:space="preserve"> </w:t>
      </w:r>
      <w:r>
        <w:rPr>
          <w:b/>
          <w:bCs/>
          <w:sz w:val="24"/>
          <w:szCs w:val="24"/>
        </w:rPr>
        <w:t>Results</w:t>
      </w:r>
    </w:p>
    <w:p w14:paraId="75B8140B" w14:textId="77777777" w:rsidR="00EA37AF" w:rsidRDefault="00000000">
      <w:pPr>
        <w:rPr>
          <w:sz w:val="24"/>
          <w:szCs w:val="24"/>
        </w:rPr>
      </w:pPr>
      <w:r>
        <w:rPr>
          <w:sz w:val="24"/>
          <w:szCs w:val="24"/>
        </w:rPr>
        <w:lastRenderedPageBreak/>
        <w:t xml:space="preserve">Once complete, please </w:t>
      </w:r>
      <w:r>
        <w:rPr>
          <w:b/>
          <w:bCs/>
          <w:sz w:val="24"/>
          <w:szCs w:val="24"/>
        </w:rPr>
        <w:t>save output files as a PDF</w:t>
      </w:r>
      <w:r>
        <w:rPr>
          <w:sz w:val="24"/>
          <w:szCs w:val="24"/>
        </w:rPr>
        <w:t xml:space="preserve"> so that we can open them regardless of the program you used to conduct the regression.</w:t>
      </w:r>
    </w:p>
    <w:p w14:paraId="31E5F1B1" w14:textId="77777777" w:rsidR="00EA37AF" w:rsidRDefault="00000000">
      <w:pPr>
        <w:rPr>
          <w:sz w:val="24"/>
          <w:szCs w:val="24"/>
        </w:rPr>
      </w:pPr>
      <w:r>
        <w:rPr>
          <w:sz w:val="24"/>
          <w:szCs w:val="24"/>
        </w:rPr>
        <w:t xml:space="preserve">Please ensure that the following ‘results’ metrics are included in your output, as these will be reported in the paper: </w:t>
      </w:r>
    </w:p>
    <w:p w14:paraId="5D75EB57" w14:textId="77777777" w:rsidR="00EA37AF" w:rsidRDefault="00000000">
      <w:pPr>
        <w:rPr>
          <w:sz w:val="24"/>
          <w:szCs w:val="24"/>
        </w:rPr>
      </w:pPr>
      <w:r>
        <w:rPr>
          <w:b/>
          <w:bCs/>
          <w:i/>
          <w:iCs/>
          <w:sz w:val="24"/>
          <w:szCs w:val="24"/>
          <w:u w:val="single"/>
        </w:rPr>
        <w:t>For the overall regression model</w:t>
      </w:r>
      <w:r>
        <w:rPr>
          <w:sz w:val="24"/>
          <w:szCs w:val="24"/>
        </w:rPr>
        <w:t>, include:</w:t>
      </w:r>
    </w:p>
    <w:p w14:paraId="0FD252DB" w14:textId="77777777" w:rsidR="00EA37AF" w:rsidRDefault="00000000">
      <w:pPr>
        <w:numPr>
          <w:ilvl w:val="0"/>
          <w:numId w:val="14"/>
        </w:numPr>
        <w:spacing w:after="0" w:line="256" w:lineRule="auto"/>
        <w:rPr>
          <w:b/>
          <w:bCs/>
          <w:color w:val="000000"/>
          <w:sz w:val="24"/>
          <w:szCs w:val="24"/>
        </w:rPr>
      </w:pPr>
      <w:r>
        <w:rPr>
          <w:b/>
          <w:bCs/>
          <w:color w:val="000000"/>
          <w:sz w:val="24"/>
          <w:szCs w:val="24"/>
        </w:rPr>
        <w:t>Omnibus Chi-square</w:t>
      </w:r>
    </w:p>
    <w:p w14:paraId="12C164C4" w14:textId="77777777" w:rsidR="00EA37AF" w:rsidRDefault="00000000">
      <w:pPr>
        <w:numPr>
          <w:ilvl w:val="0"/>
          <w:numId w:val="14"/>
        </w:numPr>
        <w:spacing w:after="0" w:line="256" w:lineRule="auto"/>
        <w:rPr>
          <w:b/>
          <w:bCs/>
          <w:color w:val="000000"/>
          <w:sz w:val="24"/>
          <w:szCs w:val="24"/>
        </w:rPr>
      </w:pPr>
      <w:r>
        <w:rPr>
          <w:b/>
          <w:bCs/>
          <w:sz w:val="24"/>
          <w:szCs w:val="24"/>
        </w:rPr>
        <w:t xml:space="preserve">Omnibus </w:t>
      </w:r>
      <w:r>
        <w:rPr>
          <w:b/>
          <w:bCs/>
          <w:color w:val="000000"/>
          <w:sz w:val="24"/>
          <w:szCs w:val="24"/>
        </w:rPr>
        <w:t xml:space="preserve">P-value </w:t>
      </w:r>
    </w:p>
    <w:p w14:paraId="20437870" w14:textId="77777777" w:rsidR="00EA37AF" w:rsidRDefault="00000000">
      <w:pPr>
        <w:numPr>
          <w:ilvl w:val="0"/>
          <w:numId w:val="14"/>
        </w:numPr>
        <w:spacing w:after="0" w:line="256" w:lineRule="auto"/>
        <w:rPr>
          <w:b/>
          <w:bCs/>
          <w:color w:val="000000"/>
          <w:sz w:val="24"/>
          <w:szCs w:val="24"/>
        </w:rPr>
      </w:pPr>
      <w:r>
        <w:rPr>
          <w:b/>
          <w:bCs/>
          <w:color w:val="000000"/>
          <w:sz w:val="24"/>
          <w:szCs w:val="24"/>
        </w:rPr>
        <w:t xml:space="preserve">Percentages correct </w:t>
      </w:r>
      <w:r>
        <w:rPr>
          <w:color w:val="000000"/>
          <w:sz w:val="24"/>
          <w:szCs w:val="24"/>
        </w:rPr>
        <w:t>for predicting good versus bad outcome (there should be 3 of these values</w:t>
      </w:r>
    </w:p>
    <w:p w14:paraId="5770343B" w14:textId="77777777" w:rsidR="00EA37AF" w:rsidRDefault="00000000">
      <w:pPr>
        <w:numPr>
          <w:ilvl w:val="1"/>
          <w:numId w:val="14"/>
        </w:numPr>
        <w:spacing w:after="0" w:line="256" w:lineRule="auto"/>
        <w:rPr>
          <w:color w:val="000000"/>
          <w:sz w:val="24"/>
          <w:szCs w:val="24"/>
        </w:rPr>
      </w:pPr>
      <w:r>
        <w:rPr>
          <w:color w:val="000000"/>
          <w:sz w:val="24"/>
          <w:szCs w:val="24"/>
        </w:rPr>
        <w:t xml:space="preserve">value for predicting good outcome, </w:t>
      </w:r>
    </w:p>
    <w:p w14:paraId="0690A995" w14:textId="77777777" w:rsidR="00EA37AF" w:rsidRDefault="00000000">
      <w:pPr>
        <w:numPr>
          <w:ilvl w:val="1"/>
          <w:numId w:val="14"/>
        </w:numPr>
        <w:spacing w:after="0" w:line="256" w:lineRule="auto"/>
        <w:rPr>
          <w:color w:val="000000"/>
          <w:sz w:val="24"/>
          <w:szCs w:val="24"/>
        </w:rPr>
      </w:pPr>
      <w:r>
        <w:rPr>
          <w:color w:val="000000"/>
          <w:sz w:val="24"/>
          <w:szCs w:val="24"/>
        </w:rPr>
        <w:t xml:space="preserve">value for predicting bad outcome, and </w:t>
      </w:r>
    </w:p>
    <w:p w14:paraId="76C66D0D" w14:textId="77777777" w:rsidR="00EA37AF" w:rsidRDefault="00000000">
      <w:pPr>
        <w:numPr>
          <w:ilvl w:val="1"/>
          <w:numId w:val="14"/>
        </w:numPr>
        <w:spacing w:line="256" w:lineRule="auto"/>
        <w:rPr>
          <w:color w:val="000000"/>
          <w:sz w:val="24"/>
          <w:szCs w:val="24"/>
        </w:rPr>
      </w:pPr>
      <w:r>
        <w:rPr>
          <w:color w:val="000000"/>
          <w:sz w:val="24"/>
          <w:szCs w:val="24"/>
        </w:rPr>
        <w:t>a combined value discriminating between good and bad outcome.</w:t>
      </w:r>
    </w:p>
    <w:p w14:paraId="35528735" w14:textId="77777777" w:rsidR="00EA37AF" w:rsidRDefault="00000000">
      <w:pPr>
        <w:rPr>
          <w:sz w:val="24"/>
          <w:szCs w:val="24"/>
        </w:rPr>
      </w:pPr>
      <w:r>
        <w:rPr>
          <w:sz w:val="24"/>
          <w:szCs w:val="24"/>
        </w:rPr>
        <w:t xml:space="preserve">In addition, for </w:t>
      </w:r>
      <w:r>
        <w:rPr>
          <w:b/>
          <w:bCs/>
          <w:i/>
          <w:iCs/>
          <w:sz w:val="24"/>
          <w:szCs w:val="24"/>
          <w:u w:val="single"/>
        </w:rPr>
        <w:t>each of the independent variables entered</w:t>
      </w:r>
      <w:r>
        <w:rPr>
          <w:sz w:val="24"/>
          <w:szCs w:val="24"/>
        </w:rPr>
        <w:t xml:space="preserve">, please report the following: </w:t>
      </w:r>
    </w:p>
    <w:p w14:paraId="3A19BCEB" w14:textId="77777777" w:rsidR="00EA37AF" w:rsidRDefault="00000000">
      <w:pPr>
        <w:numPr>
          <w:ilvl w:val="0"/>
          <w:numId w:val="15"/>
        </w:numPr>
        <w:spacing w:after="0" w:line="256" w:lineRule="auto"/>
        <w:rPr>
          <w:b/>
          <w:bCs/>
          <w:color w:val="000000"/>
          <w:sz w:val="24"/>
          <w:szCs w:val="24"/>
        </w:rPr>
      </w:pPr>
      <w:r>
        <w:rPr>
          <w:b/>
          <w:bCs/>
          <w:color w:val="000000"/>
          <w:sz w:val="24"/>
          <w:szCs w:val="24"/>
        </w:rPr>
        <w:t>Beta</w:t>
      </w:r>
    </w:p>
    <w:p w14:paraId="087153D9" w14:textId="77777777" w:rsidR="00EA37AF" w:rsidRDefault="00000000">
      <w:pPr>
        <w:numPr>
          <w:ilvl w:val="0"/>
          <w:numId w:val="15"/>
        </w:numPr>
        <w:spacing w:after="0" w:line="256" w:lineRule="auto"/>
        <w:rPr>
          <w:b/>
          <w:bCs/>
          <w:color w:val="000000"/>
          <w:sz w:val="24"/>
          <w:szCs w:val="24"/>
        </w:rPr>
      </w:pPr>
      <w:r>
        <w:rPr>
          <w:b/>
          <w:bCs/>
          <w:color w:val="000000"/>
          <w:sz w:val="24"/>
          <w:szCs w:val="24"/>
        </w:rPr>
        <w:t>Standard error</w:t>
      </w:r>
    </w:p>
    <w:p w14:paraId="7EAA6274" w14:textId="77777777" w:rsidR="00EA37AF" w:rsidRDefault="00000000">
      <w:pPr>
        <w:numPr>
          <w:ilvl w:val="0"/>
          <w:numId w:val="15"/>
        </w:numPr>
        <w:spacing w:after="0" w:line="256" w:lineRule="auto"/>
        <w:rPr>
          <w:b/>
          <w:bCs/>
          <w:color w:val="000000"/>
          <w:sz w:val="24"/>
          <w:szCs w:val="24"/>
        </w:rPr>
      </w:pPr>
      <w:r>
        <w:rPr>
          <w:b/>
          <w:bCs/>
          <w:color w:val="000000"/>
          <w:sz w:val="24"/>
          <w:szCs w:val="24"/>
        </w:rPr>
        <w:t>Wald</w:t>
      </w:r>
    </w:p>
    <w:p w14:paraId="698FE5F0" w14:textId="77777777" w:rsidR="00EA37AF" w:rsidRDefault="00000000">
      <w:pPr>
        <w:numPr>
          <w:ilvl w:val="0"/>
          <w:numId w:val="15"/>
        </w:numPr>
        <w:spacing w:after="0" w:line="256" w:lineRule="auto"/>
        <w:rPr>
          <w:b/>
          <w:bCs/>
          <w:color w:val="000000"/>
          <w:sz w:val="24"/>
          <w:szCs w:val="24"/>
        </w:rPr>
      </w:pPr>
      <w:r>
        <w:rPr>
          <w:b/>
          <w:bCs/>
          <w:color w:val="000000"/>
          <w:sz w:val="24"/>
          <w:szCs w:val="24"/>
        </w:rPr>
        <w:t>Degrees of freedom</w:t>
      </w:r>
    </w:p>
    <w:p w14:paraId="5075144F" w14:textId="77777777" w:rsidR="00EA37AF" w:rsidRDefault="00000000">
      <w:pPr>
        <w:numPr>
          <w:ilvl w:val="0"/>
          <w:numId w:val="15"/>
        </w:numPr>
        <w:spacing w:after="0" w:line="256" w:lineRule="auto"/>
        <w:rPr>
          <w:b/>
          <w:bCs/>
          <w:color w:val="000000"/>
          <w:sz w:val="24"/>
          <w:szCs w:val="24"/>
        </w:rPr>
      </w:pPr>
      <w:r>
        <w:rPr>
          <w:b/>
          <w:bCs/>
          <w:color w:val="000000"/>
          <w:sz w:val="24"/>
          <w:szCs w:val="24"/>
        </w:rPr>
        <w:t>p-value*</w:t>
      </w:r>
    </w:p>
    <w:p w14:paraId="3698F8A9" w14:textId="77777777" w:rsidR="00EA37AF" w:rsidRDefault="00000000">
      <w:pPr>
        <w:numPr>
          <w:ilvl w:val="0"/>
          <w:numId w:val="15"/>
        </w:numPr>
        <w:spacing w:line="256" w:lineRule="auto"/>
        <w:rPr>
          <w:b/>
          <w:bCs/>
          <w:color w:val="000000"/>
          <w:sz w:val="24"/>
          <w:szCs w:val="24"/>
        </w:rPr>
      </w:pPr>
      <w:r>
        <w:rPr>
          <w:b/>
          <w:bCs/>
          <w:color w:val="000000"/>
          <w:sz w:val="24"/>
          <w:szCs w:val="24"/>
        </w:rPr>
        <w:t>95% CIs</w:t>
      </w:r>
    </w:p>
    <w:p w14:paraId="25883CB2" w14:textId="77777777" w:rsidR="00EA37AF" w:rsidRDefault="00EA37AF">
      <w:pPr>
        <w:rPr>
          <w:sz w:val="24"/>
          <w:szCs w:val="24"/>
        </w:rPr>
      </w:pPr>
    </w:p>
    <w:p w14:paraId="768D2F35" w14:textId="77777777" w:rsidR="00EA37AF" w:rsidRDefault="00000000">
      <w:pPr>
        <w:rPr>
          <w:sz w:val="24"/>
          <w:szCs w:val="24"/>
        </w:rPr>
      </w:pPr>
      <w:r>
        <w:rPr>
          <w:sz w:val="24"/>
          <w:szCs w:val="24"/>
        </w:rPr>
        <w:t xml:space="preserve">* if your statistical program does not output independent variable p-values (e.g. SAS) you may need to write your own contrasts to obtain p-values. Please contact us if you need assistance. </w:t>
      </w:r>
    </w:p>
    <w:p w14:paraId="21590D73" w14:textId="77777777" w:rsidR="00EA37AF" w:rsidRDefault="00000000">
      <w:pPr>
        <w:rPr>
          <w:sz w:val="24"/>
          <w:szCs w:val="24"/>
        </w:rPr>
      </w:pPr>
      <w:r>
        <w:rPr>
          <w:sz w:val="24"/>
          <w:szCs w:val="24"/>
        </w:rPr>
        <w:t xml:space="preserve">Please note that the demographic characteristics summary table will likely need to be regenerated at this point to describe the </w:t>
      </w:r>
      <w:r>
        <w:rPr>
          <w:i/>
          <w:iCs/>
          <w:sz w:val="24"/>
          <w:szCs w:val="24"/>
        </w:rPr>
        <w:t>exact sample</w:t>
      </w:r>
      <w:r>
        <w:rPr>
          <w:sz w:val="24"/>
          <w:szCs w:val="24"/>
        </w:rPr>
        <w:t xml:space="preserve"> that was included in the regression analysis. This is because sample size or characteristics may change with selection of functional outcome measures and when accounting for missing data or participant exclusions. </w:t>
      </w:r>
    </w:p>
    <w:p w14:paraId="7065BEBB" w14:textId="77777777" w:rsidR="00EA37AF" w:rsidRDefault="00000000">
      <w:pPr>
        <w:rPr>
          <w:b/>
          <w:bCs/>
          <w:sz w:val="24"/>
          <w:szCs w:val="24"/>
        </w:rPr>
        <w:sectPr w:rsidR="00EA37AF">
          <w:pgSz w:w="11906" w:h="16838"/>
          <w:pgMar w:top="1170" w:right="1440" w:bottom="1440" w:left="1440" w:header="720" w:footer="720" w:gutter="0"/>
          <w:cols w:space="720"/>
        </w:sectPr>
      </w:pPr>
      <w:r>
        <w:rPr>
          <w:b/>
          <w:bCs/>
          <w:sz w:val="24"/>
          <w:szCs w:val="24"/>
        </w:rPr>
        <w:t xml:space="preserve">Please return your completed output, demographic and clinical descriptive tables (using the templates provided) to </w:t>
      </w:r>
      <w:hyperlink r:id="rId16">
        <w:r w:rsidR="00EA37AF">
          <w:rPr>
            <w:b/>
            <w:bCs/>
            <w:color w:val="1155CC"/>
            <w:sz w:val="24"/>
            <w:szCs w:val="24"/>
            <w:u w:val="single"/>
          </w:rPr>
          <w:t>j.fullerton@neura.edu.au</w:t>
        </w:r>
      </w:hyperlink>
      <w:r>
        <w:rPr>
          <w:b/>
          <w:bCs/>
          <w:sz w:val="24"/>
          <w:szCs w:val="24"/>
        </w:rPr>
        <w:t xml:space="preserve"> and </w:t>
      </w:r>
      <w:hyperlink r:id="rId17">
        <w:r w:rsidR="00EA37AF">
          <w:rPr>
            <w:b/>
            <w:bCs/>
            <w:color w:val="1155CC"/>
            <w:sz w:val="24"/>
            <w:szCs w:val="24"/>
            <w:u w:val="single"/>
          </w:rPr>
          <w:t>gbcasiapacific@gmail.com</w:t>
        </w:r>
      </w:hyperlink>
    </w:p>
    <w:p w14:paraId="0A52F07E" w14:textId="77777777" w:rsidR="00EA37AF" w:rsidRDefault="00000000">
      <w:pPr>
        <w:rPr>
          <w:sz w:val="24"/>
          <w:szCs w:val="24"/>
        </w:rPr>
      </w:pPr>
      <w:r>
        <w:rPr>
          <w:b/>
          <w:bCs/>
          <w:i/>
          <w:iCs/>
          <w:sz w:val="24"/>
          <w:szCs w:val="24"/>
          <w:u w:val="single"/>
        </w:rPr>
        <w:lastRenderedPageBreak/>
        <w:t>Instructions on calculating general cognitive ability (g)</w:t>
      </w:r>
      <w:r>
        <w:rPr>
          <w:sz w:val="24"/>
          <w:szCs w:val="24"/>
        </w:rPr>
        <w:t>:</w:t>
      </w:r>
    </w:p>
    <w:p w14:paraId="2AE0BC1C" w14:textId="77777777" w:rsidR="00EA37AF" w:rsidRDefault="00000000">
      <w:pPr>
        <w:numPr>
          <w:ilvl w:val="0"/>
          <w:numId w:val="1"/>
        </w:numPr>
        <w:spacing w:after="0" w:line="256" w:lineRule="auto"/>
        <w:rPr>
          <w:color w:val="000000"/>
          <w:sz w:val="24"/>
          <w:szCs w:val="24"/>
        </w:rPr>
      </w:pPr>
      <w:r>
        <w:rPr>
          <w:color w:val="000000"/>
          <w:sz w:val="24"/>
          <w:szCs w:val="24"/>
        </w:rPr>
        <w:t xml:space="preserve">Note – the total number of variables included in the </w:t>
      </w:r>
      <w:r>
        <w:rPr>
          <w:sz w:val="24"/>
          <w:szCs w:val="24"/>
        </w:rPr>
        <w:t xml:space="preserve">principal components analysis (PCA) </w:t>
      </w:r>
      <w:r>
        <w:rPr>
          <w:color w:val="000000"/>
          <w:sz w:val="24"/>
          <w:szCs w:val="24"/>
        </w:rPr>
        <w:t>should NOT exceed the 10:1 ratio rule (10 participants per one variable). Thus, if your sample size is 150, no more than 15 variables should be included in the PCA.</w:t>
      </w:r>
    </w:p>
    <w:p w14:paraId="0A9D49B4" w14:textId="77777777" w:rsidR="00EA37AF" w:rsidRDefault="00000000">
      <w:pPr>
        <w:numPr>
          <w:ilvl w:val="0"/>
          <w:numId w:val="1"/>
        </w:numPr>
        <w:spacing w:after="0" w:line="256" w:lineRule="auto"/>
        <w:rPr>
          <w:color w:val="000000"/>
          <w:sz w:val="24"/>
          <w:szCs w:val="24"/>
        </w:rPr>
      </w:pPr>
      <w:r>
        <w:rPr>
          <w:color w:val="000000"/>
          <w:sz w:val="24"/>
          <w:szCs w:val="24"/>
        </w:rPr>
        <w:t>Select one or more tests within a purported ‘domain’ as most representative of that domain (can include more than one test per domain – e.g.  ‘attention’, if available and there’s no risk of violating #1 above)</w:t>
      </w:r>
    </w:p>
    <w:p w14:paraId="4F213576" w14:textId="77777777" w:rsidR="00EA37AF" w:rsidRDefault="00000000">
      <w:pPr>
        <w:numPr>
          <w:ilvl w:val="1"/>
          <w:numId w:val="1"/>
        </w:numPr>
        <w:spacing w:after="0" w:line="256" w:lineRule="auto"/>
        <w:rPr>
          <w:color w:val="000000"/>
          <w:sz w:val="24"/>
          <w:szCs w:val="24"/>
        </w:rPr>
      </w:pPr>
      <w:r>
        <w:rPr>
          <w:sz w:val="24"/>
          <w:szCs w:val="24"/>
        </w:rPr>
        <w:t>NB: if you are at risk of violating #1 above, s</w:t>
      </w:r>
      <w:r>
        <w:rPr>
          <w:color w:val="000000"/>
          <w:sz w:val="24"/>
          <w:szCs w:val="24"/>
        </w:rPr>
        <w:t>elect the “best” or most representative item level variable from each test to be included (only one per test)</w:t>
      </w:r>
    </w:p>
    <w:p w14:paraId="480CDD1D" w14:textId="77777777" w:rsidR="00EA37AF" w:rsidRDefault="00000000">
      <w:pPr>
        <w:numPr>
          <w:ilvl w:val="0"/>
          <w:numId w:val="1"/>
        </w:numPr>
        <w:spacing w:after="0" w:line="256" w:lineRule="auto"/>
        <w:rPr>
          <w:color w:val="000000"/>
          <w:sz w:val="24"/>
          <w:szCs w:val="24"/>
        </w:rPr>
      </w:pPr>
      <w:r>
        <w:rPr>
          <w:color w:val="000000"/>
          <w:sz w:val="24"/>
          <w:szCs w:val="24"/>
        </w:rPr>
        <w:t xml:space="preserve">Z-score all of the variables that will be included – </w:t>
      </w:r>
      <w:r>
        <w:rPr>
          <w:b/>
          <w:bCs/>
          <w:i/>
          <w:iCs/>
          <w:color w:val="000000"/>
          <w:sz w:val="24"/>
          <w:szCs w:val="24"/>
        </w:rPr>
        <w:t>within the BD sample used in this study</w:t>
      </w:r>
      <w:r>
        <w:rPr>
          <w:i/>
          <w:iCs/>
          <w:color w:val="000000"/>
          <w:sz w:val="24"/>
          <w:szCs w:val="24"/>
        </w:rPr>
        <w:t xml:space="preserve">. </w:t>
      </w:r>
    </w:p>
    <w:p w14:paraId="308B74EE" w14:textId="77777777" w:rsidR="00EA37AF" w:rsidRDefault="00000000">
      <w:pPr>
        <w:numPr>
          <w:ilvl w:val="0"/>
          <w:numId w:val="1"/>
        </w:numPr>
        <w:spacing w:after="0" w:line="256" w:lineRule="auto"/>
        <w:rPr>
          <w:color w:val="000000"/>
          <w:sz w:val="24"/>
          <w:szCs w:val="24"/>
        </w:rPr>
      </w:pPr>
      <w:r>
        <w:rPr>
          <w:color w:val="000000"/>
          <w:sz w:val="24"/>
          <w:szCs w:val="24"/>
        </w:rPr>
        <w:t>The z</w:t>
      </w:r>
      <w:r>
        <w:rPr>
          <w:sz w:val="24"/>
          <w:szCs w:val="24"/>
        </w:rPr>
        <w:t>-</w:t>
      </w:r>
      <w:r>
        <w:rPr>
          <w:color w:val="000000"/>
          <w:sz w:val="24"/>
          <w:szCs w:val="24"/>
        </w:rPr>
        <w:t xml:space="preserve">score calculation is as follows: </w:t>
      </w:r>
    </w:p>
    <w:p w14:paraId="7111AEAB" w14:textId="77777777" w:rsidR="00EA37AF" w:rsidRDefault="00000000">
      <w:pPr>
        <w:spacing w:after="0"/>
        <w:ind w:left="360"/>
        <w:rPr>
          <w:b/>
          <w:bCs/>
          <w:color w:val="000000"/>
          <w:sz w:val="24"/>
          <w:szCs w:val="24"/>
        </w:rPr>
      </w:pPr>
      <w:r>
        <w:rPr>
          <w:b/>
          <w:bCs/>
          <w:color w:val="000000"/>
          <w:sz w:val="24"/>
          <w:szCs w:val="24"/>
        </w:rPr>
        <w:t xml:space="preserve">z = (x-μ)/σ, where </w:t>
      </w:r>
    </w:p>
    <w:p w14:paraId="4E66B8A7" w14:textId="77777777" w:rsidR="00EA37AF" w:rsidRDefault="00000000">
      <w:pPr>
        <w:spacing w:after="0"/>
        <w:ind w:left="360"/>
        <w:rPr>
          <w:color w:val="000000"/>
          <w:sz w:val="24"/>
          <w:szCs w:val="24"/>
        </w:rPr>
      </w:pPr>
      <w:r>
        <w:rPr>
          <w:color w:val="000000"/>
          <w:sz w:val="24"/>
          <w:szCs w:val="24"/>
        </w:rPr>
        <w:t xml:space="preserve">x is the raw score of the individual patient, </w:t>
      </w:r>
    </w:p>
    <w:p w14:paraId="55C6B31C" w14:textId="77777777" w:rsidR="00EA37AF" w:rsidRDefault="00000000">
      <w:pPr>
        <w:spacing w:after="0"/>
        <w:ind w:left="360"/>
        <w:rPr>
          <w:color w:val="000000"/>
          <w:sz w:val="24"/>
          <w:szCs w:val="24"/>
        </w:rPr>
      </w:pPr>
      <w:r>
        <w:rPr>
          <w:color w:val="000000"/>
          <w:sz w:val="24"/>
          <w:szCs w:val="24"/>
        </w:rPr>
        <w:t xml:space="preserve">μ is the population mean (in this case the mean of the full BD sample), and </w:t>
      </w:r>
    </w:p>
    <w:p w14:paraId="42D22E36" w14:textId="77777777" w:rsidR="00EA37AF" w:rsidRDefault="00000000">
      <w:pPr>
        <w:spacing w:after="0"/>
        <w:ind w:left="360"/>
        <w:rPr>
          <w:color w:val="000000"/>
          <w:sz w:val="24"/>
          <w:szCs w:val="24"/>
        </w:rPr>
      </w:pPr>
      <w:r>
        <w:rPr>
          <w:color w:val="000000"/>
          <w:sz w:val="24"/>
          <w:szCs w:val="24"/>
        </w:rPr>
        <w:t xml:space="preserve">σ is the population standard deviation. </w:t>
      </w:r>
    </w:p>
    <w:p w14:paraId="14439CD2" w14:textId="77777777" w:rsidR="00EA37AF" w:rsidRDefault="00EA37AF">
      <w:pPr>
        <w:spacing w:after="0"/>
        <w:ind w:left="360"/>
        <w:rPr>
          <w:color w:val="000000"/>
          <w:sz w:val="24"/>
          <w:szCs w:val="24"/>
        </w:rPr>
      </w:pPr>
    </w:p>
    <w:p w14:paraId="00E3D78B" w14:textId="77777777" w:rsidR="00EA37AF" w:rsidRDefault="00000000">
      <w:pPr>
        <w:spacing w:after="0"/>
        <w:ind w:left="360"/>
        <w:rPr>
          <w:color w:val="000000"/>
          <w:sz w:val="24"/>
          <w:szCs w:val="24"/>
        </w:rPr>
      </w:pPr>
      <w:r>
        <w:rPr>
          <w:color w:val="000000"/>
          <w:sz w:val="24"/>
          <w:szCs w:val="24"/>
        </w:rPr>
        <w:t xml:space="preserve">This should result in a z-score being </w:t>
      </w:r>
      <w:r>
        <w:rPr>
          <w:i/>
          <w:iCs/>
          <w:color w:val="000000"/>
          <w:sz w:val="24"/>
          <w:szCs w:val="24"/>
        </w:rPr>
        <w:t>assigned to each patient individually</w:t>
      </w:r>
      <w:r>
        <w:rPr>
          <w:color w:val="000000"/>
          <w:sz w:val="24"/>
          <w:szCs w:val="24"/>
        </w:rPr>
        <w:t xml:space="preserve"> (so that each patient’s raw score is compared with the full sample’s mean score to derive a z score for each individual). Then, when you calculate the mean of that new z-score variable, it should be 0 and SD should =1.</w:t>
      </w:r>
    </w:p>
    <w:p w14:paraId="3FD0AC43" w14:textId="77777777" w:rsidR="00EA37AF" w:rsidRDefault="00EA37AF">
      <w:pPr>
        <w:spacing w:after="0"/>
        <w:ind w:left="360"/>
        <w:rPr>
          <w:color w:val="000000"/>
          <w:sz w:val="24"/>
          <w:szCs w:val="24"/>
        </w:rPr>
      </w:pPr>
    </w:p>
    <w:p w14:paraId="436D6C18" w14:textId="77777777" w:rsidR="00EA37AF" w:rsidRDefault="00000000">
      <w:pPr>
        <w:numPr>
          <w:ilvl w:val="0"/>
          <w:numId w:val="1"/>
        </w:numPr>
        <w:spacing w:after="0" w:line="256" w:lineRule="auto"/>
        <w:rPr>
          <w:color w:val="000000"/>
          <w:sz w:val="24"/>
          <w:szCs w:val="24"/>
        </w:rPr>
      </w:pPr>
      <w:r>
        <w:rPr>
          <w:color w:val="000000"/>
          <w:sz w:val="24"/>
          <w:szCs w:val="24"/>
        </w:rPr>
        <w:t>Run a PCA with parameters set for “no rotation” or unrotated, and Eigenvalues &gt; 1.0.</w:t>
      </w:r>
    </w:p>
    <w:p w14:paraId="57D8AD48" w14:textId="77777777" w:rsidR="00EA37AF" w:rsidRDefault="00000000">
      <w:pPr>
        <w:numPr>
          <w:ilvl w:val="0"/>
          <w:numId w:val="1"/>
        </w:numPr>
        <w:spacing w:after="0" w:line="256" w:lineRule="auto"/>
        <w:rPr>
          <w:color w:val="000000"/>
          <w:sz w:val="24"/>
          <w:szCs w:val="24"/>
        </w:rPr>
      </w:pPr>
      <w:r>
        <w:rPr>
          <w:color w:val="000000"/>
          <w:sz w:val="24"/>
          <w:szCs w:val="24"/>
        </w:rPr>
        <w:t xml:space="preserve">Your output should look like the example provided above. </w:t>
      </w:r>
    </w:p>
    <w:p w14:paraId="2E7C97D2" w14:textId="77777777" w:rsidR="00EA37AF" w:rsidRDefault="00000000">
      <w:pPr>
        <w:spacing w:after="0"/>
        <w:ind w:left="360"/>
        <w:rPr>
          <w:color w:val="000000"/>
          <w:sz w:val="24"/>
          <w:szCs w:val="24"/>
        </w:rPr>
      </w:pPr>
      <w:r>
        <w:rPr>
          <w:i/>
          <w:iCs/>
          <w:color w:val="000000"/>
          <w:sz w:val="24"/>
          <w:szCs w:val="24"/>
        </w:rPr>
        <w:t>Sanity check</w:t>
      </w:r>
      <w:r>
        <w:rPr>
          <w:color w:val="000000"/>
          <w:sz w:val="24"/>
          <w:szCs w:val="24"/>
        </w:rPr>
        <w:t xml:space="preserve"> – the first “component” is the g-factor and should account for around 40-50% of the variance explained. When viewing the factor loadings, ALL of the individual measures should load substantially onto the first component (somewhere around .35 or greater – as an absolute value, negative values are possible).</w:t>
      </w:r>
    </w:p>
    <w:p w14:paraId="7CD92602" w14:textId="77777777" w:rsidR="00EA37AF" w:rsidRDefault="00000000">
      <w:pPr>
        <w:numPr>
          <w:ilvl w:val="0"/>
          <w:numId w:val="1"/>
        </w:numPr>
        <w:spacing w:line="256" w:lineRule="auto"/>
        <w:rPr>
          <w:color w:val="000000"/>
          <w:sz w:val="24"/>
          <w:szCs w:val="24"/>
        </w:rPr>
      </w:pPr>
      <w:r>
        <w:rPr>
          <w:color w:val="000000"/>
          <w:sz w:val="24"/>
          <w:szCs w:val="24"/>
        </w:rPr>
        <w:t>Importantly, you need to ‘save scores’ when running the PCA, such that each patient will be assigned a value for Component 1, Component 2 and so on. We only care about Component 1, which is the individual’s g-factor. The g-factor is represented as a z-score so again, the mean of the population g-factors should be around 0 with SD~1.0</w:t>
      </w:r>
    </w:p>
    <w:p w14:paraId="319408F3" w14:textId="77777777" w:rsidR="00EA37AF" w:rsidRDefault="00000000">
      <w:pPr>
        <w:rPr>
          <w:b/>
          <w:bCs/>
          <w:smallCaps/>
          <w:sz w:val="24"/>
          <w:szCs w:val="24"/>
        </w:rPr>
        <w:sectPr w:rsidR="00EA37AF">
          <w:pgSz w:w="11906" w:h="16838"/>
          <w:pgMar w:top="1440" w:right="1440" w:bottom="1440" w:left="1440" w:header="720" w:footer="720" w:gutter="0"/>
          <w:cols w:space="720"/>
        </w:sectPr>
      </w:pPr>
      <w:r>
        <w:br w:type="page"/>
      </w:r>
    </w:p>
    <w:p w14:paraId="17280D40" w14:textId="624BD904" w:rsidR="00EA37AF" w:rsidRDefault="00000000">
      <w:r>
        <w:rPr>
          <w:color w:val="333333"/>
          <w:highlight w:val="white"/>
        </w:rPr>
        <w:lastRenderedPageBreak/>
        <w:t xml:space="preserve">Supplementary Methods 2. </w:t>
      </w:r>
      <w:r>
        <w:t xml:space="preserve"> Questions included in Global survey.</w:t>
      </w:r>
    </w:p>
    <w:tbl>
      <w:tblPr>
        <w:tblStyle w:val="a"/>
        <w:tblW w:w="9490" w:type="dxa"/>
        <w:tblLayout w:type="fixed"/>
        <w:tblLook w:val="0400" w:firstRow="0" w:lastRow="0" w:firstColumn="0" w:lastColumn="0" w:noHBand="0" w:noVBand="1"/>
      </w:tblPr>
      <w:tblGrid>
        <w:gridCol w:w="5237"/>
        <w:gridCol w:w="4253"/>
      </w:tblGrid>
      <w:tr w:rsidR="00EA37AF" w14:paraId="225674B9"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9101D9"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Items</w:t>
            </w:r>
          </w:p>
        </w:tc>
        <w:tc>
          <w:tcPr>
            <w:tcW w:w="4253" w:type="dxa"/>
            <w:tcBorders>
              <w:top w:val="single" w:sz="6" w:space="0" w:color="C1C7D0"/>
              <w:left w:val="single" w:sz="6" w:space="0" w:color="C1C7D0"/>
              <w:bottom w:val="single" w:sz="6" w:space="0" w:color="C1C7D0"/>
              <w:right w:val="single" w:sz="6" w:space="0" w:color="C1C7D0"/>
            </w:tcBorders>
          </w:tcPr>
          <w:p w14:paraId="3400EB7A"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&lt;&lt;SELECTION OPTIONS&gt;&gt;</w:t>
            </w:r>
          </w:p>
        </w:tc>
      </w:tr>
      <w:tr w:rsidR="00EA37AF" w14:paraId="6EDA417D"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9C8A908"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 Are you willing to contribute to the Global Bipolar Cohort collaborative effort?</w:t>
            </w:r>
          </w:p>
        </w:tc>
        <w:tc>
          <w:tcPr>
            <w:tcW w:w="4253" w:type="dxa"/>
            <w:tcBorders>
              <w:top w:val="single" w:sz="6" w:space="0" w:color="C1C7D0"/>
              <w:left w:val="single" w:sz="6" w:space="0" w:color="C1C7D0"/>
              <w:bottom w:val="single" w:sz="6" w:space="0" w:color="C1C7D0"/>
              <w:right w:val="single" w:sz="6" w:space="0" w:color="C1C7D0"/>
            </w:tcBorders>
          </w:tcPr>
          <w:p w14:paraId="52099137"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Yes</w:t>
            </w:r>
          </w:p>
          <w:p w14:paraId="5414C7BE"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w:t>
            </w:r>
          </w:p>
          <w:p w14:paraId="3C3F98EB"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Maybe</w:t>
            </w:r>
          </w:p>
        </w:tc>
      </w:tr>
      <w:tr w:rsidR="00EA37AF" w14:paraId="157374A5"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0F5B9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 Principal investigator: name</w:t>
            </w:r>
          </w:p>
        </w:tc>
        <w:tc>
          <w:tcPr>
            <w:tcW w:w="4253" w:type="dxa"/>
            <w:tcBorders>
              <w:top w:val="single" w:sz="6" w:space="0" w:color="C1C7D0"/>
              <w:left w:val="single" w:sz="6" w:space="0" w:color="C1C7D0"/>
              <w:bottom w:val="single" w:sz="6" w:space="0" w:color="C1C7D0"/>
              <w:right w:val="single" w:sz="6" w:space="0" w:color="C1C7D0"/>
            </w:tcBorders>
          </w:tcPr>
          <w:p w14:paraId="563A4B9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6CF595FA"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94E90A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3: Principal investigator: primary institution</w:t>
            </w:r>
          </w:p>
        </w:tc>
        <w:tc>
          <w:tcPr>
            <w:tcW w:w="4253" w:type="dxa"/>
            <w:tcBorders>
              <w:top w:val="single" w:sz="6" w:space="0" w:color="C1C7D0"/>
              <w:left w:val="single" w:sz="6" w:space="0" w:color="C1C7D0"/>
              <w:bottom w:val="single" w:sz="6" w:space="0" w:color="C1C7D0"/>
              <w:right w:val="single" w:sz="6" w:space="0" w:color="C1C7D0"/>
            </w:tcBorders>
          </w:tcPr>
          <w:p w14:paraId="2610C8D7"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5B9E8BFF"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8788AA"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4: Principal investigator: email address</w:t>
            </w:r>
          </w:p>
        </w:tc>
        <w:tc>
          <w:tcPr>
            <w:tcW w:w="4253" w:type="dxa"/>
            <w:tcBorders>
              <w:top w:val="single" w:sz="6" w:space="0" w:color="C1C7D0"/>
              <w:left w:val="single" w:sz="6" w:space="0" w:color="C1C7D0"/>
              <w:bottom w:val="single" w:sz="6" w:space="0" w:color="C1C7D0"/>
              <w:right w:val="single" w:sz="6" w:space="0" w:color="C1C7D0"/>
            </w:tcBorders>
          </w:tcPr>
          <w:p w14:paraId="7E92AA5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22B886BE"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6DAA26"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5: What is the cohort name?</w:t>
            </w:r>
          </w:p>
        </w:tc>
        <w:tc>
          <w:tcPr>
            <w:tcW w:w="4253" w:type="dxa"/>
            <w:tcBorders>
              <w:top w:val="single" w:sz="6" w:space="0" w:color="C1C7D0"/>
              <w:left w:val="single" w:sz="6" w:space="0" w:color="C1C7D0"/>
              <w:bottom w:val="single" w:sz="6" w:space="0" w:color="C1C7D0"/>
              <w:right w:val="single" w:sz="6" w:space="0" w:color="C1C7D0"/>
            </w:tcBorders>
          </w:tcPr>
          <w:p w14:paraId="46255EF4"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61486BA4"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15E12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 xml:space="preserve">Question 6: If published, please provide the citation of the primary paper describing this cohort (respond with “NA” if not published).  Format can be </w:t>
            </w:r>
            <w:proofErr w:type="spellStart"/>
            <w:r>
              <w:rPr>
                <w:rFonts w:ascii="Quattrocento Sans" w:eastAsia="Quattrocento Sans" w:hAnsi="Quattrocento Sans" w:cs="Quattrocento Sans"/>
                <w:color w:val="172B4D"/>
                <w:sz w:val="21"/>
                <w:szCs w:val="21"/>
              </w:rPr>
              <w:t>pubmed</w:t>
            </w:r>
            <w:proofErr w:type="spellEnd"/>
            <w:r>
              <w:rPr>
                <w:rFonts w:ascii="Quattrocento Sans" w:eastAsia="Quattrocento Sans" w:hAnsi="Quattrocento Sans" w:cs="Quattrocento Sans"/>
                <w:color w:val="172B4D"/>
                <w:sz w:val="21"/>
                <w:szCs w:val="21"/>
              </w:rPr>
              <w:t xml:space="preserve"> identifier (PMID, PMCID) or full citation.</w:t>
            </w:r>
          </w:p>
        </w:tc>
        <w:tc>
          <w:tcPr>
            <w:tcW w:w="4253" w:type="dxa"/>
            <w:tcBorders>
              <w:top w:val="single" w:sz="6" w:space="0" w:color="C1C7D0"/>
              <w:left w:val="single" w:sz="6" w:space="0" w:color="C1C7D0"/>
              <w:bottom w:val="single" w:sz="6" w:space="0" w:color="C1C7D0"/>
              <w:right w:val="single" w:sz="6" w:space="0" w:color="C1C7D0"/>
            </w:tcBorders>
          </w:tcPr>
          <w:p w14:paraId="0E6C06AA"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7A342C7D"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2566226"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 xml:space="preserve">Question 7: Names of additional key investigators relating to this cohort (please also provide email addresses and institutions, if possible).  </w:t>
            </w:r>
          </w:p>
          <w:p w14:paraId="3700110A"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Please use the following format: First Name, Last Name,  Email, Institution</w:t>
            </w:r>
          </w:p>
        </w:tc>
        <w:tc>
          <w:tcPr>
            <w:tcW w:w="4253" w:type="dxa"/>
            <w:tcBorders>
              <w:top w:val="single" w:sz="6" w:space="0" w:color="C1C7D0"/>
              <w:left w:val="single" w:sz="6" w:space="0" w:color="C1C7D0"/>
              <w:bottom w:val="single" w:sz="6" w:space="0" w:color="C1C7D0"/>
              <w:right w:val="single" w:sz="6" w:space="0" w:color="C1C7D0"/>
            </w:tcBorders>
          </w:tcPr>
          <w:p w14:paraId="189A802E"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1972FB5C"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9BB810"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8: If there is a data custodian who can receive direct communications in regards to this data requests/analysis for this cohort, please provide their name and email address with the following format: First Name, Last Name,  Email, Institution</w:t>
            </w:r>
          </w:p>
        </w:tc>
        <w:tc>
          <w:tcPr>
            <w:tcW w:w="4253" w:type="dxa"/>
            <w:tcBorders>
              <w:top w:val="single" w:sz="6" w:space="0" w:color="C1C7D0"/>
              <w:left w:val="single" w:sz="6" w:space="0" w:color="C1C7D0"/>
              <w:bottom w:val="single" w:sz="6" w:space="0" w:color="C1C7D0"/>
              <w:right w:val="single" w:sz="6" w:space="0" w:color="C1C7D0"/>
            </w:tcBorders>
          </w:tcPr>
          <w:p w14:paraId="76F11301"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1759EDA3"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B21C4C6"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9: From what population were participants largely recruited? Select all that apply. </w:t>
            </w:r>
          </w:p>
          <w:p w14:paraId="0986BD4B"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&lt;&lt;SELECTIONS&gt;&gt;</w:t>
            </w:r>
          </w:p>
        </w:tc>
        <w:tc>
          <w:tcPr>
            <w:tcW w:w="4253" w:type="dxa"/>
            <w:tcBorders>
              <w:top w:val="single" w:sz="6" w:space="0" w:color="C1C7D0"/>
              <w:left w:val="single" w:sz="6" w:space="0" w:color="C1C7D0"/>
              <w:bottom w:val="single" w:sz="6" w:space="0" w:color="C1C7D0"/>
              <w:right w:val="single" w:sz="6" w:space="0" w:color="C1C7D0"/>
            </w:tcBorders>
          </w:tcPr>
          <w:p w14:paraId="1118A62A" w14:textId="77777777" w:rsidR="00EA37AF"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community dwelling</w:t>
            </w:r>
          </w:p>
          <w:p w14:paraId="79AB4A68" w14:textId="77777777" w:rsidR="00EA37AF"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proofErr w:type="spellStart"/>
            <w:r>
              <w:rPr>
                <w:rFonts w:ascii="Quattrocento Sans" w:eastAsia="Quattrocento Sans" w:hAnsi="Quattrocento Sans" w:cs="Quattrocento Sans"/>
                <w:color w:val="172B4D"/>
                <w:sz w:val="21"/>
                <w:szCs w:val="21"/>
              </w:rPr>
              <w:t>specialised</w:t>
            </w:r>
            <w:proofErr w:type="spellEnd"/>
            <w:r>
              <w:rPr>
                <w:rFonts w:ascii="Quattrocento Sans" w:eastAsia="Quattrocento Sans" w:hAnsi="Quattrocento Sans" w:cs="Quattrocento Sans"/>
                <w:color w:val="172B4D"/>
                <w:sz w:val="21"/>
                <w:szCs w:val="21"/>
              </w:rPr>
              <w:t xml:space="preserve"> clinic</w:t>
            </w:r>
          </w:p>
          <w:p w14:paraId="3B527DFA" w14:textId="77777777" w:rsidR="00EA37AF"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primary hospital inpatients/outpatients</w:t>
            </w:r>
          </w:p>
          <w:p w14:paraId="66B7C5F2" w14:textId="77777777" w:rsidR="00EA37AF"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tertiary referral service</w:t>
            </w:r>
          </w:p>
          <w:p w14:paraId="3331C4DC" w14:textId="77777777" w:rsidR="00EA37AF" w:rsidRDefault="00000000">
            <w:pPr>
              <w:numPr>
                <w:ilvl w:val="0"/>
                <w:numId w:val="3"/>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w:t>
            </w:r>
          </w:p>
        </w:tc>
      </w:tr>
      <w:tr w:rsidR="00EA37AF" w14:paraId="33375214"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FE4527"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10: What is your functional outcome measure? Please select all measures of functioning that you collect, or specify others that are not listed below.</w:t>
            </w:r>
          </w:p>
          <w:p w14:paraId="08AFD931"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&lt;&lt;SELECTIONS&gt;&gt;</w:t>
            </w:r>
          </w:p>
        </w:tc>
        <w:tc>
          <w:tcPr>
            <w:tcW w:w="4253" w:type="dxa"/>
            <w:tcBorders>
              <w:top w:val="single" w:sz="6" w:space="0" w:color="C1C7D0"/>
              <w:left w:val="single" w:sz="6" w:space="0" w:color="C1C7D0"/>
              <w:bottom w:val="single" w:sz="6" w:space="0" w:color="C1C7D0"/>
              <w:right w:val="single" w:sz="6" w:space="0" w:color="C1C7D0"/>
            </w:tcBorders>
          </w:tcPr>
          <w:p w14:paraId="5D2BCF31"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World Health Organization Disability Assessment Scale (WHODAS)</w:t>
            </w:r>
          </w:p>
          <w:p w14:paraId="74B872F3"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Sheehan Disability Scale (SDS)</w:t>
            </w:r>
          </w:p>
          <w:p w14:paraId="631EC08C"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Social Adjustment Scale (SAS)</w:t>
            </w:r>
          </w:p>
          <w:p w14:paraId="2DCDA6D5"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Functioning Assessment Short Test (FAST)</w:t>
            </w:r>
          </w:p>
          <w:p w14:paraId="45860967"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Employment status</w:t>
            </w:r>
          </w:p>
          <w:p w14:paraId="42238DF5"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Marital status</w:t>
            </w:r>
          </w:p>
          <w:p w14:paraId="6909CC2A"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None of the above</w:t>
            </w:r>
          </w:p>
          <w:p w14:paraId="37EA5122" w14:textId="77777777" w:rsidR="00EA37AF" w:rsidRDefault="00000000">
            <w:pPr>
              <w:numPr>
                <w:ilvl w:val="0"/>
                <w:numId w:val="2"/>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 (please provide details below)</w:t>
            </w:r>
          </w:p>
        </w:tc>
      </w:tr>
      <w:tr w:rsidR="00EA37AF" w14:paraId="18D88C13"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54A31A"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11: Description of other functional outcome measure</w:t>
            </w:r>
          </w:p>
        </w:tc>
        <w:tc>
          <w:tcPr>
            <w:tcW w:w="4253" w:type="dxa"/>
            <w:tcBorders>
              <w:top w:val="single" w:sz="6" w:space="0" w:color="C1C7D0"/>
              <w:left w:val="single" w:sz="6" w:space="0" w:color="C1C7D0"/>
              <w:bottom w:val="single" w:sz="6" w:space="0" w:color="C1C7D0"/>
              <w:right w:val="single" w:sz="6" w:space="0" w:color="C1C7D0"/>
            </w:tcBorders>
          </w:tcPr>
          <w:p w14:paraId="0602147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06D8C901"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828321"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12: For how many patients do you have data for this functional measure? Please be exact as possible.</w:t>
            </w:r>
          </w:p>
        </w:tc>
        <w:tc>
          <w:tcPr>
            <w:tcW w:w="4253" w:type="dxa"/>
            <w:tcBorders>
              <w:top w:val="single" w:sz="6" w:space="0" w:color="C1C7D0"/>
              <w:left w:val="single" w:sz="6" w:space="0" w:color="C1C7D0"/>
              <w:bottom w:val="single" w:sz="6" w:space="0" w:color="C1C7D0"/>
              <w:right w:val="single" w:sz="6" w:space="0" w:color="C1C7D0"/>
            </w:tcBorders>
          </w:tcPr>
          <w:p w14:paraId="17ED54BE"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71FAB2A2"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A3E5E2"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lastRenderedPageBreak/>
              <w:t>Question 13: What tool do you use for diagnosis? Please select all measures that you collect, or specify others that are not listed below. Select all that apply. </w:t>
            </w:r>
          </w:p>
          <w:p w14:paraId="3BB6E39F"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&lt;&lt;SELECTIONS&gt;&gt;</w:t>
            </w:r>
          </w:p>
          <w:p w14:paraId="72472067" w14:textId="77777777" w:rsidR="00EA37AF" w:rsidRDefault="00EA37AF">
            <w:pPr>
              <w:spacing w:after="0" w:line="240" w:lineRule="auto"/>
              <w:rPr>
                <w:rFonts w:ascii="Quattrocento Sans" w:eastAsia="Quattrocento Sans" w:hAnsi="Quattrocento Sans" w:cs="Quattrocento Sans"/>
                <w:color w:val="172B4D"/>
                <w:sz w:val="21"/>
                <w:szCs w:val="21"/>
              </w:rPr>
            </w:pPr>
          </w:p>
        </w:tc>
        <w:tc>
          <w:tcPr>
            <w:tcW w:w="4253" w:type="dxa"/>
            <w:tcBorders>
              <w:top w:val="single" w:sz="6" w:space="0" w:color="C1C7D0"/>
              <w:left w:val="single" w:sz="6" w:space="0" w:color="C1C7D0"/>
              <w:bottom w:val="single" w:sz="6" w:space="0" w:color="C1C7D0"/>
              <w:right w:val="single" w:sz="6" w:space="0" w:color="C1C7D0"/>
            </w:tcBorders>
          </w:tcPr>
          <w:p w14:paraId="2DB300DC" w14:textId="77777777" w:rsidR="00EA37AF" w:rsidRDefault="00000000">
            <w:pPr>
              <w:numPr>
                <w:ilvl w:val="0"/>
                <w:numId w:val="5"/>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SCID</w:t>
            </w:r>
          </w:p>
          <w:p w14:paraId="4734D1E9" w14:textId="77777777" w:rsidR="00EA37AF" w:rsidRDefault="00000000">
            <w:pPr>
              <w:numPr>
                <w:ilvl w:val="0"/>
                <w:numId w:val="5"/>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DIGS</w:t>
            </w:r>
          </w:p>
          <w:p w14:paraId="5065B741" w14:textId="77777777" w:rsidR="00EA37AF" w:rsidRDefault="00000000">
            <w:pPr>
              <w:numPr>
                <w:ilvl w:val="0"/>
                <w:numId w:val="5"/>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MINI</w:t>
            </w:r>
          </w:p>
          <w:p w14:paraId="693409C2" w14:textId="77777777" w:rsidR="00EA37AF" w:rsidRDefault="00000000">
            <w:pPr>
              <w:numPr>
                <w:ilvl w:val="0"/>
                <w:numId w:val="5"/>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Clinical only</w:t>
            </w:r>
          </w:p>
          <w:p w14:paraId="0C674CD1" w14:textId="77777777" w:rsidR="00EA37AF" w:rsidRDefault="00000000">
            <w:pPr>
              <w:numPr>
                <w:ilvl w:val="0"/>
                <w:numId w:val="5"/>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 (please specify below)</w:t>
            </w:r>
          </w:p>
        </w:tc>
      </w:tr>
      <w:tr w:rsidR="00EA37AF" w14:paraId="309FE940"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A3E058"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14: Description of other diagnostic instrument employed</w:t>
            </w:r>
          </w:p>
        </w:tc>
        <w:tc>
          <w:tcPr>
            <w:tcW w:w="4253" w:type="dxa"/>
            <w:tcBorders>
              <w:top w:val="single" w:sz="6" w:space="0" w:color="C1C7D0"/>
              <w:left w:val="single" w:sz="6" w:space="0" w:color="C1C7D0"/>
              <w:bottom w:val="single" w:sz="6" w:space="0" w:color="C1C7D0"/>
              <w:right w:val="single" w:sz="6" w:space="0" w:color="C1C7D0"/>
            </w:tcBorders>
          </w:tcPr>
          <w:p w14:paraId="5EE27499"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117581B2"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1C403A9"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 xml:space="preserve">Question 15: Which mood ratings do you have on these patients (HDRS; MDRS; self-report; YMRS </w:t>
            </w:r>
            <w:proofErr w:type="spellStart"/>
            <w:r>
              <w:rPr>
                <w:rFonts w:ascii="Quattrocento Sans" w:eastAsia="Quattrocento Sans" w:hAnsi="Quattrocento Sans" w:cs="Quattrocento Sans"/>
                <w:color w:val="172B4D"/>
                <w:sz w:val="21"/>
                <w:szCs w:val="21"/>
              </w:rPr>
              <w:t>etc</w:t>
            </w:r>
            <w:proofErr w:type="spellEnd"/>
            <w:r>
              <w:rPr>
                <w:rFonts w:ascii="Quattrocento Sans" w:eastAsia="Quattrocento Sans" w:hAnsi="Quattrocento Sans" w:cs="Quattrocento Sans"/>
                <w:color w:val="172B4D"/>
                <w:sz w:val="21"/>
                <w:szCs w:val="21"/>
              </w:rPr>
              <w:t>)? Select all that apply. </w:t>
            </w:r>
          </w:p>
          <w:p w14:paraId="57CD21D7"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&lt;&lt;SELECTIONS&gt;&gt;</w:t>
            </w:r>
          </w:p>
        </w:tc>
        <w:tc>
          <w:tcPr>
            <w:tcW w:w="4253" w:type="dxa"/>
            <w:tcBorders>
              <w:top w:val="single" w:sz="6" w:space="0" w:color="C1C7D0"/>
              <w:left w:val="single" w:sz="6" w:space="0" w:color="C1C7D0"/>
              <w:bottom w:val="single" w:sz="6" w:space="0" w:color="C1C7D0"/>
              <w:right w:val="single" w:sz="6" w:space="0" w:color="C1C7D0"/>
            </w:tcBorders>
          </w:tcPr>
          <w:p w14:paraId="73981ED4" w14:textId="77777777" w:rsidR="00EA37AF" w:rsidRDefault="00000000">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Hamilton Depression Rating Scale (HDRS)</w:t>
            </w:r>
          </w:p>
          <w:p w14:paraId="2DE3A72C" w14:textId="77777777" w:rsidR="00EA37AF" w:rsidRDefault="00000000">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Montgomery-</w:t>
            </w:r>
            <w:proofErr w:type="spellStart"/>
            <w:r>
              <w:rPr>
                <w:rFonts w:ascii="Quattrocento Sans" w:eastAsia="Quattrocento Sans" w:hAnsi="Quattrocento Sans" w:cs="Quattrocento Sans"/>
                <w:color w:val="172B4D"/>
                <w:sz w:val="21"/>
                <w:szCs w:val="21"/>
              </w:rPr>
              <w:t>Asberg</w:t>
            </w:r>
            <w:proofErr w:type="spellEnd"/>
            <w:r>
              <w:rPr>
                <w:rFonts w:ascii="Quattrocento Sans" w:eastAsia="Quattrocento Sans" w:hAnsi="Quattrocento Sans" w:cs="Quattrocento Sans"/>
                <w:color w:val="172B4D"/>
                <w:sz w:val="21"/>
                <w:szCs w:val="21"/>
              </w:rPr>
              <w:t xml:space="preserve"> Depression Rating Scale (MADRS)</w:t>
            </w:r>
          </w:p>
          <w:p w14:paraId="11911C14" w14:textId="77777777" w:rsidR="00EA37AF" w:rsidRDefault="00000000">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Young Mania Rating Scale (YMRS)</w:t>
            </w:r>
          </w:p>
          <w:p w14:paraId="06EEDD9F" w14:textId="77777777" w:rsidR="00EA37AF" w:rsidRDefault="00000000">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Self-report</w:t>
            </w:r>
          </w:p>
          <w:p w14:paraId="14B8D2A3" w14:textId="77777777" w:rsidR="00EA37AF" w:rsidRDefault="00000000">
            <w:pPr>
              <w:numPr>
                <w:ilvl w:val="0"/>
                <w:numId w:val="6"/>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 (please specify below)</w:t>
            </w:r>
          </w:p>
        </w:tc>
      </w:tr>
      <w:tr w:rsidR="00EA37AF" w14:paraId="1939C74F"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3FD5245"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16: Description of other mood rating instrument employed</w:t>
            </w:r>
          </w:p>
        </w:tc>
        <w:tc>
          <w:tcPr>
            <w:tcW w:w="4253" w:type="dxa"/>
            <w:tcBorders>
              <w:top w:val="single" w:sz="6" w:space="0" w:color="C1C7D0"/>
              <w:left w:val="single" w:sz="6" w:space="0" w:color="C1C7D0"/>
              <w:bottom w:val="single" w:sz="6" w:space="0" w:color="C1C7D0"/>
              <w:right w:val="single" w:sz="6" w:space="0" w:color="C1C7D0"/>
            </w:tcBorders>
          </w:tcPr>
          <w:p w14:paraId="0849FB49"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39CAEC52"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89FE67B"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17: Do you have biostatistical support &amp;amp;/or capacity to conduct analyses in your data (e.g. a logistic regression to predict good versus bad global functioning)? &lt;&lt;SELECTIONS&gt;&gt;</w:t>
            </w:r>
          </w:p>
        </w:tc>
        <w:tc>
          <w:tcPr>
            <w:tcW w:w="4253" w:type="dxa"/>
            <w:tcBorders>
              <w:top w:val="single" w:sz="6" w:space="0" w:color="C1C7D0"/>
              <w:left w:val="single" w:sz="6" w:space="0" w:color="C1C7D0"/>
              <w:bottom w:val="single" w:sz="6" w:space="0" w:color="C1C7D0"/>
              <w:right w:val="single" w:sz="6" w:space="0" w:color="C1C7D0"/>
            </w:tcBorders>
          </w:tcPr>
          <w:p w14:paraId="0959F326"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Yes</w:t>
            </w:r>
          </w:p>
          <w:p w14:paraId="5AD1B2F3"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w:t>
            </w:r>
          </w:p>
        </w:tc>
      </w:tr>
      <w:tr w:rsidR="00EA37AF" w14:paraId="5CBDCD51"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8D8C9AD"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18: If you have a data manager who can be contacted directly in regards to data or analysis requests, please provide their name and email address below: </w:t>
            </w:r>
          </w:p>
        </w:tc>
        <w:tc>
          <w:tcPr>
            <w:tcW w:w="4253" w:type="dxa"/>
            <w:tcBorders>
              <w:top w:val="single" w:sz="6" w:space="0" w:color="C1C7D0"/>
              <w:left w:val="single" w:sz="6" w:space="0" w:color="C1C7D0"/>
              <w:bottom w:val="single" w:sz="6" w:space="0" w:color="C1C7D0"/>
              <w:right w:val="single" w:sz="6" w:space="0" w:color="C1C7D0"/>
            </w:tcBorders>
          </w:tcPr>
          <w:p w14:paraId="6FBDBB0D"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1BCCB6AA"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7A9655"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19: Do you have biological samples for some or all of this cohort? Select all that apply. &lt;&lt;CHECKBOX SELECTIONS&gt;&gt;</w:t>
            </w:r>
          </w:p>
        </w:tc>
        <w:tc>
          <w:tcPr>
            <w:tcW w:w="4253" w:type="dxa"/>
            <w:tcBorders>
              <w:top w:val="single" w:sz="6" w:space="0" w:color="C1C7D0"/>
              <w:left w:val="single" w:sz="6" w:space="0" w:color="C1C7D0"/>
              <w:bottom w:val="single" w:sz="6" w:space="0" w:color="C1C7D0"/>
              <w:right w:val="single" w:sz="6" w:space="0" w:color="C1C7D0"/>
            </w:tcBorders>
          </w:tcPr>
          <w:p w14:paraId="11E62907"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Blood samples</w:t>
            </w:r>
          </w:p>
          <w:p w14:paraId="45C0A578"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proofErr w:type="spellStart"/>
            <w:r>
              <w:rPr>
                <w:rFonts w:ascii="Quattrocento Sans" w:eastAsia="Quattrocento Sans" w:hAnsi="Quattrocento Sans" w:cs="Quattrocento Sans"/>
                <w:color w:val="172B4D"/>
                <w:sz w:val="21"/>
                <w:szCs w:val="21"/>
              </w:rPr>
              <w:t>Immortilised</w:t>
            </w:r>
            <w:proofErr w:type="spellEnd"/>
            <w:r>
              <w:rPr>
                <w:rFonts w:ascii="Quattrocento Sans" w:eastAsia="Quattrocento Sans" w:hAnsi="Quattrocento Sans" w:cs="Quattrocento Sans"/>
                <w:color w:val="172B4D"/>
                <w:sz w:val="21"/>
                <w:szCs w:val="21"/>
              </w:rPr>
              <w:t xml:space="preserve"> cell lines (EBV)</w:t>
            </w:r>
          </w:p>
          <w:p w14:paraId="0A98C1B7"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Serum/plasma</w:t>
            </w:r>
          </w:p>
          <w:p w14:paraId="214C4A25"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Extracted DNA</w:t>
            </w:r>
          </w:p>
          <w:p w14:paraId="06C53DEB"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Genome-wide genotype data</w:t>
            </w:r>
          </w:p>
          <w:p w14:paraId="57E516FE"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None</w:t>
            </w:r>
          </w:p>
          <w:p w14:paraId="0AAFF813" w14:textId="77777777" w:rsidR="00EA37AF" w:rsidRDefault="00000000">
            <w:pPr>
              <w:numPr>
                <w:ilvl w:val="0"/>
                <w:numId w:val="7"/>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 (please specify)</w:t>
            </w:r>
          </w:p>
        </w:tc>
      </w:tr>
      <w:tr w:rsidR="00EA37AF" w14:paraId="3EED240D"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884F5B"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20: Do you have cognitive data on some or all of these subjects? If so, do you have at least 3 tests that measure different cognitive domains? &lt;&lt;SELECTIONS&gt;&gt;</w:t>
            </w:r>
          </w:p>
        </w:tc>
        <w:tc>
          <w:tcPr>
            <w:tcW w:w="4253" w:type="dxa"/>
            <w:tcBorders>
              <w:top w:val="single" w:sz="6" w:space="0" w:color="C1C7D0"/>
              <w:left w:val="single" w:sz="6" w:space="0" w:color="C1C7D0"/>
              <w:bottom w:val="single" w:sz="6" w:space="0" w:color="C1C7D0"/>
              <w:right w:val="single" w:sz="6" w:space="0" w:color="C1C7D0"/>
            </w:tcBorders>
          </w:tcPr>
          <w:p w14:paraId="6359275B"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 xml:space="preserve">Yes - all participants </w:t>
            </w:r>
          </w:p>
          <w:p w14:paraId="6E47AAF8"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 xml:space="preserve">Yes - subset </w:t>
            </w:r>
          </w:p>
          <w:p w14:paraId="4E76CEEC" w14:textId="77777777" w:rsidR="00EA37AF" w:rsidRDefault="00000000">
            <w:pPr>
              <w:numPr>
                <w:ilvl w:val="0"/>
                <w:numId w:val="4"/>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w:t>
            </w:r>
          </w:p>
        </w:tc>
      </w:tr>
      <w:tr w:rsidR="00EA37AF" w14:paraId="3500544D"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8CEB47"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21: Description of cognitive instruments employed, domains captured and proportion of participants with data</w:t>
            </w:r>
          </w:p>
        </w:tc>
        <w:tc>
          <w:tcPr>
            <w:tcW w:w="4253" w:type="dxa"/>
            <w:tcBorders>
              <w:top w:val="single" w:sz="6" w:space="0" w:color="C1C7D0"/>
              <w:left w:val="single" w:sz="6" w:space="0" w:color="C1C7D0"/>
              <w:bottom w:val="single" w:sz="6" w:space="0" w:color="C1C7D0"/>
              <w:right w:val="single" w:sz="6" w:space="0" w:color="C1C7D0"/>
            </w:tcBorders>
          </w:tcPr>
          <w:p w14:paraId="7B2AD37D"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230937AC"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8AEEB68"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22: In regards to pharmaceutical treatments, have you collected data on medication use for some or all participants? Please indicate the types of medications used by cohort participants. &lt;&lt;SELECTIONS&gt;&gt;</w:t>
            </w:r>
          </w:p>
        </w:tc>
        <w:tc>
          <w:tcPr>
            <w:tcW w:w="4253" w:type="dxa"/>
            <w:tcBorders>
              <w:top w:val="single" w:sz="6" w:space="0" w:color="C1C7D0"/>
              <w:left w:val="single" w:sz="6" w:space="0" w:color="C1C7D0"/>
              <w:bottom w:val="single" w:sz="6" w:space="0" w:color="C1C7D0"/>
              <w:right w:val="single" w:sz="6" w:space="0" w:color="C1C7D0"/>
            </w:tcBorders>
          </w:tcPr>
          <w:p w14:paraId="1989E208"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Lithium</w:t>
            </w:r>
          </w:p>
          <w:p w14:paraId="59B0F9F0"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Anti-depressants (SSRIs, SNRIs, atypical antidepressants, tricyclic antidepressants, MAOIs)</w:t>
            </w:r>
          </w:p>
          <w:p w14:paraId="75714C64"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Anti-</w:t>
            </w:r>
            <w:proofErr w:type="spellStart"/>
            <w:r>
              <w:rPr>
                <w:rFonts w:ascii="Quattrocento Sans" w:eastAsia="Quattrocento Sans" w:hAnsi="Quattrocento Sans" w:cs="Quattrocento Sans"/>
                <w:color w:val="172B4D"/>
                <w:sz w:val="21"/>
                <w:szCs w:val="21"/>
              </w:rPr>
              <w:t>convulsants</w:t>
            </w:r>
            <w:proofErr w:type="spellEnd"/>
            <w:r>
              <w:rPr>
                <w:rFonts w:ascii="Quattrocento Sans" w:eastAsia="Quattrocento Sans" w:hAnsi="Quattrocento Sans" w:cs="Quattrocento Sans"/>
                <w:color w:val="172B4D"/>
                <w:sz w:val="21"/>
                <w:szCs w:val="21"/>
              </w:rPr>
              <w:t xml:space="preserve"> (e.g. valproic acid; carbamazepine; lamotrigine)</w:t>
            </w:r>
          </w:p>
          <w:p w14:paraId="168CA13A"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Anti-psychotics (e.g. aripiprazole; clozapine; olanzapine; quetiapine; risperidone; ziprasidone)</w:t>
            </w:r>
          </w:p>
          <w:p w14:paraId="2C11DC27"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lastRenderedPageBreak/>
              <w:t xml:space="preserve">Polypharmacy (e.g. two antipsychotics; </w:t>
            </w:r>
            <w:proofErr w:type="spellStart"/>
            <w:r>
              <w:rPr>
                <w:rFonts w:ascii="Quattrocento Sans" w:eastAsia="Quattrocento Sans" w:hAnsi="Quattrocento Sans" w:cs="Quattrocento Sans"/>
                <w:color w:val="172B4D"/>
                <w:sz w:val="21"/>
                <w:szCs w:val="21"/>
              </w:rPr>
              <w:t>antipsychotic+convulsant</w:t>
            </w:r>
            <w:proofErr w:type="spellEnd"/>
            <w:r>
              <w:rPr>
                <w:rFonts w:ascii="Quattrocento Sans" w:eastAsia="Quattrocento Sans" w:hAnsi="Quattrocento Sans" w:cs="Quattrocento Sans"/>
                <w:color w:val="172B4D"/>
                <w:sz w:val="21"/>
                <w:szCs w:val="21"/>
              </w:rPr>
              <w:t>)</w:t>
            </w:r>
          </w:p>
          <w:p w14:paraId="443792D8" w14:textId="77777777" w:rsidR="00EA37AF" w:rsidRDefault="00000000">
            <w:pPr>
              <w:numPr>
                <w:ilvl w:val="0"/>
                <w:numId w:val="8"/>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Medication data not collected</w:t>
            </w:r>
          </w:p>
        </w:tc>
      </w:tr>
      <w:tr w:rsidR="00EA37AF" w14:paraId="47F1C25A"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3A974BD"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lastRenderedPageBreak/>
              <w:t>Question 23: If you have data on the number or % of participants treated with the above medication classes, &amp;amp;/or timing of treatment, please specify details here:</w:t>
            </w:r>
          </w:p>
        </w:tc>
        <w:tc>
          <w:tcPr>
            <w:tcW w:w="4253" w:type="dxa"/>
            <w:tcBorders>
              <w:top w:val="single" w:sz="6" w:space="0" w:color="C1C7D0"/>
              <w:left w:val="single" w:sz="6" w:space="0" w:color="C1C7D0"/>
              <w:bottom w:val="single" w:sz="6" w:space="0" w:color="C1C7D0"/>
              <w:right w:val="single" w:sz="6" w:space="0" w:color="C1C7D0"/>
            </w:tcBorders>
          </w:tcPr>
          <w:p w14:paraId="06F0336E"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r w:rsidR="00EA37AF" w14:paraId="620AC2FB"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B9C3CC"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24: What is the predominant ethnicity of cohort participants? Select all that apply. &lt;&lt;SELECTIONS&gt;&gt;</w:t>
            </w:r>
          </w:p>
        </w:tc>
        <w:tc>
          <w:tcPr>
            <w:tcW w:w="4253" w:type="dxa"/>
            <w:tcBorders>
              <w:top w:val="single" w:sz="6" w:space="0" w:color="C1C7D0"/>
              <w:left w:val="single" w:sz="6" w:space="0" w:color="C1C7D0"/>
              <w:bottom w:val="single" w:sz="6" w:space="0" w:color="C1C7D0"/>
              <w:right w:val="single" w:sz="6" w:space="0" w:color="C1C7D0"/>
            </w:tcBorders>
          </w:tcPr>
          <w:p w14:paraId="11993F6E"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EAST ASIAN ANCESTRY (select sub-category below, if known) [Burmese, Cambodian, Dia Chinese, Han Chinese, Japanese, Korean, Taiwanese, Thai, Vietnamese]</w:t>
            </w:r>
          </w:p>
          <w:p w14:paraId="3F231C07"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SOUTH ASIAN ANCESTRY (select sub-category below, if known) [Bangladeshi, Bengali, Indian, Pakistani, Sri Lankan, Tamil, Telugu]</w:t>
            </w:r>
          </w:p>
          <w:p w14:paraId="40F713CE" w14:textId="77777777" w:rsidR="00EA37AF" w:rsidRDefault="00000000">
            <w:pPr>
              <w:numPr>
                <w:ilvl w:val="0"/>
                <w:numId w:val="9"/>
              </w:numPr>
              <w:pBdr>
                <w:top w:val="nil"/>
                <w:left w:val="nil"/>
                <w:bottom w:val="nil"/>
                <w:right w:val="nil"/>
                <w:between w:val="nil"/>
              </w:pBdr>
              <w:spacing w:after="0" w:line="240" w:lineRule="auto"/>
            </w:pPr>
            <w:r>
              <w:rPr>
                <w:rFonts w:ascii="Quattrocento Sans" w:eastAsia="Quattrocento Sans" w:hAnsi="Quattrocento Sans" w:cs="Quattrocento Sans"/>
                <w:color w:val="172B4D"/>
                <w:sz w:val="21"/>
                <w:szCs w:val="21"/>
              </w:rPr>
              <w:t>EUROPEAN ANCESTRY (select sub-category below, if known)</w:t>
            </w:r>
            <w:r>
              <w:rPr>
                <w:color w:val="000000"/>
              </w:rPr>
              <w:t xml:space="preserve">  </w:t>
            </w:r>
            <w:r>
              <w:rPr>
                <w:rFonts w:ascii="Quattrocento Sans" w:eastAsia="Quattrocento Sans" w:hAnsi="Quattrocento Sans" w:cs="Quattrocento Sans"/>
                <w:color w:val="172B4D"/>
                <w:sz w:val="21"/>
                <w:szCs w:val="21"/>
              </w:rPr>
              <w:t xml:space="preserve">[British, Finnish, Iberian/Spanish, </w:t>
            </w:r>
            <w:proofErr w:type="spellStart"/>
            <w:r>
              <w:rPr>
                <w:rFonts w:ascii="Quattrocento Sans" w:eastAsia="Quattrocento Sans" w:hAnsi="Quattrocento Sans" w:cs="Quattrocento Sans"/>
                <w:color w:val="172B4D"/>
                <w:sz w:val="21"/>
                <w:szCs w:val="21"/>
              </w:rPr>
              <w:t>Toascani</w:t>
            </w:r>
            <w:proofErr w:type="spellEnd"/>
            <w:r>
              <w:rPr>
                <w:rFonts w:ascii="Quattrocento Sans" w:eastAsia="Quattrocento Sans" w:hAnsi="Quattrocento Sans" w:cs="Quattrocento Sans"/>
                <w:color w:val="172B4D"/>
                <w:sz w:val="21"/>
                <w:szCs w:val="21"/>
              </w:rPr>
              <w:t>/Italian, Northern &amp; Western European, Eastern European]</w:t>
            </w:r>
          </w:p>
          <w:p w14:paraId="61BFA8D1"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AFRICAN ANCESTRY (select sub-category below, if known) [African Ancestry SW, African Caribbean, Esan, Gambian, Luhya, Mende, Yoruba]</w:t>
            </w:r>
          </w:p>
          <w:p w14:paraId="10BC31BF"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AMERICAN ANCESTRY (select sub-category below, if known) [Colombian, Mexican, Peruvian, Puerto Rican]</w:t>
            </w:r>
          </w:p>
          <w:p w14:paraId="1ECD1B5E"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DATA NOT COLLECTED (or not legislatively possible to share information)</w:t>
            </w:r>
          </w:p>
          <w:p w14:paraId="3D9FBAB8"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w:t>
            </w:r>
          </w:p>
          <w:p w14:paraId="33CAE8F4" w14:textId="77777777" w:rsidR="00EA37AF" w:rsidRDefault="00EA37AF">
            <w:pPr>
              <w:pBdr>
                <w:top w:val="nil"/>
                <w:left w:val="nil"/>
                <w:bottom w:val="nil"/>
                <w:right w:val="nil"/>
                <w:between w:val="nil"/>
              </w:pBdr>
              <w:spacing w:after="0" w:line="240" w:lineRule="auto"/>
              <w:ind w:left="720"/>
              <w:rPr>
                <w:rFonts w:ascii="Quattrocento Sans" w:eastAsia="Quattrocento Sans" w:hAnsi="Quattrocento Sans" w:cs="Quattrocento Sans"/>
                <w:color w:val="172B4D"/>
                <w:sz w:val="21"/>
                <w:szCs w:val="21"/>
              </w:rPr>
            </w:pPr>
          </w:p>
          <w:p w14:paraId="0A57B6C1" w14:textId="77777777" w:rsidR="00EA37AF" w:rsidRDefault="00EA37AF">
            <w:pPr>
              <w:pBdr>
                <w:top w:val="nil"/>
                <w:left w:val="nil"/>
                <w:bottom w:val="nil"/>
                <w:right w:val="nil"/>
                <w:between w:val="nil"/>
              </w:pBdr>
              <w:spacing w:after="0" w:line="240" w:lineRule="auto"/>
              <w:ind w:left="720"/>
              <w:rPr>
                <w:rFonts w:ascii="Quattrocento Sans" w:eastAsia="Quattrocento Sans" w:hAnsi="Quattrocento Sans" w:cs="Quattrocento Sans"/>
                <w:color w:val="172B4D"/>
                <w:sz w:val="21"/>
                <w:szCs w:val="21"/>
              </w:rPr>
            </w:pPr>
          </w:p>
        </w:tc>
      </w:tr>
      <w:tr w:rsidR="00EA37AF" w14:paraId="00FD6A8C"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1E71237"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25: The following three questions are for a separate study of longitudinal functional trajectories, led by Marion Leboyer, University of Paris. Please complete these following responses only if you have longitudinal data for this cohort, noting that responses to the following questions are not required to participate in the primary GBC functional outcomes study. &lt;&lt;SELECTIONS&gt;&gt;</w:t>
            </w:r>
          </w:p>
        </w:tc>
        <w:tc>
          <w:tcPr>
            <w:tcW w:w="4253" w:type="dxa"/>
            <w:tcBorders>
              <w:top w:val="single" w:sz="6" w:space="0" w:color="C1C7D0"/>
              <w:left w:val="single" w:sz="6" w:space="0" w:color="C1C7D0"/>
              <w:bottom w:val="single" w:sz="6" w:space="0" w:color="C1C7D0"/>
              <w:right w:val="single" w:sz="6" w:space="0" w:color="C1C7D0"/>
            </w:tcBorders>
          </w:tcPr>
          <w:p w14:paraId="28B2AB90"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Yes, I have longitudinal data for some or all of the study participants</w:t>
            </w:r>
          </w:p>
          <w:p w14:paraId="696C7625"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No, I have no longitudinal data for study participants</w:t>
            </w:r>
          </w:p>
        </w:tc>
      </w:tr>
      <w:tr w:rsidR="00EA37AF" w14:paraId="21A72943"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ED2F10"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26: How many time points do you have for functional outcome measures? &lt;&lt;SELECTIONS&gt;&gt;</w:t>
            </w:r>
          </w:p>
        </w:tc>
        <w:tc>
          <w:tcPr>
            <w:tcW w:w="4253" w:type="dxa"/>
            <w:tcBorders>
              <w:top w:val="single" w:sz="6" w:space="0" w:color="C1C7D0"/>
              <w:left w:val="single" w:sz="6" w:space="0" w:color="C1C7D0"/>
              <w:bottom w:val="single" w:sz="6" w:space="0" w:color="C1C7D0"/>
              <w:right w:val="single" w:sz="6" w:space="0" w:color="C1C7D0"/>
            </w:tcBorders>
          </w:tcPr>
          <w:p w14:paraId="6A33471D"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1</w:t>
            </w:r>
          </w:p>
          <w:p w14:paraId="4C3C01C2"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2</w:t>
            </w:r>
          </w:p>
          <w:p w14:paraId="351C4605"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3</w:t>
            </w:r>
          </w:p>
          <w:p w14:paraId="18B6FFCA"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4</w:t>
            </w:r>
          </w:p>
          <w:p w14:paraId="3F7FB748" w14:textId="77777777" w:rsidR="00EA37AF" w:rsidRDefault="00000000">
            <w:pPr>
              <w:numPr>
                <w:ilvl w:val="0"/>
                <w:numId w:val="9"/>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5 or more</w:t>
            </w:r>
          </w:p>
        </w:tc>
      </w:tr>
      <w:tr w:rsidR="00EA37AF" w14:paraId="4BAA652C"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E6BC98"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Question 27: What is the approximate frequency of longitudinal measurements? &lt;&lt;SELECTIONS&gt;&gt;</w:t>
            </w:r>
          </w:p>
        </w:tc>
        <w:tc>
          <w:tcPr>
            <w:tcW w:w="4253" w:type="dxa"/>
            <w:tcBorders>
              <w:top w:val="single" w:sz="6" w:space="0" w:color="C1C7D0"/>
              <w:left w:val="single" w:sz="6" w:space="0" w:color="C1C7D0"/>
              <w:bottom w:val="single" w:sz="6" w:space="0" w:color="C1C7D0"/>
              <w:right w:val="single" w:sz="6" w:space="0" w:color="C1C7D0"/>
            </w:tcBorders>
          </w:tcPr>
          <w:p w14:paraId="42DDD11C"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Monthly</w:t>
            </w:r>
          </w:p>
          <w:p w14:paraId="52ABFA5C"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Semi-annually (i.e. every 6 months)</w:t>
            </w:r>
          </w:p>
          <w:p w14:paraId="2AB0776F"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Annually</w:t>
            </w:r>
          </w:p>
          <w:p w14:paraId="4EE2B943"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lastRenderedPageBreak/>
              <w:t>Bi-annually (i.e. every 2 years)</w:t>
            </w:r>
          </w:p>
          <w:p w14:paraId="6AEA144E"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Realtime monitoring (e.g. smartphone app)</w:t>
            </w:r>
          </w:p>
          <w:p w14:paraId="3119F3CA" w14:textId="77777777" w:rsidR="00EA37AF" w:rsidRDefault="00000000">
            <w:pPr>
              <w:numPr>
                <w:ilvl w:val="0"/>
                <w:numId w:val="10"/>
              </w:numPr>
              <w:pBdr>
                <w:top w:val="nil"/>
                <w:left w:val="nil"/>
                <w:bottom w:val="nil"/>
                <w:right w:val="nil"/>
                <w:between w:val="nil"/>
              </w:pBd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Other</w:t>
            </w:r>
          </w:p>
        </w:tc>
      </w:tr>
      <w:tr w:rsidR="00EA37AF" w14:paraId="2F2C5FE0" w14:textId="77777777">
        <w:tc>
          <w:tcPr>
            <w:tcW w:w="523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F82C30"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lastRenderedPageBreak/>
              <w:t>Question 28: What is the sample size for this longitudinal data?</w:t>
            </w:r>
          </w:p>
        </w:tc>
        <w:tc>
          <w:tcPr>
            <w:tcW w:w="4253" w:type="dxa"/>
            <w:tcBorders>
              <w:top w:val="single" w:sz="6" w:space="0" w:color="C1C7D0"/>
              <w:left w:val="single" w:sz="6" w:space="0" w:color="C1C7D0"/>
              <w:bottom w:val="single" w:sz="6" w:space="0" w:color="C1C7D0"/>
              <w:right w:val="single" w:sz="6" w:space="0" w:color="C1C7D0"/>
            </w:tcBorders>
          </w:tcPr>
          <w:p w14:paraId="65C41A28" w14:textId="77777777" w:rsidR="00EA37AF" w:rsidRDefault="00000000">
            <w:pPr>
              <w:spacing w:after="0" w:line="240" w:lineRule="auto"/>
              <w:rPr>
                <w:rFonts w:ascii="Quattrocento Sans" w:eastAsia="Quattrocento Sans" w:hAnsi="Quattrocento Sans" w:cs="Quattrocento Sans"/>
                <w:color w:val="172B4D"/>
                <w:sz w:val="21"/>
                <w:szCs w:val="21"/>
              </w:rPr>
            </w:pPr>
            <w:r>
              <w:rPr>
                <w:rFonts w:ascii="Quattrocento Sans" w:eastAsia="Quattrocento Sans" w:hAnsi="Quattrocento Sans" w:cs="Quattrocento Sans"/>
                <w:color w:val="172B4D"/>
                <w:sz w:val="21"/>
                <w:szCs w:val="21"/>
              </w:rPr>
              <w:t>(Open text)</w:t>
            </w:r>
          </w:p>
        </w:tc>
      </w:tr>
    </w:tbl>
    <w:p w14:paraId="5466EB11" w14:textId="77777777" w:rsidR="00EA37AF" w:rsidRDefault="00EA37AF">
      <w:pPr>
        <w:sectPr w:rsidR="00EA37AF">
          <w:pgSz w:w="11906" w:h="16838"/>
          <w:pgMar w:top="1440" w:right="1440" w:bottom="1440" w:left="1440" w:header="720" w:footer="720" w:gutter="0"/>
          <w:cols w:space="720"/>
        </w:sectPr>
      </w:pPr>
    </w:p>
    <w:p w14:paraId="0B54CB16" w14:textId="77777777" w:rsidR="00EA37AF" w:rsidRDefault="00EA37AF">
      <w:pPr>
        <w:sectPr w:rsidR="00EA37AF">
          <w:pgSz w:w="16838" w:h="11906" w:orient="landscape"/>
          <w:pgMar w:top="1440" w:right="1440" w:bottom="1440" w:left="1440" w:header="720" w:footer="720" w:gutter="0"/>
          <w:cols w:space="720"/>
        </w:sectPr>
      </w:pPr>
    </w:p>
    <w:p w14:paraId="4EFFD1A6" w14:textId="77777777" w:rsidR="00EA37AF" w:rsidRDefault="00EA37AF">
      <w:pPr>
        <w:sectPr w:rsidR="00EA37AF">
          <w:pgSz w:w="11906" w:h="16838"/>
          <w:pgMar w:top="1440" w:right="1440" w:bottom="1440" w:left="1440" w:header="720" w:footer="720" w:gutter="0"/>
          <w:cols w:space="720"/>
        </w:sectPr>
      </w:pPr>
    </w:p>
    <w:p w14:paraId="471AB228" w14:textId="77777777" w:rsidR="00EA37AF" w:rsidRDefault="00EA37AF"/>
    <w:sectPr w:rsidR="00EA37AF">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B9C29" w14:textId="77777777" w:rsidR="005C1DE9" w:rsidRDefault="005C1DE9">
      <w:pPr>
        <w:spacing w:after="0" w:line="240" w:lineRule="auto"/>
      </w:pPr>
      <w:r>
        <w:separator/>
      </w:r>
    </w:p>
  </w:endnote>
  <w:endnote w:type="continuationSeparator" w:id="0">
    <w:p w14:paraId="2F9D6C1C" w14:textId="77777777" w:rsidR="005C1DE9" w:rsidRDefault="005C1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A428EBE3-96D8-B444-8D9E-27EA8FCA08C2}"/>
  </w:font>
  <w:font w:name="Calibri">
    <w:panose1 w:val="020F0502020204030204"/>
    <w:charset w:val="00"/>
    <w:family w:val="swiss"/>
    <w:pitch w:val="variable"/>
    <w:sig w:usb0="E0002AFF" w:usb1="C000ACFF" w:usb2="00000009" w:usb3="00000000" w:csb0="000001FF" w:csb1="00000000"/>
    <w:embedRegular r:id="rId3" w:fontKey="{750950D5-BC72-DB48-B6BD-D6F7F467EA10}"/>
    <w:embedBold r:id="rId4" w:fontKey="{DD021B1D-15E4-1D42-96BC-76E743BF00D3}"/>
    <w:embedItalic r:id="rId5" w:fontKey="{0D7170BD-49FC-AF4C-A849-705969B54917}"/>
    <w:embedBoldItalic r:id="rId6" w:fontKey="{07F05EC4-C670-E44C-8225-2B5D0A37F52C}"/>
  </w:font>
  <w:font w:name="Times New Roman">
    <w:panose1 w:val="02020603050405020304"/>
    <w:charset w:val="00"/>
    <w:family w:val="roman"/>
    <w:pitch w:val="variable"/>
    <w:sig w:usb0="E0002EFF" w:usb1="C000785B" w:usb2="00000009" w:usb3="00000000" w:csb0="000001FF" w:csb1="00000000"/>
    <w:embedRegular r:id="rId7" w:fontKey="{9C2B38B5-EAEC-B34E-BBD4-07B2BBA9AACF}"/>
    <w:embedBold r:id="rId8" w:fontKey="{F989CCC0-39FA-0F4D-AF6A-4C5050D0119B}"/>
    <w:embedItalic r:id="rId9" w:fontKey="{87BAF31B-94C6-1B4E-B9E4-B6043137D83F}"/>
  </w:font>
  <w:font w:name="Segoe UI">
    <w:panose1 w:val="020B0502040204020203"/>
    <w:charset w:val="00"/>
    <w:family w:val="swiss"/>
    <w:pitch w:val="variable"/>
    <w:sig w:usb0="E4002EFF" w:usb1="C000E47F" w:usb2="00000009" w:usb3="00000000" w:csb0="000001FF" w:csb1="00000000"/>
    <w:embedRegular r:id="rId10" w:fontKey="{2FDB2CCF-91F5-014F-AC9D-B8B98AB820EC}"/>
  </w:font>
  <w:font w:name="Georgia">
    <w:panose1 w:val="02040502050405020303"/>
    <w:charset w:val="00"/>
    <w:family w:val="roman"/>
    <w:pitch w:val="variable"/>
    <w:sig w:usb0="00000287" w:usb1="00000000" w:usb2="00000000" w:usb3="00000000" w:csb0="0000009F" w:csb1="00000000"/>
    <w:embedItalic r:id="rId11" w:fontKey="{C73D035E-8E6F-DD47-9B4F-A9FBB1CC1BF5}"/>
  </w:font>
  <w:font w:name="Quattrocento Sans">
    <w:panose1 w:val="020B0502050000020003"/>
    <w:charset w:val="00"/>
    <w:family w:val="swiss"/>
    <w:pitch w:val="variable"/>
    <w:sig w:usb0="800000BF" w:usb1="4000005B" w:usb2="00000000" w:usb3="00000000" w:csb0="00000001" w:csb1="00000000"/>
    <w:embedRegular r:id="rId12" w:fontKey="{E5636543-B8F3-3C41-8846-2802A29263FE}"/>
  </w:font>
  <w:font w:name="Calibri Light">
    <w:panose1 w:val="020F0302020204030204"/>
    <w:charset w:val="00"/>
    <w:family w:val="swiss"/>
    <w:pitch w:val="variable"/>
    <w:sig w:usb0="E0002AFF" w:usb1="C000247B" w:usb2="00000009" w:usb3="00000000" w:csb0="000001FF" w:csb1="00000000"/>
    <w:embedRegular r:id="rId13" w:fontKey="{EA91C265-9DE1-5C43-8A6E-602BB16CFFF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2F583" w14:textId="77777777" w:rsidR="005C1DE9" w:rsidRDefault="005C1DE9">
      <w:pPr>
        <w:spacing w:after="0" w:line="240" w:lineRule="auto"/>
      </w:pPr>
      <w:r>
        <w:separator/>
      </w:r>
    </w:p>
  </w:footnote>
  <w:footnote w:type="continuationSeparator" w:id="0">
    <w:p w14:paraId="26CEC24D" w14:textId="77777777" w:rsidR="005C1DE9" w:rsidRDefault="005C1D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E2AEC" w14:textId="282423BE" w:rsidR="00EA37AF" w:rsidRDefault="00EA37AF">
    <w:pPr>
      <w:pBdr>
        <w:top w:val="nil"/>
        <w:left w:val="nil"/>
        <w:bottom w:val="nil"/>
        <w:right w:val="nil"/>
        <w:between w:val="nil"/>
      </w:pBdr>
      <w:tabs>
        <w:tab w:val="center" w:pos="4513"/>
        <w:tab w:val="right" w:pos="9026"/>
      </w:tabs>
      <w:spacing w:after="0" w:line="240" w:lineRule="auto"/>
      <w:rPr>
        <w:b/>
        <w:bCs/>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ADD5" w14:textId="77777777" w:rsidR="00EA37AF" w:rsidRDefault="00EA37AF">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831"/>
    <w:multiLevelType w:val="multilevel"/>
    <w:tmpl w:val="A6EADC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93618B"/>
    <w:multiLevelType w:val="multilevel"/>
    <w:tmpl w:val="DA720A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631EE4"/>
    <w:multiLevelType w:val="multilevel"/>
    <w:tmpl w:val="74345C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5811CF4"/>
    <w:multiLevelType w:val="multilevel"/>
    <w:tmpl w:val="CE6490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A6600"/>
    <w:multiLevelType w:val="multilevel"/>
    <w:tmpl w:val="DA1AA3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D828AE"/>
    <w:multiLevelType w:val="multilevel"/>
    <w:tmpl w:val="B81829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48368CE"/>
    <w:multiLevelType w:val="multilevel"/>
    <w:tmpl w:val="CAC687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FA0B8F"/>
    <w:multiLevelType w:val="multilevel"/>
    <w:tmpl w:val="2BD4C6A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0FF6FAB"/>
    <w:multiLevelType w:val="multilevel"/>
    <w:tmpl w:val="A95EE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0051BF"/>
    <w:multiLevelType w:val="multilevel"/>
    <w:tmpl w:val="891A4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78351CC"/>
    <w:multiLevelType w:val="multilevel"/>
    <w:tmpl w:val="9C5A9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5452AFE"/>
    <w:multiLevelType w:val="multilevel"/>
    <w:tmpl w:val="3F089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E3A443A"/>
    <w:multiLevelType w:val="multilevel"/>
    <w:tmpl w:val="55D8A7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6BA55EEC"/>
    <w:multiLevelType w:val="multilevel"/>
    <w:tmpl w:val="A7A6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9575E61"/>
    <w:multiLevelType w:val="multilevel"/>
    <w:tmpl w:val="18D275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91455713">
    <w:abstractNumId w:val="7"/>
  </w:num>
  <w:num w:numId="2" w16cid:durableId="1617835576">
    <w:abstractNumId w:val="5"/>
  </w:num>
  <w:num w:numId="3" w16cid:durableId="1958633778">
    <w:abstractNumId w:val="2"/>
  </w:num>
  <w:num w:numId="4" w16cid:durableId="333533186">
    <w:abstractNumId w:val="1"/>
  </w:num>
  <w:num w:numId="5" w16cid:durableId="1545216510">
    <w:abstractNumId w:val="13"/>
  </w:num>
  <w:num w:numId="6" w16cid:durableId="1364407272">
    <w:abstractNumId w:val="8"/>
  </w:num>
  <w:num w:numId="7" w16cid:durableId="2052532898">
    <w:abstractNumId w:val="10"/>
  </w:num>
  <w:num w:numId="8" w16cid:durableId="941760985">
    <w:abstractNumId w:val="14"/>
  </w:num>
  <w:num w:numId="9" w16cid:durableId="796097454">
    <w:abstractNumId w:val="11"/>
  </w:num>
  <w:num w:numId="10" w16cid:durableId="471337806">
    <w:abstractNumId w:val="9"/>
  </w:num>
  <w:num w:numId="11" w16cid:durableId="2052419554">
    <w:abstractNumId w:val="3"/>
  </w:num>
  <w:num w:numId="12" w16cid:durableId="1988823379">
    <w:abstractNumId w:val="12"/>
  </w:num>
  <w:num w:numId="13" w16cid:durableId="1911693966">
    <w:abstractNumId w:val="6"/>
  </w:num>
  <w:num w:numId="14" w16cid:durableId="522401013">
    <w:abstractNumId w:val="4"/>
  </w:num>
  <w:num w:numId="15" w16cid:durableId="3380415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7AF"/>
    <w:rsid w:val="00114E19"/>
    <w:rsid w:val="00131B43"/>
    <w:rsid w:val="001E2684"/>
    <w:rsid w:val="0020007B"/>
    <w:rsid w:val="002856AC"/>
    <w:rsid w:val="005C1DE9"/>
    <w:rsid w:val="007D27A6"/>
    <w:rsid w:val="008D10D6"/>
    <w:rsid w:val="009A5A15"/>
    <w:rsid w:val="009E2D02"/>
    <w:rsid w:val="00A2668D"/>
    <w:rsid w:val="00C33B0F"/>
    <w:rsid w:val="00CE0597"/>
    <w:rsid w:val="00DF32BF"/>
    <w:rsid w:val="00EA37AF"/>
    <w:rsid w:val="00F24592"/>
    <w:rsid w:val="00F5665D"/>
    <w:rsid w:val="00F707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EC9D39"/>
  <w15:docId w15:val="{44AD93F7-67A0-AD4D-988F-0CF9F5701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ED2B88"/>
    <w:rPr>
      <w:color w:val="0563C1" w:themeColor="hyperlink"/>
      <w:u w:val="single"/>
    </w:rPr>
  </w:style>
  <w:style w:type="character" w:customStyle="1" w:styleId="UnresolvedMention1">
    <w:name w:val="Unresolved Mention1"/>
    <w:basedOn w:val="DefaultParagraphFont"/>
    <w:uiPriority w:val="99"/>
    <w:semiHidden/>
    <w:unhideWhenUsed/>
    <w:rsid w:val="00ED2B88"/>
    <w:rPr>
      <w:color w:val="605E5C"/>
      <w:shd w:val="clear" w:color="auto" w:fill="E1DFDD"/>
    </w:rPr>
  </w:style>
  <w:style w:type="character" w:customStyle="1" w:styleId="object">
    <w:name w:val="object"/>
    <w:basedOn w:val="DefaultParagraphFont"/>
    <w:rsid w:val="00C307F0"/>
  </w:style>
  <w:style w:type="paragraph" w:styleId="NormalWeb">
    <w:name w:val="Normal (Web)"/>
    <w:basedOn w:val="Normal"/>
    <w:uiPriority w:val="99"/>
    <w:semiHidden/>
    <w:unhideWhenUsed/>
    <w:rsid w:val="0026227C"/>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customStyle="1" w:styleId="identifier">
    <w:name w:val="identifier"/>
    <w:basedOn w:val="DefaultParagraphFont"/>
    <w:rsid w:val="0026227C"/>
  </w:style>
  <w:style w:type="paragraph" w:styleId="ListParagraph">
    <w:name w:val="List Paragraph"/>
    <w:basedOn w:val="Normal"/>
    <w:uiPriority w:val="34"/>
    <w:qFormat/>
    <w:rsid w:val="0026227C"/>
    <w:pPr>
      <w:ind w:left="720"/>
      <w:contextualSpacing/>
    </w:pPr>
  </w:style>
  <w:style w:type="character" w:styleId="CommentReference">
    <w:name w:val="annotation reference"/>
    <w:basedOn w:val="DefaultParagraphFont"/>
    <w:uiPriority w:val="99"/>
    <w:semiHidden/>
    <w:unhideWhenUsed/>
    <w:rsid w:val="008B62FC"/>
    <w:rPr>
      <w:sz w:val="16"/>
      <w:szCs w:val="16"/>
    </w:rPr>
  </w:style>
  <w:style w:type="paragraph" w:styleId="CommentText">
    <w:name w:val="annotation text"/>
    <w:basedOn w:val="Normal"/>
    <w:link w:val="CommentTextChar"/>
    <w:uiPriority w:val="99"/>
    <w:semiHidden/>
    <w:unhideWhenUsed/>
    <w:rsid w:val="008B62FC"/>
    <w:pPr>
      <w:spacing w:line="240" w:lineRule="auto"/>
    </w:pPr>
    <w:rPr>
      <w:sz w:val="20"/>
      <w:szCs w:val="20"/>
    </w:rPr>
  </w:style>
  <w:style w:type="character" w:customStyle="1" w:styleId="CommentTextChar">
    <w:name w:val="Comment Text Char"/>
    <w:basedOn w:val="DefaultParagraphFont"/>
    <w:link w:val="CommentText"/>
    <w:uiPriority w:val="99"/>
    <w:semiHidden/>
    <w:rsid w:val="008B62FC"/>
    <w:rPr>
      <w:sz w:val="20"/>
      <w:szCs w:val="20"/>
    </w:rPr>
  </w:style>
  <w:style w:type="paragraph" w:styleId="CommentSubject">
    <w:name w:val="annotation subject"/>
    <w:basedOn w:val="CommentText"/>
    <w:next w:val="CommentText"/>
    <w:link w:val="CommentSubjectChar"/>
    <w:uiPriority w:val="99"/>
    <w:semiHidden/>
    <w:unhideWhenUsed/>
    <w:rsid w:val="008B62FC"/>
    <w:rPr>
      <w:b/>
      <w:bCs/>
    </w:rPr>
  </w:style>
  <w:style w:type="character" w:customStyle="1" w:styleId="CommentSubjectChar">
    <w:name w:val="Comment Subject Char"/>
    <w:basedOn w:val="CommentTextChar"/>
    <w:link w:val="CommentSubject"/>
    <w:uiPriority w:val="99"/>
    <w:semiHidden/>
    <w:rsid w:val="008B62FC"/>
    <w:rPr>
      <w:b/>
      <w:bCs/>
      <w:sz w:val="20"/>
      <w:szCs w:val="20"/>
    </w:rPr>
  </w:style>
  <w:style w:type="paragraph" w:styleId="BalloonText">
    <w:name w:val="Balloon Text"/>
    <w:basedOn w:val="Normal"/>
    <w:link w:val="BalloonTextChar"/>
    <w:uiPriority w:val="99"/>
    <w:semiHidden/>
    <w:unhideWhenUsed/>
    <w:rsid w:val="008B62F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62FC"/>
    <w:rPr>
      <w:rFonts w:ascii="Segoe UI" w:hAnsi="Segoe UI" w:cs="Segoe UI"/>
      <w:sz w:val="18"/>
      <w:szCs w:val="18"/>
    </w:rPr>
  </w:style>
  <w:style w:type="character" w:styleId="Emphasis">
    <w:name w:val="Emphasis"/>
    <w:basedOn w:val="DefaultParagraphFont"/>
    <w:uiPriority w:val="20"/>
    <w:qFormat/>
    <w:rsid w:val="00DC0BE0"/>
    <w:rPr>
      <w:i/>
      <w:iCs/>
    </w:rPr>
  </w:style>
  <w:style w:type="character" w:styleId="Strong">
    <w:name w:val="Strong"/>
    <w:basedOn w:val="DefaultParagraphFont"/>
    <w:uiPriority w:val="22"/>
    <w:qFormat/>
    <w:rsid w:val="00D2782B"/>
    <w:rPr>
      <w:b/>
      <w:bCs/>
    </w:rPr>
  </w:style>
  <w:style w:type="character" w:customStyle="1" w:styleId="UnresolvedMention2">
    <w:name w:val="Unresolved Mention2"/>
    <w:basedOn w:val="DefaultParagraphFont"/>
    <w:uiPriority w:val="99"/>
    <w:semiHidden/>
    <w:unhideWhenUsed/>
    <w:rsid w:val="00AC4229"/>
    <w:rPr>
      <w:color w:val="605E5C"/>
      <w:shd w:val="clear" w:color="auto" w:fill="E1DFDD"/>
    </w:rPr>
  </w:style>
  <w:style w:type="character" w:customStyle="1" w:styleId="apple-converted-space">
    <w:name w:val="apple-converted-space"/>
    <w:basedOn w:val="DefaultParagraphFont"/>
    <w:rsid w:val="00E11AD0"/>
  </w:style>
  <w:style w:type="character" w:customStyle="1" w:styleId="UnresolvedMention3">
    <w:name w:val="Unresolved Mention3"/>
    <w:basedOn w:val="DefaultParagraphFont"/>
    <w:uiPriority w:val="99"/>
    <w:semiHidden/>
    <w:unhideWhenUsed/>
    <w:rsid w:val="00724820"/>
    <w:rPr>
      <w:color w:val="605E5C"/>
      <w:shd w:val="clear" w:color="auto" w:fill="E1DFDD"/>
    </w:rPr>
  </w:style>
  <w:style w:type="character" w:customStyle="1" w:styleId="docsum-pmid">
    <w:name w:val="docsum-pmid"/>
    <w:basedOn w:val="DefaultParagraphFont"/>
    <w:rsid w:val="00A67294"/>
  </w:style>
  <w:style w:type="paragraph" w:styleId="Header">
    <w:name w:val="header"/>
    <w:basedOn w:val="Normal"/>
    <w:link w:val="HeaderChar"/>
    <w:uiPriority w:val="99"/>
    <w:unhideWhenUsed/>
    <w:rsid w:val="008B4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4956"/>
  </w:style>
  <w:style w:type="paragraph" w:styleId="Footer">
    <w:name w:val="footer"/>
    <w:basedOn w:val="Normal"/>
    <w:link w:val="FooterChar"/>
    <w:uiPriority w:val="99"/>
    <w:unhideWhenUsed/>
    <w:rsid w:val="008B4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4956"/>
  </w:style>
  <w:style w:type="paragraph" w:customStyle="1" w:styleId="p1">
    <w:name w:val="p1"/>
    <w:basedOn w:val="Normal"/>
    <w:rsid w:val="0017235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77BB5"/>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bcasiapacific@gmail.com" TargetMode="External"/><Relationship Id="rId17" Type="http://schemas.openxmlformats.org/officeDocument/2006/relationships/hyperlink" Target="mailto:gbcasiapacific@gmail.com" TargetMode="External"/><Relationship Id="rId2" Type="http://schemas.openxmlformats.org/officeDocument/2006/relationships/numbering" Target="numbering.xml"/><Relationship Id="rId16" Type="http://schemas.openxmlformats.org/officeDocument/2006/relationships/hyperlink" Target="mailto:j.fullerton@neur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fullerton@neura.edu.au" TargetMode="External"/><Relationship Id="rId5" Type="http://schemas.openxmlformats.org/officeDocument/2006/relationships/webSettings" Target="webSettings.xml"/><Relationship Id="rId15" Type="http://schemas.openxmlformats.org/officeDocument/2006/relationships/hyperlink" Target="mailto:gbcasiapacific@gmail.com" TargetMode="External"/><Relationship Id="rId10" Type="http://schemas.openxmlformats.org/officeDocument/2006/relationships/hyperlink" Target="https://topforeignstocks.com/2021/03/22/retirement-ages-by-country-2021-chart/tocks.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Retirement_age" TargetMode="External"/><Relationship Id="rId14" Type="http://schemas.openxmlformats.org/officeDocument/2006/relationships/hyperlink" Target="mailto:j.fullerton@neura.edu.a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YN4kiHCghhPfT/KXWN0mZR3XTQ==">CgMxLjA4AHIhMWh2LVEtMUxJVmhVSkZJZGZsMlJNTGpCSDkzcW5IVFZa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2399</Words>
  <Characters>15234</Characters>
  <Application>Microsoft Office Word</Application>
  <DocSecurity>0</DocSecurity>
  <Lines>203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Fullerton</dc:creator>
  <cp:lastModifiedBy>Mcinnis, Melvin</cp:lastModifiedBy>
  <cp:revision>4</cp:revision>
  <dcterms:created xsi:type="dcterms:W3CDTF">2026-02-07T19:41:00Z</dcterms:created>
  <dcterms:modified xsi:type="dcterms:W3CDTF">2026-02-16T11:59:00Z</dcterms:modified>
</cp:coreProperties>
</file>