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355E6" w14:textId="77777777" w:rsidR="001B1925" w:rsidRPr="007A4DE5" w:rsidRDefault="001B1925" w:rsidP="001B1925">
      <w:pPr>
        <w:jc w:val="center"/>
        <w:rPr>
          <w:rFonts w:ascii="Times New Roman" w:hAnsi="Times New Roman" w:cs="Times New Roman"/>
          <w:color w:val="000000" w:themeColor="text1"/>
          <w:sz w:val="36"/>
          <w:szCs w:val="36"/>
        </w:rPr>
      </w:pPr>
      <w:r w:rsidRPr="007A4DE5">
        <w:rPr>
          <w:rFonts w:ascii="Times New Roman" w:hAnsi="Times New Roman" w:cs="Times New Roman"/>
          <w:color w:val="000000" w:themeColor="text1"/>
          <w:sz w:val="36"/>
          <w:szCs w:val="36"/>
        </w:rPr>
        <w:t>SUPPLEMENTARY DATA</w:t>
      </w:r>
    </w:p>
    <w:p w14:paraId="6CE7B5F7" w14:textId="77777777" w:rsidR="00E53B4E" w:rsidRPr="00E53B4E" w:rsidRDefault="00E53B4E" w:rsidP="00E53B4E">
      <w:pPr>
        <w:spacing w:after="0" w:line="360" w:lineRule="auto"/>
        <w:jc w:val="center"/>
        <w:rPr>
          <w:rFonts w:ascii="Times New Roman" w:hAnsi="Times New Roman" w:cs="Times New Roman"/>
          <w:b/>
          <w:bCs/>
          <w:color w:val="000000" w:themeColor="text1"/>
          <w:sz w:val="36"/>
          <w:szCs w:val="36"/>
        </w:rPr>
      </w:pPr>
      <w:r w:rsidRPr="00E53B4E">
        <w:rPr>
          <w:rFonts w:ascii="Times New Roman" w:hAnsi="Times New Roman" w:cs="Times New Roman"/>
          <w:b/>
          <w:bCs/>
          <w:color w:val="000000" w:themeColor="text1"/>
          <w:sz w:val="36"/>
          <w:szCs w:val="36"/>
        </w:rPr>
        <w:t>Disposable Screen-Printed Electrodes Modified with Oxygen-Terminated MoAlB-Derived MBene for Low-Potential Detection of Vortioxetine</w:t>
      </w:r>
    </w:p>
    <w:p w14:paraId="03FCE1C5" w14:textId="77777777" w:rsidR="00714722" w:rsidRPr="007A4DE5" w:rsidRDefault="00714722" w:rsidP="001B1925">
      <w:pPr>
        <w:spacing w:after="0" w:line="360" w:lineRule="auto"/>
        <w:jc w:val="center"/>
        <w:rPr>
          <w:rFonts w:ascii="Times New Roman" w:hAnsi="Times New Roman" w:cs="Times New Roman"/>
          <w:b/>
          <w:bCs/>
          <w:color w:val="000000" w:themeColor="text1"/>
          <w:sz w:val="36"/>
          <w:szCs w:val="36"/>
        </w:rPr>
      </w:pPr>
    </w:p>
    <w:p w14:paraId="7858A10F" w14:textId="77777777" w:rsidR="00BA3C8B" w:rsidRPr="007A4DE5" w:rsidRDefault="00BA3C8B" w:rsidP="00BA3C8B">
      <w:pPr>
        <w:spacing w:after="0" w:line="360" w:lineRule="auto"/>
        <w:jc w:val="both"/>
        <w:rPr>
          <w:rFonts w:ascii="Times New Roman" w:hAnsi="Times New Roman" w:cs="Times New Roman"/>
          <w:b/>
          <w:bCs/>
          <w:color w:val="000000" w:themeColor="text1"/>
        </w:rPr>
      </w:pPr>
      <w:r w:rsidRPr="007A4DE5">
        <w:rPr>
          <w:rFonts w:ascii="Times New Roman" w:hAnsi="Times New Roman" w:cs="Times New Roman"/>
          <w:b/>
          <w:bCs/>
          <w:color w:val="000000" w:themeColor="text1"/>
        </w:rPr>
        <w:t>Chemicals and reagents</w:t>
      </w:r>
    </w:p>
    <w:p w14:paraId="7B27B874" w14:textId="77777777" w:rsidR="00BA3C8B" w:rsidRPr="007A4DE5" w:rsidRDefault="00BA3C8B" w:rsidP="00BA3C8B">
      <w:pPr>
        <w:spacing w:after="0" w:line="360" w:lineRule="auto"/>
        <w:ind w:firstLine="360"/>
        <w:jc w:val="both"/>
        <w:rPr>
          <w:rFonts w:ascii="Times New Roman" w:hAnsi="Times New Roman" w:cs="Times New Roman"/>
          <w:color w:val="000000" w:themeColor="text1"/>
        </w:rPr>
      </w:pPr>
      <w:r w:rsidRPr="007A4DE5">
        <w:rPr>
          <w:rFonts w:ascii="Times New Roman" w:hAnsi="Times New Roman" w:cs="Times New Roman"/>
          <w:color w:val="000000" w:themeColor="text1"/>
        </w:rPr>
        <w:t xml:space="preserve">Vortioxetine hydrobromide and other antidepressants (fluoxetine, sertraline, paroxetine, citalopram, venlafaxine; ≥98% purity) were purchased from Sigma-Aldrich (Germany). The precursor MoAlB powder (phase-pure) was obtained from Jilin 11 Technology Co., Ltd. (China). Sodium hydroxide (NaOH; ≥98%) from Aladdin was used for alkaline hydrothermal deintercalation to prepare MBene. Ethanol (≥99.7%) from Sinopharm was used to disperse and prepare the MBene ink. Phosphate-buffered saline (PBS; 0.1 M, pH 7.0) from Sigma-Aldrich served as the electrolyte for electrochemical measurements. The </w:t>
      </w:r>
      <w:proofErr w:type="spellStart"/>
      <w:r w:rsidRPr="007A4DE5">
        <w:rPr>
          <w:rFonts w:ascii="Times New Roman" w:hAnsi="Times New Roman" w:cs="Times New Roman"/>
          <w:color w:val="000000" w:themeColor="text1"/>
        </w:rPr>
        <w:t>ferri</w:t>
      </w:r>
      <w:proofErr w:type="spellEnd"/>
      <w:r w:rsidRPr="007A4DE5">
        <w:rPr>
          <w:rFonts w:ascii="Times New Roman" w:hAnsi="Times New Roman" w:cs="Times New Roman"/>
          <w:color w:val="000000" w:themeColor="text1"/>
        </w:rPr>
        <w:t xml:space="preserve">/ferrocyanide redox couple ([Fe(CN)₆]³⁻/[Fe(CN)₆]⁴⁻), made from potassium ferricyanide (≥99%) and potassium ferrocyanide trihydrate (≥99%) from Sigma-Aldrich (Germany), was used as a redox probe in 0.1 M KCl. All solutions were prepared with ultrapure deionized water (resistivity 18.2 </w:t>
      </w:r>
      <w:proofErr w:type="spellStart"/>
      <w:r w:rsidRPr="007A4DE5">
        <w:rPr>
          <w:rFonts w:ascii="Times New Roman" w:hAnsi="Times New Roman" w:cs="Times New Roman"/>
          <w:color w:val="000000" w:themeColor="text1"/>
        </w:rPr>
        <w:t>MΩ·cm</w:t>
      </w:r>
      <w:proofErr w:type="spellEnd"/>
      <w:r w:rsidRPr="007A4DE5">
        <w:rPr>
          <w:rFonts w:ascii="Times New Roman" w:hAnsi="Times New Roman" w:cs="Times New Roman"/>
          <w:color w:val="000000" w:themeColor="text1"/>
        </w:rPr>
        <w:t>, Milli-Q). Deuterium oxide (D</w:t>
      </w:r>
      <w:r w:rsidRPr="007A4DE5">
        <w:rPr>
          <w:rFonts w:ascii="Times New Roman" w:hAnsi="Times New Roman" w:cs="Times New Roman"/>
          <w:color w:val="000000" w:themeColor="text1"/>
          <w:vertAlign w:val="subscript"/>
        </w:rPr>
        <w:t>2</w:t>
      </w:r>
      <w:r w:rsidRPr="007A4DE5">
        <w:rPr>
          <w:rFonts w:ascii="Times New Roman" w:hAnsi="Times New Roman" w:cs="Times New Roman"/>
          <w:color w:val="000000" w:themeColor="text1"/>
        </w:rPr>
        <w:t xml:space="preserve">O; 99.9 atom% D) from Cambridge was used for isotope experiments. Disposable screen-printed carbon electrodes (SPEs; DRP-110, carbon working electrode) from Metrohm </w:t>
      </w:r>
      <w:proofErr w:type="spellStart"/>
      <w:r w:rsidRPr="007A4DE5">
        <w:rPr>
          <w:rFonts w:ascii="Times New Roman" w:hAnsi="Times New Roman" w:cs="Times New Roman"/>
          <w:color w:val="000000" w:themeColor="text1"/>
        </w:rPr>
        <w:t>DropSens</w:t>
      </w:r>
      <w:proofErr w:type="spellEnd"/>
      <w:r w:rsidRPr="007A4DE5">
        <w:rPr>
          <w:rFonts w:ascii="Times New Roman" w:hAnsi="Times New Roman" w:cs="Times New Roman"/>
          <w:color w:val="000000" w:themeColor="text1"/>
        </w:rPr>
        <w:t xml:space="preserve"> (Spain) (geometric area of 0.126 cm²) were used for sensor fabrication and testing.</w:t>
      </w:r>
    </w:p>
    <w:p w14:paraId="6730E1FE" w14:textId="5E697F69" w:rsidR="00CF07E0" w:rsidRPr="007A4DE5" w:rsidRDefault="00CF07E0" w:rsidP="00CF07E0">
      <w:pPr>
        <w:spacing w:after="0" w:line="360" w:lineRule="auto"/>
        <w:rPr>
          <w:rFonts w:ascii="Times New Roman" w:hAnsi="Times New Roman" w:cs="Times New Roman"/>
          <w:b/>
          <w:bCs/>
          <w:color w:val="000000" w:themeColor="text1"/>
        </w:rPr>
      </w:pPr>
      <w:r w:rsidRPr="007A4DE5">
        <w:rPr>
          <w:rFonts w:ascii="Times New Roman" w:hAnsi="Times New Roman" w:cs="Times New Roman"/>
          <w:b/>
          <w:bCs/>
          <w:color w:val="000000" w:themeColor="text1"/>
        </w:rPr>
        <w:t>Characterization</w:t>
      </w:r>
    </w:p>
    <w:p w14:paraId="7F167746" w14:textId="5B2FA9E1" w:rsidR="00CF07E0" w:rsidRPr="007A4DE5" w:rsidRDefault="0019325F" w:rsidP="00A42B35">
      <w:pPr>
        <w:spacing w:after="0" w:line="360" w:lineRule="auto"/>
        <w:ind w:firstLine="360"/>
        <w:jc w:val="both"/>
        <w:rPr>
          <w:rFonts w:ascii="Times New Roman" w:hAnsi="Times New Roman" w:cs="Times New Roman"/>
          <w:color w:val="000000" w:themeColor="text1"/>
        </w:rPr>
      </w:pPr>
      <w:r w:rsidRPr="007A4DE5">
        <w:rPr>
          <w:rFonts w:ascii="Times New Roman" w:hAnsi="Times New Roman" w:cs="Times New Roman"/>
          <w:color w:val="000000" w:themeColor="text1"/>
        </w:rPr>
        <w:t>The morphology and elemental distribution of MAB and etched MBene were examined by field-emission scanning electron microscopy with EDS mapping (SUPRA55 VP, Carl Zeiss). Transmission electron microscopy images were acquired on a JEM-F200 microscope (JEOL) after dispersing the sample in deionized water and drop-casting it onto carbon-coated copper grids (200 mesh). Powder X-ray diffraction patterns were recorded on a D8 ADVANCE diffractometer (Bruker) over a 2θ range of 5–90° at a scan rate of 10° min</w:t>
      </w:r>
      <w:r w:rsidRPr="007A4DE5">
        <w:rPr>
          <w:rFonts w:ascii="Times New Roman" w:hAnsi="Times New Roman" w:cs="Times New Roman"/>
          <w:color w:val="000000" w:themeColor="text1"/>
          <w:vertAlign w:val="superscript"/>
        </w:rPr>
        <w:t>-1</w:t>
      </w:r>
      <w:r w:rsidRPr="007A4DE5">
        <w:rPr>
          <w:rFonts w:ascii="Times New Roman" w:hAnsi="Times New Roman" w:cs="Times New Roman"/>
          <w:color w:val="000000" w:themeColor="text1"/>
        </w:rPr>
        <w:t xml:space="preserve">. Raman spectra were collected using an </w:t>
      </w:r>
      <w:proofErr w:type="spellStart"/>
      <w:r w:rsidRPr="007A4DE5">
        <w:rPr>
          <w:rFonts w:ascii="Times New Roman" w:hAnsi="Times New Roman" w:cs="Times New Roman"/>
          <w:color w:val="000000" w:themeColor="text1"/>
        </w:rPr>
        <w:t>inVia</w:t>
      </w:r>
      <w:proofErr w:type="spellEnd"/>
      <w:r w:rsidRPr="007A4DE5">
        <w:rPr>
          <w:rFonts w:ascii="Times New Roman" w:hAnsi="Times New Roman" w:cs="Times New Roman"/>
          <w:color w:val="000000" w:themeColor="text1"/>
        </w:rPr>
        <w:t xml:space="preserve"> Reflex spectrometer (Renishaw) with 633 nm laser excitation in the 50–1800 cm</w:t>
      </w:r>
      <w:r w:rsidRPr="007A4DE5">
        <w:rPr>
          <w:rFonts w:ascii="Times New Roman" w:hAnsi="Times New Roman" w:cs="Times New Roman"/>
          <w:color w:val="000000" w:themeColor="text1"/>
          <w:vertAlign w:val="superscript"/>
        </w:rPr>
        <w:t>-1</w:t>
      </w:r>
      <w:r w:rsidRPr="007A4DE5">
        <w:rPr>
          <w:rFonts w:ascii="Times New Roman" w:hAnsi="Times New Roman" w:cs="Times New Roman"/>
          <w:color w:val="000000" w:themeColor="text1"/>
        </w:rPr>
        <w:t xml:space="preserve"> range. X-ray photoelectron spectra were measured on a K-Alpha system (</w:t>
      </w:r>
      <w:proofErr w:type="spellStart"/>
      <w:r w:rsidRPr="007A4DE5">
        <w:rPr>
          <w:rFonts w:ascii="Times New Roman" w:hAnsi="Times New Roman" w:cs="Times New Roman"/>
          <w:color w:val="000000" w:themeColor="text1"/>
        </w:rPr>
        <w:t>Thermo</w:t>
      </w:r>
      <w:proofErr w:type="spellEnd"/>
      <w:r w:rsidRPr="007A4DE5">
        <w:rPr>
          <w:rFonts w:ascii="Times New Roman" w:hAnsi="Times New Roman" w:cs="Times New Roman"/>
          <w:color w:val="000000" w:themeColor="text1"/>
        </w:rPr>
        <w:t xml:space="preserve"> Fisher Scientific). UV–</w:t>
      </w:r>
      <w:r w:rsidRPr="007A4DE5">
        <w:rPr>
          <w:rFonts w:ascii="Times New Roman" w:hAnsi="Times New Roman" w:cs="Times New Roman"/>
          <w:color w:val="000000" w:themeColor="text1"/>
        </w:rPr>
        <w:lastRenderedPageBreak/>
        <w:t xml:space="preserve">Vis spectra were recorded with a Lambda XLS spectrophotometer (PerkinElmer) in the 200–800 nm range. </w:t>
      </w:r>
      <w:r w:rsidR="00F81C13" w:rsidRPr="007A4DE5">
        <w:rPr>
          <w:rFonts w:ascii="Times New Roman" w:hAnsi="Times New Roman" w:cs="Times New Roman"/>
          <w:color w:val="000000" w:themeColor="text1"/>
        </w:rPr>
        <w:t xml:space="preserve">Nitrogen adsorption–desorption isotherms were measured at 77 K on a Micromeritics ASAP 2020 surface area and porosity analyzer. Samples were degassed under vacuum at 150 °C for 12 h prior to analysis. Specific surface areas were calculated by the Brunauer–Emmett–Teller (BET) method using the linear region at relative pressures of 0.05–0.30, and pore-size distributions were obtained from the desorption branch using the BJH method. </w:t>
      </w:r>
      <w:r w:rsidR="007E779C" w:rsidRPr="007A4DE5">
        <w:rPr>
          <w:rFonts w:ascii="Times New Roman" w:hAnsi="Times New Roman" w:cs="Times New Roman"/>
          <w:color w:val="000000" w:themeColor="text1"/>
        </w:rPr>
        <w:t xml:space="preserve">Zeta potentials of MAB and MBene dispersions were measured in deionized water after brief sonication using a </w:t>
      </w:r>
      <w:proofErr w:type="spellStart"/>
      <w:r w:rsidR="007E779C" w:rsidRPr="007A4DE5">
        <w:rPr>
          <w:rFonts w:ascii="Times New Roman" w:hAnsi="Times New Roman" w:cs="Times New Roman"/>
          <w:color w:val="000000" w:themeColor="text1"/>
        </w:rPr>
        <w:t>BeNano</w:t>
      </w:r>
      <w:proofErr w:type="spellEnd"/>
      <w:r w:rsidR="007E779C" w:rsidRPr="007A4DE5">
        <w:rPr>
          <w:rFonts w:ascii="Times New Roman" w:hAnsi="Times New Roman" w:cs="Times New Roman"/>
          <w:color w:val="000000" w:themeColor="text1"/>
        </w:rPr>
        <w:t xml:space="preserve"> 90 Zeta analyzer (</w:t>
      </w:r>
      <w:proofErr w:type="spellStart"/>
      <w:r w:rsidR="007E779C" w:rsidRPr="007A4DE5">
        <w:rPr>
          <w:rFonts w:ascii="Times New Roman" w:hAnsi="Times New Roman" w:cs="Times New Roman"/>
          <w:color w:val="000000" w:themeColor="text1"/>
        </w:rPr>
        <w:t>Bettersize</w:t>
      </w:r>
      <w:proofErr w:type="spellEnd"/>
      <w:r w:rsidR="007E779C" w:rsidRPr="007A4DE5">
        <w:rPr>
          <w:rFonts w:ascii="Times New Roman" w:hAnsi="Times New Roman" w:cs="Times New Roman"/>
          <w:color w:val="000000" w:themeColor="text1"/>
        </w:rPr>
        <w:t xml:space="preserve"> Instruments Ltd., China) based on electrophoretic light scattering at room temperature, and the reported values are the average of at least three measurements. Static water contact angles were measured by the sessile-drop method using an OCA 15EC optical contact angle goniometer (</w:t>
      </w:r>
      <w:proofErr w:type="spellStart"/>
      <w:r w:rsidR="007E779C" w:rsidRPr="007A4DE5">
        <w:rPr>
          <w:rFonts w:ascii="Times New Roman" w:hAnsi="Times New Roman" w:cs="Times New Roman"/>
          <w:color w:val="000000" w:themeColor="text1"/>
        </w:rPr>
        <w:t>DataPhysics</w:t>
      </w:r>
      <w:proofErr w:type="spellEnd"/>
      <w:r w:rsidR="007E779C" w:rsidRPr="007A4DE5">
        <w:rPr>
          <w:rFonts w:ascii="Times New Roman" w:hAnsi="Times New Roman" w:cs="Times New Roman"/>
          <w:color w:val="000000" w:themeColor="text1"/>
        </w:rPr>
        <w:t xml:space="preserve"> Instruments GmbH, Germany). A 2 µL droplet of deionized water was deposited onto </w:t>
      </w:r>
      <w:r w:rsidR="00566822" w:rsidRPr="007A4DE5">
        <w:rPr>
          <w:rFonts w:ascii="Times New Roman" w:hAnsi="Times New Roman" w:cs="Times New Roman"/>
          <w:color w:val="000000" w:themeColor="text1"/>
        </w:rPr>
        <w:t>the surface of coated electrodes at room temperature. The contact angle was recorded with a high-speed camera and averaged across at least 5 positions on each sample.</w:t>
      </w:r>
      <w:r w:rsidR="00F81C13" w:rsidRPr="007A4DE5">
        <w:rPr>
          <w:rFonts w:ascii="Times New Roman" w:hAnsi="Times New Roman" w:cs="Times New Roman"/>
          <w:color w:val="000000" w:themeColor="text1"/>
        </w:rPr>
        <w:t xml:space="preserve"> Electrochemical measurements were carried out using a VMP3 potentiostat (</w:t>
      </w:r>
      <w:proofErr w:type="spellStart"/>
      <w:r w:rsidR="00F81C13" w:rsidRPr="007A4DE5">
        <w:rPr>
          <w:rFonts w:ascii="Times New Roman" w:hAnsi="Times New Roman" w:cs="Times New Roman"/>
          <w:color w:val="000000" w:themeColor="text1"/>
        </w:rPr>
        <w:t>BioLogic</w:t>
      </w:r>
      <w:proofErr w:type="spellEnd"/>
      <w:r w:rsidR="00F81C13" w:rsidRPr="007A4DE5">
        <w:rPr>
          <w:rFonts w:ascii="Times New Roman" w:hAnsi="Times New Roman" w:cs="Times New Roman"/>
          <w:color w:val="000000" w:themeColor="text1"/>
        </w:rPr>
        <w:t>)</w:t>
      </w:r>
      <w:r w:rsidR="00A42B35" w:rsidRPr="007A4DE5">
        <w:rPr>
          <w:rFonts w:ascii="Times New Roman" w:hAnsi="Times New Roman" w:cs="Times New Roman"/>
          <w:color w:val="000000" w:themeColor="text1"/>
        </w:rPr>
        <w:t>,</w:t>
      </w:r>
      <w:r w:rsidR="00F81C13" w:rsidRPr="007A4DE5">
        <w:rPr>
          <w:rFonts w:ascii="Times New Roman" w:hAnsi="Times New Roman" w:cs="Times New Roman"/>
          <w:color w:val="000000" w:themeColor="text1"/>
        </w:rPr>
        <w:t xml:space="preserve"> and electrochemical impedance spectroscopy (EIS) was recorded in 5 mM [Fe(CN)</w:t>
      </w:r>
      <w:r w:rsidR="00F81C13" w:rsidRPr="007A4DE5">
        <w:rPr>
          <w:rFonts w:ascii="Times New Roman" w:hAnsi="Times New Roman" w:cs="Times New Roman"/>
          <w:color w:val="000000" w:themeColor="text1"/>
          <w:vertAlign w:val="subscript"/>
        </w:rPr>
        <w:t>6</w:t>
      </w:r>
      <w:r w:rsidR="00F81C13" w:rsidRPr="007A4DE5">
        <w:rPr>
          <w:rFonts w:ascii="Times New Roman" w:hAnsi="Times New Roman" w:cs="Times New Roman"/>
          <w:color w:val="000000" w:themeColor="text1"/>
        </w:rPr>
        <w:t>]</w:t>
      </w:r>
      <w:r w:rsidR="00F81C13" w:rsidRPr="007A4DE5">
        <w:rPr>
          <w:rFonts w:ascii="Times New Roman" w:hAnsi="Times New Roman" w:cs="Times New Roman"/>
          <w:color w:val="000000" w:themeColor="text1"/>
          <w:vertAlign w:val="superscript"/>
        </w:rPr>
        <w:t>3-</w:t>
      </w:r>
      <w:r w:rsidR="00871BCB" w:rsidRPr="007A4DE5">
        <w:rPr>
          <w:rFonts w:ascii="Times New Roman" w:hAnsi="Times New Roman" w:cs="Times New Roman"/>
          <w:color w:val="000000" w:themeColor="text1"/>
          <w:vertAlign w:val="superscript"/>
        </w:rPr>
        <w:t>/</w:t>
      </w:r>
      <w:r w:rsidR="00F81C13" w:rsidRPr="007A4DE5">
        <w:rPr>
          <w:rFonts w:ascii="Times New Roman" w:hAnsi="Times New Roman" w:cs="Times New Roman"/>
          <w:color w:val="000000" w:themeColor="text1"/>
          <w:vertAlign w:val="superscript"/>
        </w:rPr>
        <w:t>4-</w:t>
      </w:r>
      <w:r w:rsidR="00F81C13" w:rsidRPr="007A4DE5">
        <w:rPr>
          <w:rFonts w:ascii="Times New Roman" w:hAnsi="Times New Roman" w:cs="Times New Roman"/>
          <w:color w:val="000000" w:themeColor="text1"/>
        </w:rPr>
        <w:t xml:space="preserve"> containing 0.1 M KCl at open-circuit potential using a 5 mV AC perturbation over the frequency range 100 kHz to 0.1 Hz. Open-circuit potential (OCP) transients were recorded in 0.1 M PBS under quiescent conditions, and after baseline stabilization, 1 µM VOX was added, and the potential–time response was monitored. </w:t>
      </w:r>
      <w:r w:rsidR="00566822" w:rsidRPr="007A4DE5">
        <w:rPr>
          <w:rFonts w:ascii="Times New Roman" w:hAnsi="Times New Roman" w:cs="Times New Roman"/>
          <w:color w:val="000000" w:themeColor="text1"/>
        </w:rPr>
        <w:t xml:space="preserve">In-situ UV–Vis </w:t>
      </w:r>
      <w:proofErr w:type="spellStart"/>
      <w:r w:rsidR="00566822" w:rsidRPr="007A4DE5">
        <w:rPr>
          <w:rFonts w:ascii="Times New Roman" w:hAnsi="Times New Roman" w:cs="Times New Roman"/>
          <w:color w:val="000000" w:themeColor="text1"/>
        </w:rPr>
        <w:t>spectroelectrochemistry</w:t>
      </w:r>
      <w:proofErr w:type="spellEnd"/>
      <w:r w:rsidR="00566822" w:rsidRPr="007A4DE5">
        <w:rPr>
          <w:rFonts w:ascii="Times New Roman" w:hAnsi="Times New Roman" w:cs="Times New Roman"/>
          <w:color w:val="000000" w:themeColor="text1"/>
        </w:rPr>
        <w:t xml:space="preserve"> was carried out in a custom-designed thin-layer electrochemical cell equipped with a quartz optical window (Figure S</w:t>
      </w:r>
      <w:r w:rsidR="00B70C32" w:rsidRPr="007A4DE5">
        <w:rPr>
          <w:rFonts w:ascii="Times New Roman" w:hAnsi="Times New Roman" w:cs="Times New Roman"/>
          <w:color w:val="000000" w:themeColor="text1"/>
        </w:rPr>
        <w:t>9</w:t>
      </w:r>
      <w:r w:rsidR="00566822" w:rsidRPr="007A4DE5">
        <w:rPr>
          <w:rFonts w:ascii="Times New Roman" w:hAnsi="Times New Roman" w:cs="Times New Roman"/>
          <w:color w:val="000000" w:themeColor="text1"/>
        </w:rPr>
        <w:t xml:space="preserve">). The MBene-modified screen-printed electrode was placed inside the cell containing 0.1 M PBS (pH 7.0) with VOX, and real-time absorbance spectra were recorded simultaneously with the electrochemical scan (10 mV s⁻¹) using a UV–Vis spectrophotometer. The absorbance change at 225 nm was monitored to follow </w:t>
      </w:r>
      <w:r w:rsidR="00EB47CA" w:rsidRPr="007A4DE5">
        <w:rPr>
          <w:rFonts w:ascii="Times New Roman" w:hAnsi="Times New Roman" w:cs="Times New Roman"/>
          <w:color w:val="000000" w:themeColor="text1"/>
        </w:rPr>
        <w:t xml:space="preserve">the consumption of vortioxetine </w:t>
      </w:r>
      <w:r w:rsidR="00566822" w:rsidRPr="007A4DE5">
        <w:rPr>
          <w:rFonts w:ascii="Times New Roman" w:hAnsi="Times New Roman" w:cs="Times New Roman"/>
          <w:color w:val="000000" w:themeColor="text1"/>
        </w:rPr>
        <w:t xml:space="preserve">during oxidation. </w:t>
      </w:r>
    </w:p>
    <w:p w14:paraId="6CE21138" w14:textId="77777777" w:rsidR="00BA3C8B" w:rsidRPr="007A4DE5" w:rsidRDefault="00BA3C8B" w:rsidP="0019325F">
      <w:pPr>
        <w:spacing w:after="0" w:line="360" w:lineRule="auto"/>
        <w:jc w:val="both"/>
        <w:rPr>
          <w:rFonts w:ascii="Times New Roman" w:hAnsi="Times New Roman" w:cs="Times New Roman"/>
          <w:color w:val="000000" w:themeColor="text1"/>
        </w:rPr>
      </w:pPr>
    </w:p>
    <w:p w14:paraId="511BBAAD" w14:textId="77777777" w:rsidR="00BA3C8B" w:rsidRPr="007A4DE5" w:rsidRDefault="00BA3C8B" w:rsidP="00BA3C8B">
      <w:pPr>
        <w:spacing w:after="0" w:line="360" w:lineRule="auto"/>
        <w:jc w:val="both"/>
        <w:rPr>
          <w:rFonts w:ascii="Times New Roman" w:hAnsi="Times New Roman" w:cs="Times New Roman"/>
          <w:b/>
          <w:bCs/>
          <w:color w:val="000000" w:themeColor="text1"/>
        </w:rPr>
      </w:pPr>
      <w:r w:rsidRPr="007A4DE5">
        <w:rPr>
          <w:rFonts w:ascii="Times New Roman" w:hAnsi="Times New Roman" w:cs="Times New Roman"/>
          <w:b/>
          <w:bCs/>
          <w:color w:val="000000" w:themeColor="text1"/>
        </w:rPr>
        <w:t>Real-sample preparation and analysis</w:t>
      </w:r>
    </w:p>
    <w:p w14:paraId="2FD565A7" w14:textId="77284D40" w:rsidR="00BA3C8B" w:rsidRPr="007A4DE5" w:rsidRDefault="00EB47CA" w:rsidP="00BA3C8B">
      <w:pPr>
        <w:spacing w:after="0" w:line="360" w:lineRule="auto"/>
        <w:ind w:firstLine="360"/>
        <w:jc w:val="both"/>
        <w:rPr>
          <w:rFonts w:ascii="Times New Roman" w:hAnsi="Times New Roman" w:cs="Times New Roman"/>
          <w:color w:val="000000" w:themeColor="text1"/>
        </w:rPr>
      </w:pPr>
      <w:r w:rsidRPr="007A4DE5">
        <w:rPr>
          <w:rFonts w:ascii="Times New Roman" w:hAnsi="Times New Roman" w:cs="Times New Roman"/>
          <w:color w:val="000000" w:themeColor="text1"/>
        </w:rPr>
        <w:t xml:space="preserve">Urine samples were collected from healthy adult volunteers after informed consent. According to institutional policy, formal ethics committee approval was not required for the collection and use of urine samples in this study. The samples were stored at 4 °C and used within 24 h. Before analysis, urine was diluted 10-fold with 0.1 M PBS (pH 7.0) to reduce matrix effects and bring the analyte concentration within the sensor's working range. Recovery experiments were performed </w:t>
      </w:r>
      <w:r w:rsidRPr="007A4DE5">
        <w:rPr>
          <w:rFonts w:ascii="Times New Roman" w:hAnsi="Times New Roman" w:cs="Times New Roman"/>
          <w:color w:val="000000" w:themeColor="text1"/>
        </w:rPr>
        <w:lastRenderedPageBreak/>
        <w:t>by spiking the diluted urine samples with VOX at 0.11, 0.30, and 0.50 μM, followed by DPV measurement under the optimized conditions. Each concentration level was measured in triplicate, and recovery was calculated as (found/added) × 100. The method afforded recoveries of 96.7–109.1% with RSD values of 1.15–4.95%, confirming acceptable accuracy for VOX determination in diluted urine.</w:t>
      </w:r>
    </w:p>
    <w:p w14:paraId="50549360" w14:textId="77777777" w:rsidR="00BA3C8B" w:rsidRPr="007A4DE5" w:rsidRDefault="00BA3C8B" w:rsidP="0019325F">
      <w:pPr>
        <w:spacing w:after="0" w:line="360" w:lineRule="auto"/>
        <w:jc w:val="both"/>
        <w:rPr>
          <w:rFonts w:ascii="Times New Roman" w:hAnsi="Times New Roman" w:cs="Times New Roman"/>
          <w:color w:val="000000" w:themeColor="text1"/>
        </w:rPr>
      </w:pPr>
    </w:p>
    <w:p w14:paraId="042A3DA1" w14:textId="77777777" w:rsidR="004757D5" w:rsidRPr="007A4DE5" w:rsidRDefault="004757D5" w:rsidP="004757D5">
      <w:pPr>
        <w:rPr>
          <w:rFonts w:ascii="Times New Roman" w:hAnsi="Times New Roman" w:cs="Times New Roman"/>
          <w:b/>
          <w:bCs/>
          <w:color w:val="000000" w:themeColor="text1"/>
        </w:rPr>
      </w:pPr>
      <w:r w:rsidRPr="007A4DE5">
        <w:rPr>
          <w:noProof/>
          <w:color w:val="000000" w:themeColor="text1"/>
        </w:rPr>
        <w:drawing>
          <wp:inline distT="0" distB="0" distL="0" distR="0" wp14:anchorId="6525EC44" wp14:editId="7AE5C6FD">
            <wp:extent cx="5943600" cy="3124835"/>
            <wp:effectExtent l="0" t="0" r="0" b="0"/>
            <wp:docPr id="328617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124835"/>
                    </a:xfrm>
                    <a:prstGeom prst="rect">
                      <a:avLst/>
                    </a:prstGeom>
                    <a:noFill/>
                    <a:ln>
                      <a:noFill/>
                    </a:ln>
                  </pic:spPr>
                </pic:pic>
              </a:graphicData>
            </a:graphic>
          </wp:inline>
        </w:drawing>
      </w:r>
    </w:p>
    <w:p w14:paraId="31CEF4A5" w14:textId="11825B31" w:rsidR="00276AD1" w:rsidRPr="007A4DE5" w:rsidRDefault="004757D5">
      <w:pPr>
        <w:rPr>
          <w:color w:val="000000" w:themeColor="text1"/>
        </w:rPr>
      </w:pPr>
      <w:r w:rsidRPr="007A4DE5">
        <w:rPr>
          <w:rFonts w:ascii="Times New Roman" w:hAnsi="Times New Roman" w:cs="Times New Roman"/>
          <w:b/>
          <w:bCs/>
          <w:color w:val="000000" w:themeColor="text1"/>
        </w:rPr>
        <w:t>Figure S1</w:t>
      </w:r>
      <w:r w:rsidRPr="007A4DE5">
        <w:rPr>
          <w:rFonts w:ascii="Times New Roman" w:hAnsi="Times New Roman" w:cs="Times New Roman"/>
          <w:color w:val="000000" w:themeColor="text1"/>
        </w:rPr>
        <w:t xml:space="preserve"> </w:t>
      </w:r>
      <w:r w:rsidR="00FF35D7" w:rsidRPr="007A4DE5">
        <w:rPr>
          <w:rFonts w:ascii="Times New Roman" w:hAnsi="Times New Roman" w:cs="Times New Roman"/>
          <w:color w:val="000000" w:themeColor="text1"/>
        </w:rPr>
        <w:t>SEM images of pristine MAB (MoAlB) and corresponding EDS maps, showing the compact layered morphology and the distribution of Mo, Al, and B in the precursor phase.</w:t>
      </w:r>
    </w:p>
    <w:p w14:paraId="1E9BA76F" w14:textId="066FF2D4" w:rsidR="004C6794" w:rsidRPr="007A4DE5" w:rsidRDefault="002A4D17" w:rsidP="004C6794">
      <w:pPr>
        <w:jc w:val="center"/>
        <w:rPr>
          <w:rFonts w:ascii="Times New Roman" w:hAnsi="Times New Roman" w:cs="Times New Roman"/>
          <w:color w:val="000000" w:themeColor="text1"/>
        </w:rPr>
      </w:pPr>
      <w:r w:rsidRPr="007A4DE5">
        <w:rPr>
          <w:noProof/>
          <w:color w:val="000000" w:themeColor="text1"/>
        </w:rPr>
        <w:lastRenderedPageBreak/>
        <w:drawing>
          <wp:inline distT="0" distB="0" distL="0" distR="0" wp14:anchorId="4F4B7963" wp14:editId="3265CCD6">
            <wp:extent cx="5283200" cy="2926080"/>
            <wp:effectExtent l="0" t="0" r="0" b="0"/>
            <wp:docPr id="13480806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3200" cy="2926080"/>
                    </a:xfrm>
                    <a:prstGeom prst="rect">
                      <a:avLst/>
                    </a:prstGeom>
                    <a:noFill/>
                    <a:ln>
                      <a:noFill/>
                    </a:ln>
                  </pic:spPr>
                </pic:pic>
              </a:graphicData>
            </a:graphic>
          </wp:inline>
        </w:drawing>
      </w:r>
    </w:p>
    <w:p w14:paraId="54730718" w14:textId="4DE561B5" w:rsidR="004C6794" w:rsidRPr="007A4DE5" w:rsidRDefault="004C6794" w:rsidP="004C6794">
      <w:pPr>
        <w:jc w:val="center"/>
        <w:rPr>
          <w:rFonts w:ascii="Times New Roman" w:hAnsi="Times New Roman" w:cs="Times New Roman"/>
          <w:color w:val="000000" w:themeColor="text1"/>
        </w:rPr>
      </w:pPr>
      <w:r w:rsidRPr="007A4DE5">
        <w:rPr>
          <w:rFonts w:ascii="Times New Roman" w:hAnsi="Times New Roman" w:cs="Times New Roman"/>
          <w:b/>
          <w:bCs/>
          <w:color w:val="000000" w:themeColor="text1"/>
        </w:rPr>
        <w:t>Figure S</w:t>
      </w:r>
      <w:r w:rsidR="00A676C6" w:rsidRPr="007A4DE5">
        <w:rPr>
          <w:rFonts w:ascii="Times New Roman" w:hAnsi="Times New Roman" w:cs="Times New Roman"/>
          <w:b/>
          <w:bCs/>
          <w:color w:val="000000" w:themeColor="text1"/>
        </w:rPr>
        <w:t>2</w:t>
      </w:r>
      <w:r w:rsidRPr="007A4DE5">
        <w:rPr>
          <w:rFonts w:ascii="Times New Roman" w:hAnsi="Times New Roman" w:cs="Times New Roman"/>
          <w:b/>
          <w:bCs/>
          <w:color w:val="000000" w:themeColor="text1"/>
        </w:rPr>
        <w:t xml:space="preserve"> </w:t>
      </w:r>
      <w:r w:rsidR="00FF35D7" w:rsidRPr="007A4DE5">
        <w:rPr>
          <w:rFonts w:ascii="Times New Roman" w:hAnsi="Times New Roman" w:cs="Times New Roman"/>
          <w:color w:val="000000" w:themeColor="text1"/>
        </w:rPr>
        <w:t>(a) Zeta-potential comparison of MAB and MBene dispersions after alkaline etching, (b) photograph of the MBene dispersion stored at 4 °C and used for electrode fabrication.</w:t>
      </w:r>
    </w:p>
    <w:p w14:paraId="587BC0AE" w14:textId="77777777" w:rsidR="004C6794" w:rsidRPr="007A4DE5" w:rsidRDefault="004C6794">
      <w:pPr>
        <w:rPr>
          <w:color w:val="000000" w:themeColor="text1"/>
        </w:rPr>
      </w:pPr>
    </w:p>
    <w:p w14:paraId="61790C9B" w14:textId="7272831C" w:rsidR="00276AD1" w:rsidRPr="007A4DE5" w:rsidRDefault="00276AD1">
      <w:pPr>
        <w:rPr>
          <w:color w:val="000000" w:themeColor="text1"/>
        </w:rPr>
      </w:pPr>
    </w:p>
    <w:p w14:paraId="240D4589" w14:textId="77777777" w:rsidR="00D357C2" w:rsidRPr="007A4DE5" w:rsidRDefault="00D357C2">
      <w:pPr>
        <w:rPr>
          <w:rFonts w:ascii="Times New Roman" w:hAnsi="Times New Roman" w:cs="Times New Roman"/>
          <w:color w:val="000000" w:themeColor="text1"/>
        </w:rPr>
      </w:pPr>
    </w:p>
    <w:p w14:paraId="179CFA51" w14:textId="77777777" w:rsidR="00276AD1" w:rsidRPr="007A4DE5" w:rsidRDefault="00276AD1">
      <w:pPr>
        <w:rPr>
          <w:color w:val="000000" w:themeColor="text1"/>
        </w:rPr>
      </w:pPr>
    </w:p>
    <w:p w14:paraId="1AF6131F" w14:textId="77777777" w:rsidR="00276AD1" w:rsidRPr="007A4DE5" w:rsidRDefault="00276AD1">
      <w:pPr>
        <w:rPr>
          <w:color w:val="000000" w:themeColor="text1"/>
        </w:rPr>
      </w:pPr>
    </w:p>
    <w:p w14:paraId="0BC1594C" w14:textId="77777777" w:rsidR="00276AD1" w:rsidRPr="007A4DE5" w:rsidRDefault="00276AD1">
      <w:pPr>
        <w:rPr>
          <w:color w:val="000000" w:themeColor="text1"/>
        </w:rPr>
      </w:pPr>
    </w:p>
    <w:p w14:paraId="1C516E14" w14:textId="77777777" w:rsidR="00276AD1" w:rsidRPr="007A4DE5" w:rsidRDefault="00276AD1">
      <w:pPr>
        <w:rPr>
          <w:color w:val="000000" w:themeColor="text1"/>
        </w:rPr>
      </w:pPr>
    </w:p>
    <w:p w14:paraId="24241E3A" w14:textId="77777777" w:rsidR="001458E4" w:rsidRPr="007A4DE5" w:rsidRDefault="001458E4">
      <w:pPr>
        <w:rPr>
          <w:color w:val="000000" w:themeColor="text1"/>
        </w:rPr>
      </w:pPr>
    </w:p>
    <w:p w14:paraId="0C7160D3" w14:textId="77777777" w:rsidR="001458E4" w:rsidRPr="007A4DE5" w:rsidRDefault="001458E4">
      <w:pPr>
        <w:rPr>
          <w:color w:val="000000" w:themeColor="text1"/>
        </w:rPr>
      </w:pPr>
    </w:p>
    <w:p w14:paraId="2AB145D4" w14:textId="6252928C" w:rsidR="001458E4" w:rsidRPr="007A4DE5" w:rsidRDefault="001458E4">
      <w:pPr>
        <w:rPr>
          <w:color w:val="000000" w:themeColor="text1"/>
        </w:rPr>
      </w:pPr>
      <w:r w:rsidRPr="007A4DE5">
        <w:rPr>
          <w:noProof/>
          <w:color w:val="000000" w:themeColor="text1"/>
        </w:rPr>
        <w:lastRenderedPageBreak/>
        <w:drawing>
          <wp:inline distT="0" distB="0" distL="0" distR="0" wp14:anchorId="29276206" wp14:editId="1528016E">
            <wp:extent cx="5943600" cy="2569845"/>
            <wp:effectExtent l="0" t="0" r="0" b="0"/>
            <wp:docPr id="16247117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569845"/>
                    </a:xfrm>
                    <a:prstGeom prst="rect">
                      <a:avLst/>
                    </a:prstGeom>
                    <a:noFill/>
                    <a:ln>
                      <a:noFill/>
                    </a:ln>
                  </pic:spPr>
                </pic:pic>
              </a:graphicData>
            </a:graphic>
          </wp:inline>
        </w:drawing>
      </w:r>
    </w:p>
    <w:p w14:paraId="3EB325A4" w14:textId="4058BAE6" w:rsidR="00041537" w:rsidRPr="007A4DE5" w:rsidRDefault="00041537" w:rsidP="00041537">
      <w:pPr>
        <w:rPr>
          <w:rFonts w:ascii="Times New Roman" w:hAnsi="Times New Roman" w:cs="Times New Roman"/>
          <w:color w:val="000000" w:themeColor="text1"/>
        </w:rPr>
      </w:pPr>
      <w:r w:rsidRPr="007A4DE5">
        <w:rPr>
          <w:rFonts w:ascii="Times New Roman" w:hAnsi="Times New Roman" w:cs="Times New Roman"/>
          <w:b/>
          <w:bCs/>
          <w:color w:val="000000" w:themeColor="text1"/>
        </w:rPr>
        <w:t>Figure S</w:t>
      </w:r>
      <w:r w:rsidR="00D357C2" w:rsidRPr="007A4DE5">
        <w:rPr>
          <w:rFonts w:ascii="Times New Roman" w:hAnsi="Times New Roman" w:cs="Times New Roman"/>
          <w:b/>
          <w:bCs/>
          <w:color w:val="000000" w:themeColor="text1"/>
        </w:rPr>
        <w:t>3</w:t>
      </w:r>
      <w:r w:rsidR="00FF35D7" w:rsidRPr="007A4DE5">
        <w:rPr>
          <w:rFonts w:ascii="Times New Roman" w:hAnsi="Times New Roman" w:cs="Times New Roman"/>
          <w:color w:val="000000" w:themeColor="text1"/>
        </w:rPr>
        <w:t>(a) N₂ adsorption–desorption isotherms and (b) pore-size distribution plots of MAB and etched MBene.</w:t>
      </w:r>
    </w:p>
    <w:p w14:paraId="0A703741" w14:textId="77777777" w:rsidR="00C70F63" w:rsidRPr="007A4DE5" w:rsidRDefault="00C70F63" w:rsidP="00041537">
      <w:pPr>
        <w:rPr>
          <w:rFonts w:ascii="Times New Roman" w:hAnsi="Times New Roman" w:cs="Times New Roman"/>
          <w:color w:val="000000" w:themeColor="text1"/>
        </w:rPr>
      </w:pPr>
    </w:p>
    <w:p w14:paraId="60965DCA" w14:textId="77777777" w:rsidR="00C70F63" w:rsidRPr="007A4DE5" w:rsidRDefault="00C70F63" w:rsidP="00D357C2">
      <w:pPr>
        <w:jc w:val="center"/>
        <w:rPr>
          <w:color w:val="000000" w:themeColor="text1"/>
        </w:rPr>
      </w:pPr>
      <w:r w:rsidRPr="007A4DE5">
        <w:rPr>
          <w:noProof/>
          <w:color w:val="000000" w:themeColor="text1"/>
        </w:rPr>
        <w:drawing>
          <wp:inline distT="0" distB="0" distL="0" distR="0" wp14:anchorId="16AC78E4" wp14:editId="71A683DD">
            <wp:extent cx="3779557" cy="2989840"/>
            <wp:effectExtent l="0" t="0" r="0" b="1270"/>
            <wp:docPr id="14869629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62965" name="Picture 14869629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79557" cy="2989840"/>
                    </a:xfrm>
                    <a:prstGeom prst="rect">
                      <a:avLst/>
                    </a:prstGeom>
                  </pic:spPr>
                </pic:pic>
              </a:graphicData>
            </a:graphic>
          </wp:inline>
        </w:drawing>
      </w:r>
    </w:p>
    <w:p w14:paraId="0398FC9B" w14:textId="02293145" w:rsidR="00C70F63" w:rsidRPr="007A4DE5" w:rsidRDefault="00C70F63" w:rsidP="00C70F63">
      <w:pPr>
        <w:rPr>
          <w:rFonts w:ascii="Times New Roman" w:hAnsi="Times New Roman" w:cs="Times New Roman"/>
          <w:color w:val="000000" w:themeColor="text1"/>
        </w:rPr>
      </w:pPr>
      <w:r w:rsidRPr="007A4DE5">
        <w:rPr>
          <w:rFonts w:ascii="Times New Roman" w:hAnsi="Times New Roman" w:cs="Times New Roman"/>
          <w:b/>
          <w:bCs/>
          <w:color w:val="000000" w:themeColor="text1"/>
        </w:rPr>
        <w:t>Figure S</w:t>
      </w:r>
      <w:r w:rsidR="00D357C2" w:rsidRPr="007A4DE5">
        <w:rPr>
          <w:rFonts w:ascii="Times New Roman" w:hAnsi="Times New Roman" w:cs="Times New Roman"/>
          <w:b/>
          <w:bCs/>
          <w:color w:val="000000" w:themeColor="text1"/>
        </w:rPr>
        <w:t>4</w:t>
      </w:r>
      <w:r w:rsidRPr="007A4DE5">
        <w:rPr>
          <w:rFonts w:ascii="Times New Roman" w:hAnsi="Times New Roman" w:cs="Times New Roman"/>
          <w:color w:val="000000" w:themeColor="text1"/>
        </w:rPr>
        <w:t xml:space="preserve"> </w:t>
      </w:r>
      <w:r w:rsidR="00FF35D7" w:rsidRPr="007A4DE5">
        <w:rPr>
          <w:rFonts w:ascii="Times New Roman" w:hAnsi="Times New Roman" w:cs="Times New Roman"/>
          <w:color w:val="000000" w:themeColor="text1"/>
        </w:rPr>
        <w:t>TEM image of etched MBene with corresponding elemental maps confirming the presence of Mo, Al, B, and O in the lamellar product.</w:t>
      </w:r>
    </w:p>
    <w:p w14:paraId="1F1F8134" w14:textId="77777777" w:rsidR="00C70F63" w:rsidRPr="007A4DE5" w:rsidRDefault="00C70F63" w:rsidP="00C70F63">
      <w:pPr>
        <w:rPr>
          <w:color w:val="000000" w:themeColor="text1"/>
        </w:rPr>
      </w:pPr>
    </w:p>
    <w:p w14:paraId="5A82A239" w14:textId="77777777" w:rsidR="00C70F63" w:rsidRPr="007A4DE5" w:rsidRDefault="00C70F63" w:rsidP="00041537">
      <w:pPr>
        <w:rPr>
          <w:rFonts w:ascii="Times New Roman" w:hAnsi="Times New Roman" w:cs="Times New Roman"/>
          <w:color w:val="000000" w:themeColor="text1"/>
        </w:rPr>
      </w:pPr>
    </w:p>
    <w:p w14:paraId="35B0848C" w14:textId="77777777" w:rsidR="000D1E26" w:rsidRPr="007A4DE5" w:rsidRDefault="000D1E26" w:rsidP="00041537">
      <w:pPr>
        <w:rPr>
          <w:rFonts w:ascii="Times New Roman" w:hAnsi="Times New Roman" w:cs="Times New Roman"/>
          <w:color w:val="000000" w:themeColor="text1"/>
        </w:rPr>
      </w:pPr>
    </w:p>
    <w:p w14:paraId="010762CD" w14:textId="77777777" w:rsidR="000D1E26" w:rsidRPr="007A4DE5" w:rsidRDefault="000D1E26" w:rsidP="00566822">
      <w:pPr>
        <w:jc w:val="center"/>
        <w:rPr>
          <w:color w:val="000000" w:themeColor="text1"/>
        </w:rPr>
      </w:pPr>
      <w:r w:rsidRPr="007A4DE5">
        <w:rPr>
          <w:noProof/>
          <w:color w:val="000000" w:themeColor="text1"/>
        </w:rPr>
        <w:lastRenderedPageBreak/>
        <w:drawing>
          <wp:inline distT="0" distB="0" distL="0" distR="0" wp14:anchorId="53B33A4E" wp14:editId="1DD0B3EE">
            <wp:extent cx="5139690" cy="1713230"/>
            <wp:effectExtent l="0" t="0" r="3810" b="0"/>
            <wp:docPr id="9911569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9690" cy="1713230"/>
                    </a:xfrm>
                    <a:prstGeom prst="rect">
                      <a:avLst/>
                    </a:prstGeom>
                    <a:noFill/>
                  </pic:spPr>
                </pic:pic>
              </a:graphicData>
            </a:graphic>
          </wp:inline>
        </w:drawing>
      </w:r>
    </w:p>
    <w:p w14:paraId="1366026E" w14:textId="77777777" w:rsidR="000D1E26" w:rsidRPr="007A4DE5" w:rsidRDefault="000D1E26" w:rsidP="000D1E26">
      <w:pPr>
        <w:rPr>
          <w:color w:val="000000" w:themeColor="text1"/>
        </w:rPr>
      </w:pPr>
    </w:p>
    <w:p w14:paraId="4B77F307" w14:textId="21BE3FB3" w:rsidR="000D1E26" w:rsidRPr="007A4DE5" w:rsidRDefault="000D1E26" w:rsidP="000D1E26">
      <w:pPr>
        <w:rPr>
          <w:rFonts w:ascii="Times New Roman" w:hAnsi="Times New Roman" w:cs="Times New Roman"/>
          <w:color w:val="000000" w:themeColor="text1"/>
        </w:rPr>
      </w:pPr>
      <w:r w:rsidRPr="007A4DE5">
        <w:rPr>
          <w:rFonts w:ascii="Times New Roman" w:hAnsi="Times New Roman" w:cs="Times New Roman"/>
          <w:b/>
          <w:bCs/>
          <w:color w:val="000000" w:themeColor="text1"/>
        </w:rPr>
        <w:t>Figure S</w:t>
      </w:r>
      <w:r w:rsidR="00D357C2" w:rsidRPr="007A4DE5">
        <w:rPr>
          <w:rFonts w:ascii="Times New Roman" w:hAnsi="Times New Roman" w:cs="Times New Roman"/>
          <w:b/>
          <w:bCs/>
          <w:color w:val="000000" w:themeColor="text1"/>
        </w:rPr>
        <w:t>5</w:t>
      </w:r>
      <w:r w:rsidRPr="007A4DE5">
        <w:rPr>
          <w:rFonts w:ascii="Times New Roman" w:hAnsi="Times New Roman" w:cs="Times New Roman"/>
          <w:color w:val="000000" w:themeColor="text1"/>
        </w:rPr>
        <w:t xml:space="preserve"> </w:t>
      </w:r>
      <w:r w:rsidR="00FF35D7" w:rsidRPr="007A4DE5">
        <w:rPr>
          <w:rFonts w:ascii="Times New Roman" w:hAnsi="Times New Roman" w:cs="Times New Roman"/>
          <w:color w:val="000000" w:themeColor="text1"/>
        </w:rPr>
        <w:t>Representative water-contact-angle images of MAB and etched MBene, showing improved wettability after alkaline etching.</w:t>
      </w:r>
    </w:p>
    <w:p w14:paraId="7CCB701A" w14:textId="77777777" w:rsidR="001458E4" w:rsidRPr="007A4DE5" w:rsidRDefault="001458E4">
      <w:pPr>
        <w:rPr>
          <w:color w:val="000000" w:themeColor="text1"/>
        </w:rPr>
      </w:pPr>
    </w:p>
    <w:p w14:paraId="28DAFA6B" w14:textId="299C8CCE" w:rsidR="00BE2F39" w:rsidRPr="007A4DE5" w:rsidRDefault="00BE2F39" w:rsidP="00BE2F39">
      <w:pPr>
        <w:jc w:val="center"/>
        <w:rPr>
          <w:rFonts w:ascii="Times New Roman" w:hAnsi="Times New Roman" w:cs="Times New Roman"/>
          <w:color w:val="000000" w:themeColor="text1"/>
        </w:rPr>
      </w:pPr>
      <w:r w:rsidRPr="007A4DE5">
        <w:rPr>
          <w:noProof/>
          <w:color w:val="000000" w:themeColor="text1"/>
        </w:rPr>
        <w:drawing>
          <wp:inline distT="0" distB="0" distL="0" distR="0" wp14:anchorId="6D3812D6" wp14:editId="69F2FB38">
            <wp:extent cx="3564255" cy="2726055"/>
            <wp:effectExtent l="0" t="0" r="0" b="0"/>
            <wp:docPr id="627635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4255" cy="2726055"/>
                    </a:xfrm>
                    <a:prstGeom prst="rect">
                      <a:avLst/>
                    </a:prstGeom>
                    <a:noFill/>
                    <a:ln>
                      <a:noFill/>
                    </a:ln>
                  </pic:spPr>
                </pic:pic>
              </a:graphicData>
            </a:graphic>
          </wp:inline>
        </w:drawing>
      </w:r>
    </w:p>
    <w:p w14:paraId="2F027B04" w14:textId="09D3FEA3" w:rsidR="001458E4" w:rsidRPr="007A4DE5" w:rsidRDefault="00BE2F39">
      <w:pPr>
        <w:rPr>
          <w:color w:val="000000" w:themeColor="text1"/>
        </w:rPr>
      </w:pPr>
      <w:r w:rsidRPr="007A4DE5">
        <w:rPr>
          <w:rFonts w:ascii="Times New Roman" w:hAnsi="Times New Roman" w:cs="Times New Roman"/>
          <w:b/>
          <w:bCs/>
          <w:color w:val="000000" w:themeColor="text1"/>
        </w:rPr>
        <w:t>Figure S6</w:t>
      </w:r>
      <w:r w:rsidRPr="007A4DE5">
        <w:rPr>
          <w:rFonts w:ascii="Times New Roman" w:hAnsi="Times New Roman" w:cs="Times New Roman"/>
          <w:color w:val="000000" w:themeColor="text1"/>
        </w:rPr>
        <w:t xml:space="preserve"> Representative Raman spectrum of MBene showing characteristic vibrations of the Mo–B framework within MoAl</w:t>
      </w:r>
      <w:r w:rsidRPr="007A4DE5">
        <w:rPr>
          <w:rFonts w:ascii="Times New Roman" w:hAnsi="Times New Roman" w:cs="Times New Roman"/>
          <w:color w:val="000000" w:themeColor="text1"/>
          <w:vertAlign w:val="subscript"/>
        </w:rPr>
        <w:t>1-</w:t>
      </w:r>
      <w:r w:rsidRPr="007A4DE5">
        <w:rPr>
          <w:rFonts w:ascii="Times New Roman" w:hAnsi="Times New Roman" w:cs="Times New Roman"/>
          <w:i/>
          <w:iCs/>
          <w:color w:val="000000" w:themeColor="text1"/>
          <w:vertAlign w:val="subscript"/>
        </w:rPr>
        <w:t>x</w:t>
      </w:r>
      <w:r w:rsidRPr="007A4DE5">
        <w:rPr>
          <w:rFonts w:ascii="Times New Roman" w:hAnsi="Times New Roman" w:cs="Times New Roman"/>
          <w:color w:val="000000" w:themeColor="text1"/>
        </w:rPr>
        <w:t xml:space="preserve">B. </w:t>
      </w:r>
    </w:p>
    <w:p w14:paraId="70418F41" w14:textId="77777777" w:rsidR="001458E4" w:rsidRPr="007A4DE5" w:rsidRDefault="001458E4">
      <w:pPr>
        <w:rPr>
          <w:color w:val="000000" w:themeColor="text1"/>
        </w:rPr>
      </w:pPr>
    </w:p>
    <w:p w14:paraId="093C2522" w14:textId="77777777" w:rsidR="001458E4" w:rsidRPr="007A4DE5" w:rsidRDefault="001458E4">
      <w:pPr>
        <w:rPr>
          <w:color w:val="000000" w:themeColor="text1"/>
        </w:rPr>
      </w:pPr>
    </w:p>
    <w:p w14:paraId="4D5357F2" w14:textId="77777777" w:rsidR="001458E4" w:rsidRPr="007A4DE5" w:rsidRDefault="001458E4">
      <w:pPr>
        <w:rPr>
          <w:color w:val="000000" w:themeColor="text1"/>
        </w:rPr>
      </w:pPr>
    </w:p>
    <w:p w14:paraId="700492BC" w14:textId="77777777" w:rsidR="001458E4" w:rsidRPr="007A4DE5" w:rsidRDefault="001458E4">
      <w:pPr>
        <w:rPr>
          <w:color w:val="000000" w:themeColor="text1"/>
        </w:rPr>
      </w:pPr>
    </w:p>
    <w:p w14:paraId="53825BCB" w14:textId="77777777" w:rsidR="001458E4" w:rsidRPr="007A4DE5" w:rsidRDefault="001458E4" w:rsidP="001458E4">
      <w:pPr>
        <w:jc w:val="center"/>
        <w:rPr>
          <w:color w:val="000000" w:themeColor="text1"/>
        </w:rPr>
      </w:pPr>
    </w:p>
    <w:p w14:paraId="759FA861" w14:textId="77777777" w:rsidR="001458E4" w:rsidRPr="007A4DE5" w:rsidRDefault="001458E4" w:rsidP="001458E4">
      <w:pPr>
        <w:jc w:val="center"/>
        <w:rPr>
          <w:color w:val="000000" w:themeColor="text1"/>
        </w:rPr>
      </w:pPr>
    </w:p>
    <w:p w14:paraId="1B2255DF" w14:textId="77777777" w:rsidR="001458E4" w:rsidRPr="007A4DE5" w:rsidRDefault="001458E4" w:rsidP="001458E4">
      <w:pPr>
        <w:jc w:val="center"/>
        <w:rPr>
          <w:color w:val="000000" w:themeColor="text1"/>
        </w:rPr>
      </w:pPr>
    </w:p>
    <w:p w14:paraId="69629E08" w14:textId="3034E7FA" w:rsidR="001458E4" w:rsidRPr="007A4DE5" w:rsidRDefault="009A3101" w:rsidP="001458E4">
      <w:pPr>
        <w:jc w:val="center"/>
        <w:rPr>
          <w:color w:val="000000" w:themeColor="text1"/>
        </w:rPr>
      </w:pPr>
      <w:r w:rsidRPr="007A4DE5">
        <w:rPr>
          <w:noProof/>
          <w:color w:val="000000" w:themeColor="text1"/>
        </w:rPr>
        <w:drawing>
          <wp:inline distT="0" distB="0" distL="0" distR="0" wp14:anchorId="78B43B82" wp14:editId="2E82DF6D">
            <wp:extent cx="5943600" cy="3262630"/>
            <wp:effectExtent l="0" t="0" r="0" b="0"/>
            <wp:docPr id="1917808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62630"/>
                    </a:xfrm>
                    <a:prstGeom prst="rect">
                      <a:avLst/>
                    </a:prstGeom>
                    <a:noFill/>
                    <a:ln>
                      <a:noFill/>
                    </a:ln>
                  </pic:spPr>
                </pic:pic>
              </a:graphicData>
            </a:graphic>
          </wp:inline>
        </w:drawing>
      </w:r>
    </w:p>
    <w:p w14:paraId="649EC026" w14:textId="77777777" w:rsidR="001458E4" w:rsidRPr="007A4DE5" w:rsidRDefault="001458E4" w:rsidP="001458E4">
      <w:pPr>
        <w:jc w:val="center"/>
        <w:rPr>
          <w:color w:val="000000" w:themeColor="text1"/>
        </w:rPr>
      </w:pPr>
    </w:p>
    <w:p w14:paraId="46F69F5F" w14:textId="0D5ACEAC" w:rsidR="00041537" w:rsidRPr="007A4DE5" w:rsidRDefault="00041537" w:rsidP="00FF35D7">
      <w:pPr>
        <w:jc w:val="both"/>
        <w:rPr>
          <w:rFonts w:ascii="Times New Roman" w:hAnsi="Times New Roman" w:cs="Times New Roman"/>
          <w:color w:val="000000" w:themeColor="text1"/>
        </w:rPr>
      </w:pPr>
      <w:r w:rsidRPr="007A4DE5">
        <w:rPr>
          <w:rFonts w:ascii="Times New Roman" w:hAnsi="Times New Roman" w:cs="Times New Roman"/>
          <w:b/>
          <w:bCs/>
          <w:color w:val="000000" w:themeColor="text1"/>
        </w:rPr>
        <w:t>Figure S</w:t>
      </w:r>
      <w:r w:rsidR="00BE2F39" w:rsidRPr="007A4DE5">
        <w:rPr>
          <w:rFonts w:ascii="Times New Roman" w:hAnsi="Times New Roman" w:cs="Times New Roman"/>
          <w:b/>
          <w:bCs/>
          <w:color w:val="000000" w:themeColor="text1"/>
        </w:rPr>
        <w:t>7</w:t>
      </w:r>
      <w:r w:rsidRPr="007A4DE5">
        <w:rPr>
          <w:rFonts w:ascii="Times New Roman" w:hAnsi="Times New Roman" w:cs="Times New Roman"/>
          <w:b/>
          <w:bCs/>
          <w:color w:val="000000" w:themeColor="text1"/>
        </w:rPr>
        <w:t xml:space="preserve"> </w:t>
      </w:r>
      <w:r w:rsidR="00FF35D7" w:rsidRPr="007A4DE5">
        <w:rPr>
          <w:rFonts w:ascii="Times New Roman" w:hAnsi="Times New Roman" w:cs="Times New Roman"/>
          <w:color w:val="000000" w:themeColor="text1"/>
        </w:rPr>
        <w:t>CV responses of [Fe(CN)₆]³⁻/[Fe(CN)₆]⁴⁻ at MBene/SPE recorded at 50–200 mV s⁻¹. corresponding plots of (b) peak current versus scan rate, (c) log peak current versus log scan rate, (d) peak current versus square root of scan rate, (e) peak-potential separation versus scan rate, and (f) anodic-to-cathodic peak-current ratio versus scan rate.</w:t>
      </w:r>
    </w:p>
    <w:p w14:paraId="1401A3BF" w14:textId="77777777" w:rsidR="00866A5A" w:rsidRPr="007A4DE5" w:rsidRDefault="00866A5A" w:rsidP="00041537">
      <w:pPr>
        <w:rPr>
          <w:rFonts w:ascii="Times New Roman" w:hAnsi="Times New Roman" w:cs="Times New Roman"/>
          <w:color w:val="000000" w:themeColor="text1"/>
        </w:rPr>
      </w:pPr>
    </w:p>
    <w:p w14:paraId="22D196E6" w14:textId="0FC486BA" w:rsidR="00866A5A" w:rsidRPr="007A4DE5" w:rsidRDefault="00CE003E" w:rsidP="00866A5A">
      <w:pPr>
        <w:jc w:val="center"/>
        <w:rPr>
          <w:rFonts w:ascii="Times New Roman" w:hAnsi="Times New Roman" w:cs="Times New Roman"/>
          <w:color w:val="000000" w:themeColor="text1"/>
        </w:rPr>
      </w:pPr>
      <w:r w:rsidRPr="007A4DE5">
        <w:rPr>
          <w:noProof/>
          <w:color w:val="000000" w:themeColor="text1"/>
        </w:rPr>
        <w:lastRenderedPageBreak/>
        <w:drawing>
          <wp:inline distT="0" distB="0" distL="0" distR="0" wp14:anchorId="65DDA7D3" wp14:editId="0939F6FA">
            <wp:extent cx="3886200" cy="3053080"/>
            <wp:effectExtent l="0" t="0" r="0" b="0"/>
            <wp:docPr id="1347719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3053080"/>
                    </a:xfrm>
                    <a:prstGeom prst="rect">
                      <a:avLst/>
                    </a:prstGeom>
                    <a:noFill/>
                    <a:ln>
                      <a:noFill/>
                    </a:ln>
                  </pic:spPr>
                </pic:pic>
              </a:graphicData>
            </a:graphic>
          </wp:inline>
        </w:drawing>
      </w:r>
    </w:p>
    <w:p w14:paraId="0FAAD4DC" w14:textId="676957B1" w:rsidR="00883298" w:rsidRPr="007A4DE5" w:rsidRDefault="00883298" w:rsidP="00883298">
      <w:pPr>
        <w:rPr>
          <w:rFonts w:ascii="Times New Roman" w:hAnsi="Times New Roman" w:cs="Times New Roman"/>
          <w:color w:val="000000" w:themeColor="text1"/>
        </w:rPr>
      </w:pPr>
      <w:r w:rsidRPr="007A4DE5">
        <w:rPr>
          <w:rFonts w:ascii="Times New Roman" w:hAnsi="Times New Roman" w:cs="Times New Roman"/>
          <w:b/>
          <w:bCs/>
          <w:color w:val="000000" w:themeColor="text1"/>
        </w:rPr>
        <w:t>Figure S</w:t>
      </w:r>
      <w:r w:rsidR="00BE2F39" w:rsidRPr="007A4DE5">
        <w:rPr>
          <w:rFonts w:ascii="Times New Roman" w:hAnsi="Times New Roman" w:cs="Times New Roman"/>
          <w:b/>
          <w:bCs/>
          <w:color w:val="000000" w:themeColor="text1"/>
        </w:rPr>
        <w:t>8</w:t>
      </w:r>
      <w:r w:rsidRPr="007A4DE5">
        <w:rPr>
          <w:rFonts w:ascii="Times New Roman" w:hAnsi="Times New Roman" w:cs="Times New Roman"/>
          <w:color w:val="000000" w:themeColor="text1"/>
        </w:rPr>
        <w:t xml:space="preserve"> </w:t>
      </w:r>
      <w:r w:rsidR="00FF35D7" w:rsidRPr="007A4DE5">
        <w:rPr>
          <w:rFonts w:ascii="Times New Roman" w:hAnsi="Times New Roman" w:cs="Times New Roman"/>
          <w:color w:val="000000" w:themeColor="text1"/>
        </w:rPr>
        <w:t>Apparent electrochemically addressable interfacial coverage (</w:t>
      </w:r>
      <w:proofErr w:type="spellStart"/>
      <w:r w:rsidR="00FF35D7" w:rsidRPr="007A4DE5">
        <w:rPr>
          <w:rFonts w:ascii="Times New Roman" w:hAnsi="Times New Roman" w:cs="Times New Roman"/>
          <w:color w:val="000000" w:themeColor="text1"/>
        </w:rPr>
        <w:t>Γ</w:t>
      </w:r>
      <w:r w:rsidR="00FF35D7" w:rsidRPr="007A4DE5">
        <w:rPr>
          <w:rFonts w:ascii="Times New Roman" w:hAnsi="Times New Roman" w:cs="Times New Roman"/>
          <w:color w:val="000000" w:themeColor="text1"/>
          <w:vertAlign w:val="subscript"/>
        </w:rPr>
        <w:t>app</w:t>
      </w:r>
      <w:proofErr w:type="spellEnd"/>
      <w:r w:rsidR="00FF35D7" w:rsidRPr="007A4DE5">
        <w:rPr>
          <w:rFonts w:ascii="Times New Roman" w:hAnsi="Times New Roman" w:cs="Times New Roman"/>
          <w:color w:val="000000" w:themeColor="text1"/>
        </w:rPr>
        <w:t>) of MBene/SPE estimated from the anodic and cathodic responses of the [Fe(CN)₆]³⁻/[Fe(CN)₆]⁴⁻ redox probe under thin-layer conditions.</w:t>
      </w:r>
    </w:p>
    <w:p w14:paraId="6243A817" w14:textId="77777777" w:rsidR="00DE07DD" w:rsidRPr="007A4DE5" w:rsidRDefault="00DE07DD" w:rsidP="00883298">
      <w:pPr>
        <w:rPr>
          <w:rFonts w:ascii="Times New Roman" w:hAnsi="Times New Roman" w:cs="Times New Roman"/>
          <w:color w:val="000000" w:themeColor="text1"/>
        </w:rPr>
      </w:pPr>
    </w:p>
    <w:p w14:paraId="138C9EDA" w14:textId="77777777" w:rsidR="00DE07DD" w:rsidRPr="007A4DE5" w:rsidRDefault="00DE07DD" w:rsidP="00DE07DD">
      <w:pPr>
        <w:jc w:val="center"/>
        <w:rPr>
          <w:color w:val="000000" w:themeColor="text1"/>
        </w:rPr>
      </w:pPr>
      <w:r w:rsidRPr="007A4DE5">
        <w:rPr>
          <w:noProof/>
          <w:color w:val="000000" w:themeColor="text1"/>
        </w:rPr>
        <w:drawing>
          <wp:inline distT="0" distB="0" distL="0" distR="0" wp14:anchorId="28B5BE64" wp14:editId="5F55D5CC">
            <wp:extent cx="3352800" cy="2684780"/>
            <wp:effectExtent l="0" t="0" r="0" b="0"/>
            <wp:docPr id="489460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2684780"/>
                    </a:xfrm>
                    <a:prstGeom prst="rect">
                      <a:avLst/>
                    </a:prstGeom>
                    <a:noFill/>
                    <a:ln>
                      <a:noFill/>
                    </a:ln>
                  </pic:spPr>
                </pic:pic>
              </a:graphicData>
            </a:graphic>
          </wp:inline>
        </w:drawing>
      </w:r>
    </w:p>
    <w:p w14:paraId="14B6C5B9" w14:textId="32DACB5E" w:rsidR="00DE07DD" w:rsidRPr="007A4DE5" w:rsidRDefault="00DE07DD" w:rsidP="00DE07DD">
      <w:pPr>
        <w:jc w:val="center"/>
        <w:rPr>
          <w:rFonts w:ascii="Times New Roman" w:hAnsi="Times New Roman" w:cs="Times New Roman"/>
          <w:color w:val="000000" w:themeColor="text1"/>
        </w:rPr>
      </w:pPr>
      <w:r w:rsidRPr="007A4DE5">
        <w:rPr>
          <w:rFonts w:ascii="Times New Roman" w:hAnsi="Times New Roman" w:cs="Times New Roman"/>
          <w:b/>
          <w:bCs/>
          <w:color w:val="000000" w:themeColor="text1"/>
        </w:rPr>
        <w:t>Figure S</w:t>
      </w:r>
      <w:r w:rsidR="00BE2F39" w:rsidRPr="007A4DE5">
        <w:rPr>
          <w:rFonts w:ascii="Times New Roman" w:hAnsi="Times New Roman" w:cs="Times New Roman"/>
          <w:b/>
          <w:bCs/>
          <w:color w:val="000000" w:themeColor="text1"/>
        </w:rPr>
        <w:t>9</w:t>
      </w:r>
      <w:r w:rsidRPr="007A4DE5">
        <w:rPr>
          <w:rFonts w:ascii="Times New Roman" w:hAnsi="Times New Roman" w:cs="Times New Roman"/>
          <w:color w:val="000000" w:themeColor="text1"/>
        </w:rPr>
        <w:t xml:space="preserve"> </w:t>
      </w:r>
      <w:r w:rsidR="00E30D1F" w:rsidRPr="007A4DE5">
        <w:rPr>
          <w:rFonts w:ascii="Times New Roman" w:hAnsi="Times New Roman" w:cs="Times New Roman"/>
          <w:color w:val="000000" w:themeColor="text1"/>
        </w:rPr>
        <w:t>Open-circuit potential (OCP) transients of bare SPE and MBene/SPE before and after addition of 1 μM VOX. After VOX addition (~70 s), MBene/SPE shows a pronounced positive potential shift, whereas bare SPE and blank controls show only minor changes, supporting stronger interfacial interaction and adsorption-assisted preconcentration of VOX on O-terminated MBene</w:t>
      </w:r>
    </w:p>
    <w:p w14:paraId="42CC0A59" w14:textId="77777777" w:rsidR="00DE07DD" w:rsidRPr="007A4DE5" w:rsidRDefault="00DE07DD" w:rsidP="00DE07DD">
      <w:pPr>
        <w:jc w:val="center"/>
        <w:rPr>
          <w:color w:val="000000" w:themeColor="text1"/>
        </w:rPr>
      </w:pPr>
    </w:p>
    <w:p w14:paraId="514307BC" w14:textId="77777777" w:rsidR="00DE07DD" w:rsidRPr="007A4DE5" w:rsidRDefault="00DE07DD" w:rsidP="00883298">
      <w:pPr>
        <w:rPr>
          <w:rFonts w:ascii="Times New Roman" w:hAnsi="Times New Roman" w:cs="Times New Roman"/>
          <w:color w:val="000000" w:themeColor="text1"/>
        </w:rPr>
      </w:pPr>
    </w:p>
    <w:p w14:paraId="731D5641" w14:textId="77777777" w:rsidR="00DE07DD" w:rsidRPr="007A4DE5" w:rsidRDefault="00DE07DD" w:rsidP="00883298">
      <w:pPr>
        <w:rPr>
          <w:rFonts w:ascii="Times New Roman" w:hAnsi="Times New Roman" w:cs="Times New Roman"/>
          <w:color w:val="000000" w:themeColor="text1"/>
        </w:rPr>
      </w:pPr>
    </w:p>
    <w:p w14:paraId="5D0243FC" w14:textId="77777777" w:rsidR="00866A5A" w:rsidRPr="007A4DE5" w:rsidRDefault="00866A5A" w:rsidP="00866A5A">
      <w:pPr>
        <w:jc w:val="center"/>
        <w:rPr>
          <w:rFonts w:ascii="Times New Roman" w:hAnsi="Times New Roman" w:cs="Times New Roman"/>
          <w:color w:val="000000" w:themeColor="text1"/>
        </w:rPr>
      </w:pPr>
    </w:p>
    <w:p w14:paraId="744765EB" w14:textId="4D80226D" w:rsidR="00866A5A" w:rsidRPr="007A4DE5" w:rsidRDefault="00883298" w:rsidP="00866A5A">
      <w:pPr>
        <w:jc w:val="center"/>
        <w:rPr>
          <w:rFonts w:ascii="Times New Roman" w:hAnsi="Times New Roman" w:cs="Times New Roman"/>
          <w:color w:val="000000" w:themeColor="text1"/>
        </w:rPr>
      </w:pPr>
      <w:r w:rsidRPr="007A4DE5">
        <w:rPr>
          <w:noProof/>
          <w:color w:val="000000" w:themeColor="text1"/>
        </w:rPr>
        <w:drawing>
          <wp:inline distT="0" distB="0" distL="0" distR="0" wp14:anchorId="5D752368" wp14:editId="21C25AA5">
            <wp:extent cx="5943600" cy="3955415"/>
            <wp:effectExtent l="0" t="0" r="0" b="6985"/>
            <wp:docPr id="57738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68C3BF59" w14:textId="1C3D725E" w:rsidR="00883298" w:rsidRPr="007A4DE5" w:rsidRDefault="00883298" w:rsidP="00883298">
      <w:pPr>
        <w:rPr>
          <w:rFonts w:ascii="Times New Roman" w:hAnsi="Times New Roman" w:cs="Times New Roman"/>
          <w:b/>
          <w:bCs/>
          <w:color w:val="000000" w:themeColor="text1"/>
        </w:rPr>
      </w:pPr>
      <w:r w:rsidRPr="007A4DE5">
        <w:rPr>
          <w:rFonts w:ascii="Times New Roman" w:hAnsi="Times New Roman" w:cs="Times New Roman"/>
          <w:b/>
          <w:bCs/>
          <w:color w:val="000000" w:themeColor="text1"/>
        </w:rPr>
        <w:t>Figure S</w:t>
      </w:r>
      <w:r w:rsidR="00BE2F39" w:rsidRPr="007A4DE5">
        <w:rPr>
          <w:rFonts w:ascii="Times New Roman" w:hAnsi="Times New Roman" w:cs="Times New Roman"/>
          <w:b/>
          <w:bCs/>
          <w:color w:val="000000" w:themeColor="text1"/>
        </w:rPr>
        <w:t>10</w:t>
      </w:r>
      <w:r w:rsidRPr="007A4DE5">
        <w:rPr>
          <w:rFonts w:ascii="Times New Roman" w:hAnsi="Times New Roman" w:cs="Times New Roman"/>
          <w:b/>
          <w:bCs/>
          <w:color w:val="000000" w:themeColor="text1"/>
        </w:rPr>
        <w:t xml:space="preserve"> </w:t>
      </w:r>
      <w:r w:rsidR="00FF35D7" w:rsidRPr="007A4DE5">
        <w:rPr>
          <w:rFonts w:ascii="Times New Roman" w:hAnsi="Times New Roman" w:cs="Times New Roman"/>
          <w:color w:val="000000" w:themeColor="text1"/>
        </w:rPr>
        <w:t>Schematic illustration of the custom in situ UV–Vis spectroelectrochemical setup used to monitor VOX oxidation on MBene/SPE.</w:t>
      </w:r>
    </w:p>
    <w:p w14:paraId="75914CC0" w14:textId="77777777" w:rsidR="00810710" w:rsidRPr="007A4DE5" w:rsidRDefault="00810710" w:rsidP="00883298">
      <w:pPr>
        <w:rPr>
          <w:rFonts w:ascii="Times New Roman" w:hAnsi="Times New Roman" w:cs="Times New Roman"/>
          <w:b/>
          <w:bCs/>
          <w:color w:val="000000" w:themeColor="text1"/>
        </w:rPr>
      </w:pPr>
    </w:p>
    <w:p w14:paraId="7154676C" w14:textId="77777777" w:rsidR="00810710" w:rsidRPr="007A4DE5" w:rsidRDefault="00810710" w:rsidP="00883298">
      <w:pPr>
        <w:rPr>
          <w:rFonts w:ascii="Times New Roman" w:hAnsi="Times New Roman" w:cs="Times New Roman"/>
          <w:b/>
          <w:bCs/>
          <w:color w:val="000000" w:themeColor="text1"/>
        </w:rPr>
      </w:pPr>
    </w:p>
    <w:p w14:paraId="6B63CAA4" w14:textId="77777777" w:rsidR="00810710" w:rsidRPr="007A4DE5" w:rsidRDefault="00810710" w:rsidP="00883298">
      <w:pPr>
        <w:rPr>
          <w:rFonts w:ascii="Times New Roman" w:hAnsi="Times New Roman" w:cs="Times New Roman"/>
          <w:b/>
          <w:bCs/>
          <w:color w:val="000000" w:themeColor="text1"/>
        </w:rPr>
      </w:pPr>
    </w:p>
    <w:p w14:paraId="3B8F947A" w14:textId="77777777" w:rsidR="00810710" w:rsidRPr="007A4DE5" w:rsidRDefault="00810710" w:rsidP="00883298">
      <w:pPr>
        <w:rPr>
          <w:rFonts w:ascii="Times New Roman" w:hAnsi="Times New Roman" w:cs="Times New Roman"/>
          <w:b/>
          <w:bCs/>
          <w:color w:val="000000" w:themeColor="text1"/>
        </w:rPr>
      </w:pPr>
    </w:p>
    <w:p w14:paraId="4103ABE2" w14:textId="77777777" w:rsidR="00810710" w:rsidRPr="007A4DE5" w:rsidRDefault="00810710" w:rsidP="00883298">
      <w:pPr>
        <w:rPr>
          <w:rFonts w:ascii="Times New Roman" w:hAnsi="Times New Roman" w:cs="Times New Roman"/>
          <w:b/>
          <w:bCs/>
          <w:color w:val="000000" w:themeColor="text1"/>
        </w:rPr>
      </w:pPr>
    </w:p>
    <w:p w14:paraId="3E6884C3" w14:textId="77777777" w:rsidR="00810710" w:rsidRPr="007A4DE5" w:rsidRDefault="00810710" w:rsidP="00883298">
      <w:pPr>
        <w:rPr>
          <w:rFonts w:ascii="Times New Roman" w:hAnsi="Times New Roman" w:cs="Times New Roman"/>
          <w:b/>
          <w:bCs/>
          <w:color w:val="000000" w:themeColor="text1"/>
        </w:rPr>
      </w:pPr>
    </w:p>
    <w:p w14:paraId="5AF8B167" w14:textId="77777777" w:rsidR="00810710" w:rsidRPr="007A4DE5" w:rsidRDefault="00810710" w:rsidP="00883298">
      <w:pPr>
        <w:rPr>
          <w:rFonts w:ascii="Times New Roman" w:hAnsi="Times New Roman" w:cs="Times New Roman"/>
          <w:b/>
          <w:bCs/>
          <w:color w:val="000000" w:themeColor="text1"/>
        </w:rPr>
      </w:pPr>
    </w:p>
    <w:p w14:paraId="40175D25" w14:textId="77777777" w:rsidR="00810710" w:rsidRPr="007A4DE5" w:rsidRDefault="00810710" w:rsidP="00883298">
      <w:pPr>
        <w:rPr>
          <w:rFonts w:ascii="Times New Roman" w:hAnsi="Times New Roman" w:cs="Times New Roman"/>
          <w:b/>
          <w:bCs/>
          <w:color w:val="000000" w:themeColor="text1"/>
        </w:rPr>
      </w:pPr>
    </w:p>
    <w:p w14:paraId="227A3E2C" w14:textId="77777777" w:rsidR="00810710" w:rsidRPr="007A4DE5" w:rsidRDefault="00810710" w:rsidP="00883298">
      <w:pPr>
        <w:rPr>
          <w:rFonts w:ascii="Times New Roman" w:hAnsi="Times New Roman" w:cs="Times New Roman"/>
          <w:b/>
          <w:bCs/>
          <w:color w:val="000000" w:themeColor="text1"/>
        </w:rPr>
      </w:pPr>
    </w:p>
    <w:p w14:paraId="65CF01D3" w14:textId="77777777" w:rsidR="00810710" w:rsidRPr="007A4DE5" w:rsidRDefault="00810710" w:rsidP="00883298">
      <w:pPr>
        <w:rPr>
          <w:rFonts w:ascii="Times New Roman" w:hAnsi="Times New Roman" w:cs="Times New Roman"/>
          <w:b/>
          <w:bCs/>
          <w:color w:val="000000" w:themeColor="text1"/>
        </w:rPr>
      </w:pPr>
    </w:p>
    <w:p w14:paraId="1A446771" w14:textId="77777777" w:rsidR="00810710" w:rsidRPr="007A4DE5" w:rsidRDefault="00810710" w:rsidP="00883298">
      <w:pPr>
        <w:rPr>
          <w:rFonts w:ascii="Times New Roman" w:hAnsi="Times New Roman" w:cs="Times New Roman"/>
          <w:b/>
          <w:bCs/>
          <w:color w:val="000000" w:themeColor="text1"/>
        </w:rPr>
      </w:pPr>
    </w:p>
    <w:p w14:paraId="572BDD9F" w14:textId="7EA44B86" w:rsidR="00810710" w:rsidRPr="007A4DE5" w:rsidRDefault="00810710" w:rsidP="00883298">
      <w:pPr>
        <w:rPr>
          <w:rFonts w:ascii="Times New Roman" w:hAnsi="Times New Roman" w:cs="Times New Roman"/>
          <w:color w:val="000000" w:themeColor="text1"/>
        </w:rPr>
      </w:pPr>
      <w:r w:rsidRPr="007A4DE5">
        <w:rPr>
          <w:noProof/>
          <w:color w:val="000000" w:themeColor="text1"/>
        </w:rPr>
        <w:drawing>
          <wp:inline distT="0" distB="0" distL="0" distR="0" wp14:anchorId="0FBE9B52" wp14:editId="35890000">
            <wp:extent cx="5943600" cy="1602740"/>
            <wp:effectExtent l="0" t="0" r="0" b="0"/>
            <wp:docPr id="1148882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602740"/>
                    </a:xfrm>
                    <a:prstGeom prst="rect">
                      <a:avLst/>
                    </a:prstGeom>
                    <a:noFill/>
                    <a:ln>
                      <a:noFill/>
                    </a:ln>
                  </pic:spPr>
                </pic:pic>
              </a:graphicData>
            </a:graphic>
          </wp:inline>
        </w:drawing>
      </w:r>
    </w:p>
    <w:p w14:paraId="4CE26EFE" w14:textId="0582EE46" w:rsidR="001458E4" w:rsidRPr="007A4DE5" w:rsidRDefault="00810710" w:rsidP="00FF35D7">
      <w:pPr>
        <w:rPr>
          <w:color w:val="000000" w:themeColor="text1"/>
        </w:rPr>
      </w:pPr>
      <w:r w:rsidRPr="007A4DE5">
        <w:rPr>
          <w:rFonts w:ascii="Times New Roman" w:hAnsi="Times New Roman" w:cs="Times New Roman"/>
          <w:b/>
          <w:bCs/>
          <w:color w:val="000000" w:themeColor="text1"/>
        </w:rPr>
        <w:t>Figure S</w:t>
      </w:r>
      <w:r w:rsidR="00DE07DD" w:rsidRPr="007A4DE5">
        <w:rPr>
          <w:rFonts w:ascii="Times New Roman" w:hAnsi="Times New Roman" w:cs="Times New Roman"/>
          <w:b/>
          <w:bCs/>
          <w:color w:val="000000" w:themeColor="text1"/>
        </w:rPr>
        <w:t>1</w:t>
      </w:r>
      <w:r w:rsidR="00BE2F39" w:rsidRPr="007A4DE5">
        <w:rPr>
          <w:rFonts w:ascii="Times New Roman" w:hAnsi="Times New Roman" w:cs="Times New Roman"/>
          <w:b/>
          <w:bCs/>
          <w:color w:val="000000" w:themeColor="text1"/>
        </w:rPr>
        <w:t>1</w:t>
      </w:r>
      <w:r w:rsidRPr="007A4DE5">
        <w:rPr>
          <w:rFonts w:ascii="Times New Roman" w:hAnsi="Times New Roman" w:cs="Times New Roman"/>
          <w:b/>
          <w:bCs/>
          <w:color w:val="000000" w:themeColor="text1"/>
        </w:rPr>
        <w:t xml:space="preserve"> </w:t>
      </w:r>
      <w:r w:rsidR="00FF35D7" w:rsidRPr="007A4DE5">
        <w:rPr>
          <w:rFonts w:ascii="Times New Roman" w:hAnsi="Times New Roman" w:cs="Times New Roman"/>
          <w:color w:val="000000" w:themeColor="text1"/>
        </w:rPr>
        <w:t>Optimization of analytical parameters for VOX detection at MBene/SPE: dependence of VOX anodic peak current (</w:t>
      </w:r>
      <w:proofErr w:type="spellStart"/>
      <w:r w:rsidR="00FF35D7" w:rsidRPr="007A4DE5">
        <w:rPr>
          <w:rFonts w:ascii="Times New Roman" w:hAnsi="Times New Roman" w:cs="Times New Roman"/>
          <w:color w:val="000000" w:themeColor="text1"/>
        </w:rPr>
        <w:t>i</w:t>
      </w:r>
      <w:r w:rsidR="00FF35D7" w:rsidRPr="007A4DE5">
        <w:rPr>
          <w:rFonts w:ascii="Times New Roman" w:hAnsi="Times New Roman" w:cs="Times New Roman"/>
          <w:color w:val="000000" w:themeColor="text1"/>
          <w:vertAlign w:val="subscript"/>
        </w:rPr>
        <w:t>pa</w:t>
      </w:r>
      <w:proofErr w:type="spellEnd"/>
      <w:r w:rsidR="00FF35D7" w:rsidRPr="007A4DE5">
        <w:rPr>
          <w:rFonts w:ascii="Times New Roman" w:hAnsi="Times New Roman" w:cs="Times New Roman"/>
          <w:color w:val="000000" w:themeColor="text1"/>
        </w:rPr>
        <w:t>) and peak potential (</w:t>
      </w:r>
      <w:proofErr w:type="spellStart"/>
      <w:r w:rsidR="00FF35D7" w:rsidRPr="007A4DE5">
        <w:rPr>
          <w:rFonts w:ascii="Times New Roman" w:hAnsi="Times New Roman" w:cs="Times New Roman"/>
          <w:color w:val="000000" w:themeColor="text1"/>
        </w:rPr>
        <w:t>E</w:t>
      </w:r>
      <w:r w:rsidR="00FF35D7" w:rsidRPr="007A4DE5">
        <w:rPr>
          <w:rFonts w:ascii="Times New Roman" w:hAnsi="Times New Roman" w:cs="Times New Roman"/>
          <w:color w:val="000000" w:themeColor="text1"/>
          <w:vertAlign w:val="subscript"/>
        </w:rPr>
        <w:t>pa</w:t>
      </w:r>
      <w:proofErr w:type="spellEnd"/>
      <w:r w:rsidR="00FF35D7" w:rsidRPr="007A4DE5">
        <w:rPr>
          <w:rFonts w:ascii="Times New Roman" w:hAnsi="Times New Roman" w:cs="Times New Roman"/>
          <w:color w:val="000000" w:themeColor="text1"/>
        </w:rPr>
        <w:t>) on (a) MBene deposition volume, (b) accumulation potential (</w:t>
      </w:r>
      <w:proofErr w:type="spellStart"/>
      <w:r w:rsidR="00FF35D7" w:rsidRPr="007A4DE5">
        <w:rPr>
          <w:rFonts w:ascii="Times New Roman" w:hAnsi="Times New Roman" w:cs="Times New Roman"/>
          <w:color w:val="000000" w:themeColor="text1"/>
        </w:rPr>
        <w:t>Eacc</w:t>
      </w:r>
      <w:proofErr w:type="spellEnd"/>
      <w:r w:rsidR="00FF35D7" w:rsidRPr="007A4DE5">
        <w:rPr>
          <w:rFonts w:ascii="Times New Roman" w:hAnsi="Times New Roman" w:cs="Times New Roman"/>
          <w:color w:val="000000" w:themeColor="text1"/>
        </w:rPr>
        <w:t>), and (c) accumulation time (</w:t>
      </w:r>
      <w:proofErr w:type="spellStart"/>
      <w:r w:rsidR="00FF35D7" w:rsidRPr="007A4DE5">
        <w:rPr>
          <w:rFonts w:ascii="Times New Roman" w:hAnsi="Times New Roman" w:cs="Times New Roman"/>
          <w:color w:val="000000" w:themeColor="text1"/>
        </w:rPr>
        <w:t>tacc</w:t>
      </w:r>
      <w:proofErr w:type="spellEnd"/>
      <w:r w:rsidR="00FF35D7" w:rsidRPr="007A4DE5">
        <w:rPr>
          <w:rFonts w:ascii="Times New Roman" w:hAnsi="Times New Roman" w:cs="Times New Roman"/>
          <w:color w:val="000000" w:themeColor="text1"/>
        </w:rPr>
        <w:t>).</w:t>
      </w:r>
    </w:p>
    <w:p w14:paraId="67523873" w14:textId="77777777" w:rsidR="00C70F63" w:rsidRPr="007A4DE5" w:rsidRDefault="00C70F63" w:rsidP="00C70F63">
      <w:pPr>
        <w:jc w:val="center"/>
        <w:rPr>
          <w:color w:val="000000" w:themeColor="text1"/>
        </w:rPr>
      </w:pPr>
      <w:r w:rsidRPr="007A4DE5">
        <w:rPr>
          <w:noProof/>
          <w:color w:val="000000" w:themeColor="text1"/>
        </w:rPr>
        <w:drawing>
          <wp:inline distT="0" distB="0" distL="0" distR="0" wp14:anchorId="69EF3503" wp14:editId="18D1A0BD">
            <wp:extent cx="5943600" cy="2303780"/>
            <wp:effectExtent l="0" t="0" r="0" b="0"/>
            <wp:docPr id="1740293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303780"/>
                    </a:xfrm>
                    <a:prstGeom prst="rect">
                      <a:avLst/>
                    </a:prstGeom>
                    <a:noFill/>
                    <a:ln>
                      <a:noFill/>
                    </a:ln>
                  </pic:spPr>
                </pic:pic>
              </a:graphicData>
            </a:graphic>
          </wp:inline>
        </w:drawing>
      </w:r>
    </w:p>
    <w:p w14:paraId="584C8152" w14:textId="77777777" w:rsidR="00C70F63" w:rsidRPr="007A4DE5" w:rsidRDefault="00C70F63" w:rsidP="00C70F63">
      <w:pPr>
        <w:rPr>
          <w:rFonts w:ascii="Times New Roman" w:hAnsi="Times New Roman" w:cs="Times New Roman"/>
          <w:color w:val="000000" w:themeColor="text1"/>
        </w:rPr>
      </w:pPr>
    </w:p>
    <w:p w14:paraId="3FFD0D2C" w14:textId="749214B1" w:rsidR="00C70F63" w:rsidRPr="007A4DE5" w:rsidRDefault="00C70F63" w:rsidP="00C70F63">
      <w:pPr>
        <w:rPr>
          <w:rFonts w:ascii="Times New Roman" w:hAnsi="Times New Roman" w:cs="Times New Roman"/>
          <w:b/>
          <w:bCs/>
          <w:color w:val="000000" w:themeColor="text1"/>
        </w:rPr>
      </w:pPr>
      <w:r w:rsidRPr="007A4DE5">
        <w:rPr>
          <w:rFonts w:ascii="Times New Roman" w:hAnsi="Times New Roman" w:cs="Times New Roman"/>
          <w:b/>
          <w:bCs/>
          <w:color w:val="000000" w:themeColor="text1"/>
        </w:rPr>
        <w:t>Figure S</w:t>
      </w:r>
      <w:r w:rsidR="00DE07DD" w:rsidRPr="007A4DE5">
        <w:rPr>
          <w:rFonts w:ascii="Times New Roman" w:hAnsi="Times New Roman" w:cs="Times New Roman"/>
          <w:b/>
          <w:bCs/>
          <w:color w:val="000000" w:themeColor="text1"/>
        </w:rPr>
        <w:t>1</w:t>
      </w:r>
      <w:r w:rsidR="00BE2F39" w:rsidRPr="007A4DE5">
        <w:rPr>
          <w:rFonts w:ascii="Times New Roman" w:hAnsi="Times New Roman" w:cs="Times New Roman"/>
          <w:b/>
          <w:bCs/>
          <w:color w:val="000000" w:themeColor="text1"/>
        </w:rPr>
        <w:t>2</w:t>
      </w:r>
      <w:r w:rsidRPr="007A4DE5">
        <w:rPr>
          <w:rFonts w:ascii="Times New Roman" w:hAnsi="Times New Roman" w:cs="Times New Roman"/>
          <w:color w:val="000000" w:themeColor="text1"/>
        </w:rPr>
        <w:t xml:space="preserve"> </w:t>
      </w:r>
      <w:r w:rsidR="00FF35D7" w:rsidRPr="007A4DE5">
        <w:rPr>
          <w:rFonts w:ascii="Times New Roman" w:hAnsi="Times New Roman" w:cs="Times New Roman"/>
          <w:color w:val="000000" w:themeColor="text1"/>
        </w:rPr>
        <w:t>Total density of states (DOS) for (a) pristine O-terminated MBene and (b) the adsorbed VOX–MBene complex.</w:t>
      </w:r>
    </w:p>
    <w:p w14:paraId="5085CFFD" w14:textId="77777777" w:rsidR="00CD4192" w:rsidRPr="007A4DE5" w:rsidRDefault="00CD4192" w:rsidP="001458E4">
      <w:pPr>
        <w:jc w:val="center"/>
        <w:rPr>
          <w:color w:val="000000" w:themeColor="text1"/>
        </w:rPr>
      </w:pPr>
    </w:p>
    <w:p w14:paraId="70686FB4" w14:textId="77777777" w:rsidR="00CD4192" w:rsidRPr="007A4DE5" w:rsidRDefault="00CD4192" w:rsidP="001458E4">
      <w:pPr>
        <w:jc w:val="center"/>
        <w:rPr>
          <w:color w:val="000000" w:themeColor="text1"/>
        </w:rPr>
      </w:pPr>
    </w:p>
    <w:p w14:paraId="7C0137CE" w14:textId="207B40CD" w:rsidR="00CD4192" w:rsidRPr="007A4DE5" w:rsidRDefault="009F789F" w:rsidP="001458E4">
      <w:pPr>
        <w:jc w:val="center"/>
        <w:rPr>
          <w:color w:val="000000" w:themeColor="text1"/>
        </w:rPr>
      </w:pPr>
      <w:r w:rsidRPr="007A4DE5">
        <w:rPr>
          <w:noProof/>
          <w:color w:val="000000" w:themeColor="text1"/>
        </w:rPr>
        <w:lastRenderedPageBreak/>
        <w:drawing>
          <wp:inline distT="0" distB="0" distL="0" distR="0" wp14:anchorId="1E78B815" wp14:editId="00178210">
            <wp:extent cx="5943600" cy="2536825"/>
            <wp:effectExtent l="0" t="0" r="0" b="0"/>
            <wp:docPr id="19889387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36825"/>
                    </a:xfrm>
                    <a:prstGeom prst="rect">
                      <a:avLst/>
                    </a:prstGeom>
                    <a:noFill/>
                    <a:ln>
                      <a:noFill/>
                    </a:ln>
                  </pic:spPr>
                </pic:pic>
              </a:graphicData>
            </a:graphic>
          </wp:inline>
        </w:drawing>
      </w:r>
    </w:p>
    <w:p w14:paraId="0EE9AA64" w14:textId="1DE1B623" w:rsidR="00B80936" w:rsidRPr="007A4DE5" w:rsidRDefault="00B80936" w:rsidP="00B80936">
      <w:pPr>
        <w:rPr>
          <w:rFonts w:ascii="Times New Roman" w:hAnsi="Times New Roman" w:cs="Times New Roman"/>
          <w:b/>
          <w:bCs/>
          <w:color w:val="000000" w:themeColor="text1"/>
        </w:rPr>
      </w:pPr>
      <w:r w:rsidRPr="007A4DE5">
        <w:rPr>
          <w:rFonts w:ascii="Times New Roman" w:hAnsi="Times New Roman" w:cs="Times New Roman"/>
          <w:b/>
          <w:bCs/>
          <w:color w:val="000000" w:themeColor="text1"/>
        </w:rPr>
        <w:t>Figure S</w:t>
      </w:r>
      <w:r w:rsidR="00C70F63" w:rsidRPr="007A4DE5">
        <w:rPr>
          <w:rFonts w:ascii="Times New Roman" w:hAnsi="Times New Roman" w:cs="Times New Roman"/>
          <w:b/>
          <w:bCs/>
          <w:color w:val="000000" w:themeColor="text1"/>
        </w:rPr>
        <w:t>1</w:t>
      </w:r>
      <w:r w:rsidR="00BE2F39" w:rsidRPr="007A4DE5">
        <w:rPr>
          <w:rFonts w:ascii="Times New Roman" w:hAnsi="Times New Roman" w:cs="Times New Roman"/>
          <w:b/>
          <w:bCs/>
          <w:color w:val="000000" w:themeColor="text1"/>
        </w:rPr>
        <w:t>3</w:t>
      </w:r>
      <w:r w:rsidRPr="007A4DE5">
        <w:rPr>
          <w:rFonts w:ascii="Times New Roman" w:hAnsi="Times New Roman" w:cs="Times New Roman"/>
          <w:b/>
          <w:bCs/>
          <w:color w:val="000000" w:themeColor="text1"/>
        </w:rPr>
        <w:t xml:space="preserve"> </w:t>
      </w:r>
      <w:r w:rsidR="00E30D1F" w:rsidRPr="007A4DE5">
        <w:rPr>
          <w:rFonts w:ascii="Times New Roman" w:hAnsi="Times New Roman" w:cs="Times New Roman"/>
          <w:color w:val="000000" w:themeColor="text1"/>
        </w:rPr>
        <w:t xml:space="preserve">(a) Fabrication reproducibility of independently prepared MBene/SPEs, (b) storage stability of MBene/SPE </w:t>
      </w:r>
      <w:r w:rsidR="00695267" w:rsidRPr="007A4DE5">
        <w:rPr>
          <w:rFonts w:ascii="Times New Roman" w:hAnsi="Times New Roman" w:cs="Times New Roman"/>
          <w:color w:val="000000" w:themeColor="text1"/>
        </w:rPr>
        <w:t xml:space="preserve">at </w:t>
      </w:r>
      <w:r w:rsidR="00695267" w:rsidRPr="007A4DE5">
        <w:rPr>
          <w:color w:val="000000" w:themeColor="text1"/>
        </w:rPr>
        <w:t xml:space="preserve">ambient humidity </w:t>
      </w:r>
      <w:r w:rsidR="00E30D1F" w:rsidRPr="007A4DE5">
        <w:rPr>
          <w:rFonts w:ascii="Times New Roman" w:hAnsi="Times New Roman" w:cs="Times New Roman"/>
          <w:color w:val="000000" w:themeColor="text1"/>
        </w:rPr>
        <w:t>toward VOX oxidation after up to 100 days of ambient storage.</w:t>
      </w:r>
    </w:p>
    <w:p w14:paraId="56C0519E" w14:textId="77777777" w:rsidR="00B80936" w:rsidRPr="007A4DE5" w:rsidRDefault="00B80936" w:rsidP="00B80936">
      <w:pPr>
        <w:rPr>
          <w:rFonts w:ascii="Times New Roman" w:hAnsi="Times New Roman" w:cs="Times New Roman"/>
          <w:b/>
          <w:bCs/>
          <w:color w:val="000000" w:themeColor="text1"/>
        </w:rPr>
      </w:pPr>
    </w:p>
    <w:p w14:paraId="6A6862E2" w14:textId="77777777" w:rsidR="00B80936" w:rsidRPr="007A4DE5" w:rsidRDefault="00B80936" w:rsidP="00B80936">
      <w:pPr>
        <w:rPr>
          <w:rFonts w:ascii="Times New Roman" w:hAnsi="Times New Roman" w:cs="Times New Roman"/>
          <w:b/>
          <w:bCs/>
          <w:color w:val="000000" w:themeColor="text1"/>
        </w:rPr>
      </w:pPr>
    </w:p>
    <w:p w14:paraId="278DBA9A" w14:textId="42329012" w:rsidR="00B80936" w:rsidRPr="007A4DE5" w:rsidRDefault="00D919A7" w:rsidP="00D919A7">
      <w:pPr>
        <w:jc w:val="center"/>
        <w:rPr>
          <w:rFonts w:ascii="Times New Roman" w:hAnsi="Times New Roman" w:cs="Times New Roman"/>
          <w:b/>
          <w:bCs/>
          <w:color w:val="000000" w:themeColor="text1"/>
        </w:rPr>
      </w:pPr>
      <w:r w:rsidRPr="007A4DE5">
        <w:rPr>
          <w:noProof/>
          <w:color w:val="000000" w:themeColor="text1"/>
        </w:rPr>
        <w:drawing>
          <wp:inline distT="0" distB="0" distL="0" distR="0" wp14:anchorId="5F1AD3B7" wp14:editId="21868F42">
            <wp:extent cx="3562350" cy="2719705"/>
            <wp:effectExtent l="0" t="0" r="0" b="0"/>
            <wp:docPr id="189073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2350" cy="2719705"/>
                    </a:xfrm>
                    <a:prstGeom prst="rect">
                      <a:avLst/>
                    </a:prstGeom>
                    <a:noFill/>
                    <a:ln>
                      <a:noFill/>
                    </a:ln>
                  </pic:spPr>
                </pic:pic>
              </a:graphicData>
            </a:graphic>
          </wp:inline>
        </w:drawing>
      </w:r>
    </w:p>
    <w:p w14:paraId="3D959207" w14:textId="77777777" w:rsidR="00B80936" w:rsidRPr="007A4DE5" w:rsidRDefault="00B80936" w:rsidP="00B80936">
      <w:pPr>
        <w:rPr>
          <w:rFonts w:ascii="Times New Roman" w:hAnsi="Times New Roman" w:cs="Times New Roman"/>
          <w:b/>
          <w:bCs/>
          <w:color w:val="000000" w:themeColor="text1"/>
        </w:rPr>
      </w:pPr>
    </w:p>
    <w:p w14:paraId="250971E9" w14:textId="7E011AA2" w:rsidR="00D919A7" w:rsidRPr="007A4DE5" w:rsidRDefault="00D919A7" w:rsidP="00D919A7">
      <w:pPr>
        <w:jc w:val="both"/>
        <w:rPr>
          <w:rFonts w:ascii="Times New Roman" w:hAnsi="Times New Roman" w:cs="Times New Roman"/>
          <w:b/>
          <w:bCs/>
          <w:color w:val="000000" w:themeColor="text1"/>
        </w:rPr>
      </w:pPr>
      <w:r w:rsidRPr="007A4DE5">
        <w:rPr>
          <w:rFonts w:ascii="Times New Roman" w:hAnsi="Times New Roman" w:cs="Times New Roman"/>
          <w:b/>
          <w:bCs/>
          <w:color w:val="000000" w:themeColor="text1"/>
        </w:rPr>
        <w:t>Figure S1</w:t>
      </w:r>
      <w:r w:rsidR="00BE2F39" w:rsidRPr="007A4DE5">
        <w:rPr>
          <w:rFonts w:ascii="Times New Roman" w:hAnsi="Times New Roman" w:cs="Times New Roman"/>
          <w:b/>
          <w:bCs/>
          <w:color w:val="000000" w:themeColor="text1"/>
        </w:rPr>
        <w:t>4</w:t>
      </w:r>
      <w:r w:rsidRPr="007A4DE5">
        <w:rPr>
          <w:rFonts w:ascii="Times New Roman" w:hAnsi="Times New Roman" w:cs="Times New Roman"/>
          <w:b/>
          <w:bCs/>
          <w:color w:val="000000" w:themeColor="text1"/>
        </w:rPr>
        <w:t xml:space="preserve"> </w:t>
      </w:r>
      <w:r w:rsidR="00E30D1F" w:rsidRPr="007A4DE5">
        <w:rPr>
          <w:rFonts w:ascii="Times New Roman" w:hAnsi="Times New Roman" w:cs="Times New Roman"/>
          <w:color w:val="000000" w:themeColor="text1"/>
        </w:rPr>
        <w:t>Peak current (bars) and peak potential (circles) obtained for VOX and representative interferents at identical concentrations on MBene/SPE. VOX remains clearly distinguishable in the mixed-interferent system (VOX + Mix), supporting practical selectivity under equimolar coexistence conditions.</w:t>
      </w:r>
    </w:p>
    <w:p w14:paraId="332CD7CC" w14:textId="77777777" w:rsidR="00B80936" w:rsidRPr="007A4DE5" w:rsidRDefault="00B80936" w:rsidP="00B80936">
      <w:pPr>
        <w:rPr>
          <w:rFonts w:ascii="Times New Roman" w:hAnsi="Times New Roman" w:cs="Times New Roman"/>
          <w:b/>
          <w:bCs/>
          <w:color w:val="000000" w:themeColor="text1"/>
        </w:rPr>
      </w:pPr>
    </w:p>
    <w:p w14:paraId="1BBAE19E" w14:textId="5C912969" w:rsidR="00B80936" w:rsidRPr="007A4DE5" w:rsidRDefault="008B59CC" w:rsidP="008B59CC">
      <w:pPr>
        <w:jc w:val="center"/>
        <w:rPr>
          <w:rFonts w:ascii="Times New Roman" w:hAnsi="Times New Roman" w:cs="Times New Roman"/>
          <w:b/>
          <w:bCs/>
          <w:color w:val="000000" w:themeColor="text1"/>
        </w:rPr>
      </w:pPr>
      <w:r w:rsidRPr="007A4DE5">
        <w:rPr>
          <w:noProof/>
          <w:color w:val="000000" w:themeColor="text1"/>
        </w:rPr>
        <w:drawing>
          <wp:inline distT="0" distB="0" distL="0" distR="0" wp14:anchorId="33335099" wp14:editId="0B371E46">
            <wp:extent cx="4069080" cy="3017520"/>
            <wp:effectExtent l="0" t="0" r="0" b="0"/>
            <wp:docPr id="1084420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9080" cy="3017520"/>
                    </a:xfrm>
                    <a:prstGeom prst="rect">
                      <a:avLst/>
                    </a:prstGeom>
                    <a:noFill/>
                    <a:ln>
                      <a:noFill/>
                    </a:ln>
                  </pic:spPr>
                </pic:pic>
              </a:graphicData>
            </a:graphic>
          </wp:inline>
        </w:drawing>
      </w:r>
    </w:p>
    <w:p w14:paraId="207F2358" w14:textId="24F3E2AE" w:rsidR="00B80936" w:rsidRPr="007A4DE5" w:rsidRDefault="00B80936" w:rsidP="00B80936">
      <w:pPr>
        <w:jc w:val="both"/>
        <w:rPr>
          <w:rFonts w:ascii="Times New Roman" w:hAnsi="Times New Roman" w:cs="Times New Roman"/>
          <w:color w:val="000000" w:themeColor="text1"/>
        </w:rPr>
      </w:pPr>
      <w:r w:rsidRPr="007A4DE5">
        <w:rPr>
          <w:rFonts w:ascii="Times New Roman" w:hAnsi="Times New Roman" w:cs="Times New Roman"/>
          <w:b/>
          <w:bCs/>
          <w:color w:val="000000" w:themeColor="text1"/>
        </w:rPr>
        <w:t>Figure S</w:t>
      </w:r>
      <w:r w:rsidR="000D1E26" w:rsidRPr="007A4DE5">
        <w:rPr>
          <w:rFonts w:ascii="Times New Roman" w:hAnsi="Times New Roman" w:cs="Times New Roman"/>
          <w:b/>
          <w:bCs/>
          <w:color w:val="000000" w:themeColor="text1"/>
        </w:rPr>
        <w:t>1</w:t>
      </w:r>
      <w:r w:rsidR="00BE2F39" w:rsidRPr="007A4DE5">
        <w:rPr>
          <w:rFonts w:ascii="Times New Roman" w:hAnsi="Times New Roman" w:cs="Times New Roman"/>
          <w:b/>
          <w:bCs/>
          <w:color w:val="000000" w:themeColor="text1"/>
        </w:rPr>
        <w:t>5</w:t>
      </w:r>
      <w:r w:rsidRPr="007A4DE5">
        <w:rPr>
          <w:rFonts w:ascii="Times New Roman" w:hAnsi="Times New Roman" w:cs="Times New Roman"/>
          <w:color w:val="000000" w:themeColor="text1"/>
        </w:rPr>
        <w:t xml:space="preserve"> </w:t>
      </w:r>
      <w:r w:rsidR="00E30D1F" w:rsidRPr="007A4DE5">
        <w:rPr>
          <w:rFonts w:ascii="Times New Roman" w:hAnsi="Times New Roman" w:cs="Times New Roman"/>
          <w:color w:val="000000" w:themeColor="text1"/>
        </w:rPr>
        <w:t>SEM image of MBene/SPE after 10 min pre-incubation in blank urine followed by VOX measurement, showing retention of film morphology and elemental distribution.</w:t>
      </w:r>
    </w:p>
    <w:p w14:paraId="7A439CF7" w14:textId="77777777" w:rsidR="00B80936" w:rsidRPr="007A4DE5" w:rsidRDefault="00B80936" w:rsidP="001458E4">
      <w:pPr>
        <w:jc w:val="center"/>
        <w:rPr>
          <w:color w:val="000000" w:themeColor="text1"/>
        </w:rPr>
      </w:pPr>
    </w:p>
    <w:p w14:paraId="37BFEB8D" w14:textId="77777777" w:rsidR="00675E7D" w:rsidRPr="007A4DE5" w:rsidRDefault="00675E7D" w:rsidP="001458E4">
      <w:pPr>
        <w:jc w:val="center"/>
        <w:rPr>
          <w:color w:val="000000" w:themeColor="text1"/>
        </w:rPr>
      </w:pPr>
    </w:p>
    <w:p w14:paraId="619D5927" w14:textId="47E1ECAF" w:rsidR="00132544" w:rsidRPr="007A4DE5" w:rsidRDefault="00132544" w:rsidP="00132544">
      <w:pPr>
        <w:rPr>
          <w:rFonts w:ascii="Times New Roman" w:hAnsi="Times New Roman" w:cs="Times New Roman"/>
          <w:color w:val="000000" w:themeColor="text1"/>
        </w:rPr>
      </w:pPr>
      <w:r w:rsidRPr="007A4DE5">
        <w:rPr>
          <w:rFonts w:ascii="Times New Roman" w:hAnsi="Times New Roman" w:cs="Times New Roman"/>
          <w:color w:val="000000" w:themeColor="text1"/>
        </w:rPr>
        <w:t>Table S1 Direct spike–recovery of VOX in urine using MBene/SPE</w:t>
      </w:r>
    </w:p>
    <w:tbl>
      <w:tblPr>
        <w:tblW w:w="5000" w:type="pct"/>
        <w:tblBorders>
          <w:top w:val="single" w:sz="4" w:space="0" w:color="auto"/>
          <w:bottom w:val="single" w:sz="4" w:space="0" w:color="auto"/>
          <w:insideH w:val="single" w:sz="4" w:space="0" w:color="auto"/>
        </w:tblBorders>
        <w:tblCellMar>
          <w:left w:w="0" w:type="dxa"/>
          <w:right w:w="0" w:type="dxa"/>
        </w:tblCellMar>
        <w:tblLook w:val="0600" w:firstRow="0" w:lastRow="0" w:firstColumn="0" w:lastColumn="0" w:noHBand="1" w:noVBand="1"/>
      </w:tblPr>
      <w:tblGrid>
        <w:gridCol w:w="1197"/>
        <w:gridCol w:w="1107"/>
        <w:gridCol w:w="2262"/>
        <w:gridCol w:w="1709"/>
        <w:gridCol w:w="1842"/>
        <w:gridCol w:w="1243"/>
      </w:tblGrid>
      <w:tr w:rsidR="007A4DE5" w:rsidRPr="007A4DE5" w14:paraId="1BF68D1B" w14:textId="77777777" w:rsidTr="00132544">
        <w:trPr>
          <w:trHeight w:val="503"/>
        </w:trPr>
        <w:tc>
          <w:tcPr>
            <w:tcW w:w="639" w:type="pct"/>
            <w:tcMar>
              <w:top w:w="72" w:type="dxa"/>
              <w:left w:w="144" w:type="dxa"/>
              <w:bottom w:w="72" w:type="dxa"/>
              <w:right w:w="144" w:type="dxa"/>
            </w:tcMar>
            <w:vAlign w:val="center"/>
            <w:hideMark/>
          </w:tcPr>
          <w:p w14:paraId="5774F3E6" w14:textId="77777777"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Sample</w:t>
            </w:r>
          </w:p>
        </w:tc>
        <w:tc>
          <w:tcPr>
            <w:tcW w:w="591" w:type="pct"/>
            <w:tcMar>
              <w:top w:w="72" w:type="dxa"/>
              <w:left w:w="144" w:type="dxa"/>
              <w:bottom w:w="72" w:type="dxa"/>
              <w:right w:w="144" w:type="dxa"/>
            </w:tcMar>
            <w:vAlign w:val="center"/>
            <w:hideMark/>
          </w:tcPr>
          <w:p w14:paraId="3CBDA3EF" w14:textId="77777777"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Matrix</w:t>
            </w:r>
          </w:p>
        </w:tc>
        <w:tc>
          <w:tcPr>
            <w:tcW w:w="1208" w:type="pct"/>
            <w:tcMar>
              <w:top w:w="72" w:type="dxa"/>
              <w:left w:w="144" w:type="dxa"/>
              <w:bottom w:w="72" w:type="dxa"/>
              <w:right w:w="144" w:type="dxa"/>
            </w:tcMar>
            <w:vAlign w:val="center"/>
            <w:hideMark/>
          </w:tcPr>
          <w:p w14:paraId="5246D872" w14:textId="77777777"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VOX added (µM)</w:t>
            </w:r>
          </w:p>
        </w:tc>
        <w:tc>
          <w:tcPr>
            <w:tcW w:w="913" w:type="pct"/>
            <w:tcMar>
              <w:top w:w="72" w:type="dxa"/>
              <w:left w:w="144" w:type="dxa"/>
              <w:bottom w:w="72" w:type="dxa"/>
              <w:right w:w="144" w:type="dxa"/>
            </w:tcMar>
            <w:vAlign w:val="center"/>
            <w:hideMark/>
          </w:tcPr>
          <w:p w14:paraId="02EA7857" w14:textId="7AEFD2E8"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Found (µM)*</w:t>
            </w:r>
          </w:p>
        </w:tc>
        <w:tc>
          <w:tcPr>
            <w:tcW w:w="984" w:type="pct"/>
            <w:tcMar>
              <w:top w:w="72" w:type="dxa"/>
              <w:left w:w="144" w:type="dxa"/>
              <w:bottom w:w="72" w:type="dxa"/>
              <w:right w:w="144" w:type="dxa"/>
            </w:tcMar>
            <w:vAlign w:val="center"/>
            <w:hideMark/>
          </w:tcPr>
          <w:p w14:paraId="78175CCC" w14:textId="77777777"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Recovery (%)</w:t>
            </w:r>
          </w:p>
        </w:tc>
        <w:tc>
          <w:tcPr>
            <w:tcW w:w="664" w:type="pct"/>
            <w:tcMar>
              <w:top w:w="72" w:type="dxa"/>
              <w:left w:w="144" w:type="dxa"/>
              <w:bottom w:w="72" w:type="dxa"/>
              <w:right w:w="144" w:type="dxa"/>
            </w:tcMar>
            <w:vAlign w:val="center"/>
            <w:hideMark/>
          </w:tcPr>
          <w:p w14:paraId="334FEAFC" w14:textId="77777777"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RSD (%)</w:t>
            </w:r>
          </w:p>
        </w:tc>
      </w:tr>
      <w:tr w:rsidR="007A4DE5" w:rsidRPr="007A4DE5" w14:paraId="3030662F" w14:textId="77777777" w:rsidTr="00132544">
        <w:trPr>
          <w:trHeight w:val="512"/>
        </w:trPr>
        <w:tc>
          <w:tcPr>
            <w:tcW w:w="639" w:type="pct"/>
            <w:tcMar>
              <w:top w:w="72" w:type="dxa"/>
              <w:left w:w="144" w:type="dxa"/>
              <w:bottom w:w="72" w:type="dxa"/>
              <w:right w:w="144" w:type="dxa"/>
            </w:tcMar>
            <w:vAlign w:val="center"/>
            <w:hideMark/>
          </w:tcPr>
          <w:p w14:paraId="5C900A31" w14:textId="77777777"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S1</w:t>
            </w:r>
          </w:p>
        </w:tc>
        <w:tc>
          <w:tcPr>
            <w:tcW w:w="591" w:type="pct"/>
            <w:tcMar>
              <w:top w:w="72" w:type="dxa"/>
              <w:left w:w="144" w:type="dxa"/>
              <w:bottom w:w="72" w:type="dxa"/>
              <w:right w:w="144" w:type="dxa"/>
            </w:tcMar>
            <w:vAlign w:val="center"/>
            <w:hideMark/>
          </w:tcPr>
          <w:p w14:paraId="1CE3DB49" w14:textId="77777777"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Urine</w:t>
            </w:r>
          </w:p>
        </w:tc>
        <w:tc>
          <w:tcPr>
            <w:tcW w:w="1208" w:type="pct"/>
            <w:tcMar>
              <w:top w:w="72" w:type="dxa"/>
              <w:left w:w="144" w:type="dxa"/>
              <w:bottom w:w="72" w:type="dxa"/>
              <w:right w:w="144" w:type="dxa"/>
            </w:tcMar>
            <w:vAlign w:val="center"/>
            <w:hideMark/>
          </w:tcPr>
          <w:p w14:paraId="6C603F0E" w14:textId="6B7C6D4C"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0.1</w:t>
            </w:r>
            <w:r w:rsidR="000124CB" w:rsidRPr="007A4DE5">
              <w:rPr>
                <w:rFonts w:ascii="Times New Roman" w:hAnsi="Times New Roman" w:cs="Times New Roman"/>
                <w:color w:val="000000" w:themeColor="text1"/>
              </w:rPr>
              <w:t>1</w:t>
            </w:r>
          </w:p>
        </w:tc>
        <w:tc>
          <w:tcPr>
            <w:tcW w:w="913" w:type="pct"/>
            <w:tcMar>
              <w:top w:w="72" w:type="dxa"/>
              <w:left w:w="144" w:type="dxa"/>
              <w:bottom w:w="72" w:type="dxa"/>
              <w:right w:w="144" w:type="dxa"/>
            </w:tcMar>
            <w:vAlign w:val="center"/>
            <w:hideMark/>
          </w:tcPr>
          <w:p w14:paraId="435FFD7D" w14:textId="77777777"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0.12</w:t>
            </w:r>
          </w:p>
        </w:tc>
        <w:tc>
          <w:tcPr>
            <w:tcW w:w="984" w:type="pct"/>
            <w:tcMar>
              <w:top w:w="72" w:type="dxa"/>
              <w:left w:w="144" w:type="dxa"/>
              <w:bottom w:w="72" w:type="dxa"/>
              <w:right w:w="144" w:type="dxa"/>
            </w:tcMar>
            <w:vAlign w:val="center"/>
            <w:hideMark/>
          </w:tcPr>
          <w:p w14:paraId="548C728F" w14:textId="761D9217"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1</w:t>
            </w:r>
            <w:r w:rsidR="000124CB" w:rsidRPr="007A4DE5">
              <w:rPr>
                <w:rFonts w:ascii="Times New Roman" w:hAnsi="Times New Roman" w:cs="Times New Roman"/>
                <w:color w:val="000000" w:themeColor="text1"/>
              </w:rPr>
              <w:t>09</w:t>
            </w:r>
            <w:r w:rsidRPr="007A4DE5">
              <w:rPr>
                <w:rFonts w:ascii="Times New Roman" w:hAnsi="Times New Roman" w:cs="Times New Roman"/>
                <w:color w:val="000000" w:themeColor="text1"/>
              </w:rPr>
              <w:t>.</w:t>
            </w:r>
            <w:r w:rsidR="001D37E4" w:rsidRPr="007A4DE5">
              <w:rPr>
                <w:rFonts w:ascii="Times New Roman" w:hAnsi="Times New Roman" w:cs="Times New Roman"/>
                <w:color w:val="000000" w:themeColor="text1"/>
              </w:rPr>
              <w:t>1</w:t>
            </w:r>
          </w:p>
        </w:tc>
        <w:tc>
          <w:tcPr>
            <w:tcW w:w="664" w:type="pct"/>
            <w:tcMar>
              <w:top w:w="72" w:type="dxa"/>
              <w:left w:w="144" w:type="dxa"/>
              <w:bottom w:w="72" w:type="dxa"/>
              <w:right w:w="144" w:type="dxa"/>
            </w:tcMar>
            <w:vAlign w:val="center"/>
            <w:hideMark/>
          </w:tcPr>
          <w:p w14:paraId="2B13C319" w14:textId="77777777"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4.95</w:t>
            </w:r>
          </w:p>
        </w:tc>
      </w:tr>
      <w:tr w:rsidR="007A4DE5" w:rsidRPr="007A4DE5" w14:paraId="647D5FC3" w14:textId="77777777" w:rsidTr="00132544">
        <w:trPr>
          <w:trHeight w:val="476"/>
        </w:trPr>
        <w:tc>
          <w:tcPr>
            <w:tcW w:w="639" w:type="pct"/>
            <w:tcMar>
              <w:top w:w="72" w:type="dxa"/>
              <w:left w:w="144" w:type="dxa"/>
              <w:bottom w:w="72" w:type="dxa"/>
              <w:right w:w="144" w:type="dxa"/>
            </w:tcMar>
            <w:vAlign w:val="center"/>
            <w:hideMark/>
          </w:tcPr>
          <w:p w14:paraId="4BCCD338" w14:textId="77777777"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S2</w:t>
            </w:r>
          </w:p>
        </w:tc>
        <w:tc>
          <w:tcPr>
            <w:tcW w:w="591" w:type="pct"/>
            <w:tcMar>
              <w:top w:w="72" w:type="dxa"/>
              <w:left w:w="144" w:type="dxa"/>
              <w:bottom w:w="72" w:type="dxa"/>
              <w:right w:w="144" w:type="dxa"/>
            </w:tcMar>
            <w:vAlign w:val="center"/>
            <w:hideMark/>
          </w:tcPr>
          <w:p w14:paraId="0BCFE363" w14:textId="77777777"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Urine</w:t>
            </w:r>
          </w:p>
        </w:tc>
        <w:tc>
          <w:tcPr>
            <w:tcW w:w="1208" w:type="pct"/>
            <w:tcMar>
              <w:top w:w="72" w:type="dxa"/>
              <w:left w:w="144" w:type="dxa"/>
              <w:bottom w:w="72" w:type="dxa"/>
              <w:right w:w="144" w:type="dxa"/>
            </w:tcMar>
            <w:vAlign w:val="center"/>
            <w:hideMark/>
          </w:tcPr>
          <w:p w14:paraId="415310DA" w14:textId="77777777"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0.30</w:t>
            </w:r>
          </w:p>
        </w:tc>
        <w:tc>
          <w:tcPr>
            <w:tcW w:w="913" w:type="pct"/>
            <w:tcMar>
              <w:top w:w="72" w:type="dxa"/>
              <w:left w:w="144" w:type="dxa"/>
              <w:bottom w:w="72" w:type="dxa"/>
              <w:right w:w="144" w:type="dxa"/>
            </w:tcMar>
            <w:vAlign w:val="center"/>
            <w:hideMark/>
          </w:tcPr>
          <w:p w14:paraId="2ABA4467" w14:textId="77777777"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0.29</w:t>
            </w:r>
          </w:p>
        </w:tc>
        <w:tc>
          <w:tcPr>
            <w:tcW w:w="984" w:type="pct"/>
            <w:tcMar>
              <w:top w:w="72" w:type="dxa"/>
              <w:left w:w="144" w:type="dxa"/>
              <w:bottom w:w="72" w:type="dxa"/>
              <w:right w:w="144" w:type="dxa"/>
            </w:tcMar>
            <w:vAlign w:val="center"/>
            <w:hideMark/>
          </w:tcPr>
          <w:p w14:paraId="46DEE8A7" w14:textId="7362E32F"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9</w:t>
            </w:r>
            <w:r w:rsidR="001D37E4" w:rsidRPr="007A4DE5">
              <w:rPr>
                <w:rFonts w:ascii="Times New Roman" w:hAnsi="Times New Roman" w:cs="Times New Roman"/>
                <w:color w:val="000000" w:themeColor="text1"/>
              </w:rPr>
              <w:t>6</w:t>
            </w:r>
            <w:r w:rsidRPr="007A4DE5">
              <w:rPr>
                <w:rFonts w:ascii="Times New Roman" w:hAnsi="Times New Roman" w:cs="Times New Roman"/>
                <w:color w:val="000000" w:themeColor="text1"/>
              </w:rPr>
              <w:t>.</w:t>
            </w:r>
            <w:r w:rsidR="001D37E4" w:rsidRPr="007A4DE5">
              <w:rPr>
                <w:rFonts w:ascii="Times New Roman" w:hAnsi="Times New Roman" w:cs="Times New Roman"/>
                <w:color w:val="000000" w:themeColor="text1"/>
              </w:rPr>
              <w:t>7</w:t>
            </w:r>
          </w:p>
        </w:tc>
        <w:tc>
          <w:tcPr>
            <w:tcW w:w="664" w:type="pct"/>
            <w:tcMar>
              <w:top w:w="72" w:type="dxa"/>
              <w:left w:w="144" w:type="dxa"/>
              <w:bottom w:w="72" w:type="dxa"/>
              <w:right w:w="144" w:type="dxa"/>
            </w:tcMar>
            <w:vAlign w:val="center"/>
            <w:hideMark/>
          </w:tcPr>
          <w:p w14:paraId="70902236" w14:textId="77777777"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1.97</w:t>
            </w:r>
          </w:p>
        </w:tc>
      </w:tr>
      <w:tr w:rsidR="007A4DE5" w:rsidRPr="007A4DE5" w14:paraId="25C2077A" w14:textId="77777777" w:rsidTr="00132544">
        <w:trPr>
          <w:trHeight w:val="377"/>
        </w:trPr>
        <w:tc>
          <w:tcPr>
            <w:tcW w:w="639" w:type="pct"/>
            <w:tcMar>
              <w:top w:w="72" w:type="dxa"/>
              <w:left w:w="144" w:type="dxa"/>
              <w:bottom w:w="72" w:type="dxa"/>
              <w:right w:w="144" w:type="dxa"/>
            </w:tcMar>
            <w:vAlign w:val="center"/>
            <w:hideMark/>
          </w:tcPr>
          <w:p w14:paraId="38CF9647" w14:textId="77777777"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S3</w:t>
            </w:r>
          </w:p>
        </w:tc>
        <w:tc>
          <w:tcPr>
            <w:tcW w:w="591" w:type="pct"/>
            <w:tcMar>
              <w:top w:w="72" w:type="dxa"/>
              <w:left w:w="144" w:type="dxa"/>
              <w:bottom w:w="72" w:type="dxa"/>
              <w:right w:w="144" w:type="dxa"/>
            </w:tcMar>
            <w:vAlign w:val="center"/>
            <w:hideMark/>
          </w:tcPr>
          <w:p w14:paraId="0EC504DA" w14:textId="77777777"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Urine</w:t>
            </w:r>
          </w:p>
        </w:tc>
        <w:tc>
          <w:tcPr>
            <w:tcW w:w="1208" w:type="pct"/>
            <w:tcMar>
              <w:top w:w="72" w:type="dxa"/>
              <w:left w:w="144" w:type="dxa"/>
              <w:bottom w:w="72" w:type="dxa"/>
              <w:right w:w="144" w:type="dxa"/>
            </w:tcMar>
            <w:vAlign w:val="center"/>
            <w:hideMark/>
          </w:tcPr>
          <w:p w14:paraId="3757D79E" w14:textId="77777777"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0.50</w:t>
            </w:r>
          </w:p>
        </w:tc>
        <w:tc>
          <w:tcPr>
            <w:tcW w:w="913" w:type="pct"/>
            <w:tcMar>
              <w:top w:w="72" w:type="dxa"/>
              <w:left w:w="144" w:type="dxa"/>
              <w:bottom w:w="72" w:type="dxa"/>
              <w:right w:w="144" w:type="dxa"/>
            </w:tcMar>
            <w:vAlign w:val="center"/>
            <w:hideMark/>
          </w:tcPr>
          <w:p w14:paraId="3FF7999F" w14:textId="77777777"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0.50</w:t>
            </w:r>
          </w:p>
        </w:tc>
        <w:tc>
          <w:tcPr>
            <w:tcW w:w="984" w:type="pct"/>
            <w:tcMar>
              <w:top w:w="72" w:type="dxa"/>
              <w:left w:w="144" w:type="dxa"/>
              <w:bottom w:w="72" w:type="dxa"/>
              <w:right w:w="144" w:type="dxa"/>
            </w:tcMar>
            <w:vAlign w:val="center"/>
            <w:hideMark/>
          </w:tcPr>
          <w:p w14:paraId="18CD3EB5" w14:textId="5F798F5A"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100.</w:t>
            </w:r>
            <w:r w:rsidR="001D37E4" w:rsidRPr="007A4DE5">
              <w:rPr>
                <w:rFonts w:ascii="Times New Roman" w:hAnsi="Times New Roman" w:cs="Times New Roman"/>
                <w:color w:val="000000" w:themeColor="text1"/>
              </w:rPr>
              <w:t>0</w:t>
            </w:r>
          </w:p>
        </w:tc>
        <w:tc>
          <w:tcPr>
            <w:tcW w:w="664" w:type="pct"/>
            <w:tcMar>
              <w:top w:w="72" w:type="dxa"/>
              <w:left w:w="144" w:type="dxa"/>
              <w:bottom w:w="72" w:type="dxa"/>
              <w:right w:w="144" w:type="dxa"/>
            </w:tcMar>
            <w:vAlign w:val="center"/>
            <w:hideMark/>
          </w:tcPr>
          <w:p w14:paraId="14EB6658" w14:textId="77777777" w:rsidR="00132544" w:rsidRPr="007A4DE5" w:rsidRDefault="00132544" w:rsidP="00132544">
            <w:pPr>
              <w:jc w:val="center"/>
              <w:rPr>
                <w:rFonts w:ascii="Times New Roman" w:hAnsi="Times New Roman" w:cs="Times New Roman"/>
                <w:color w:val="000000" w:themeColor="text1"/>
              </w:rPr>
            </w:pPr>
            <w:r w:rsidRPr="007A4DE5">
              <w:rPr>
                <w:rFonts w:ascii="Times New Roman" w:hAnsi="Times New Roman" w:cs="Times New Roman"/>
                <w:color w:val="000000" w:themeColor="text1"/>
              </w:rPr>
              <w:t>1.15</w:t>
            </w:r>
          </w:p>
        </w:tc>
      </w:tr>
    </w:tbl>
    <w:p w14:paraId="7154FD6D" w14:textId="3429E7BB" w:rsidR="00132544" w:rsidRPr="007A4DE5" w:rsidRDefault="00132544" w:rsidP="00132544">
      <w:pPr>
        <w:rPr>
          <w:rFonts w:ascii="Times New Roman" w:hAnsi="Times New Roman" w:cs="Times New Roman"/>
          <w:color w:val="000000" w:themeColor="text1"/>
        </w:rPr>
      </w:pPr>
      <w:r w:rsidRPr="007A4DE5">
        <w:rPr>
          <w:rFonts w:ascii="Times New Roman" w:hAnsi="Times New Roman" w:cs="Times New Roman"/>
          <w:color w:val="000000" w:themeColor="text1"/>
        </w:rPr>
        <w:t xml:space="preserve">* </w:t>
      </w:r>
      <w:r w:rsidR="00132E6B" w:rsidRPr="007A4DE5">
        <w:rPr>
          <w:rFonts w:ascii="Times New Roman" w:hAnsi="Times New Roman" w:cs="Times New Roman"/>
          <w:color w:val="000000" w:themeColor="text1"/>
        </w:rPr>
        <w:t>Measured values are the mean of three consecutive replicates</w:t>
      </w:r>
    </w:p>
    <w:sectPr w:rsidR="00132544" w:rsidRPr="007A4D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856"/>
    <w:rsid w:val="000124CB"/>
    <w:rsid w:val="00030125"/>
    <w:rsid w:val="00041537"/>
    <w:rsid w:val="00052B74"/>
    <w:rsid w:val="000D1E26"/>
    <w:rsid w:val="000D326D"/>
    <w:rsid w:val="00122E56"/>
    <w:rsid w:val="00132544"/>
    <w:rsid w:val="00132E6B"/>
    <w:rsid w:val="001458E4"/>
    <w:rsid w:val="001741D2"/>
    <w:rsid w:val="0019325F"/>
    <w:rsid w:val="001A2CFD"/>
    <w:rsid w:val="001B1925"/>
    <w:rsid w:val="001B7298"/>
    <w:rsid w:val="001D37E4"/>
    <w:rsid w:val="00231A95"/>
    <w:rsid w:val="00236197"/>
    <w:rsid w:val="00236538"/>
    <w:rsid w:val="002564A6"/>
    <w:rsid w:val="00276AD1"/>
    <w:rsid w:val="002921E9"/>
    <w:rsid w:val="002A4D17"/>
    <w:rsid w:val="003A51D4"/>
    <w:rsid w:val="003D5C9C"/>
    <w:rsid w:val="004757D5"/>
    <w:rsid w:val="004C6794"/>
    <w:rsid w:val="004E08F0"/>
    <w:rsid w:val="00501B49"/>
    <w:rsid w:val="00546BCE"/>
    <w:rsid w:val="00566822"/>
    <w:rsid w:val="00631864"/>
    <w:rsid w:val="0063501D"/>
    <w:rsid w:val="00675E7D"/>
    <w:rsid w:val="00695267"/>
    <w:rsid w:val="00714722"/>
    <w:rsid w:val="00737234"/>
    <w:rsid w:val="00775C85"/>
    <w:rsid w:val="007A4DE5"/>
    <w:rsid w:val="007B01A1"/>
    <w:rsid w:val="007B7262"/>
    <w:rsid w:val="007D58FD"/>
    <w:rsid w:val="007E3337"/>
    <w:rsid w:val="007E779C"/>
    <w:rsid w:val="00810710"/>
    <w:rsid w:val="00866A5A"/>
    <w:rsid w:val="00871BCB"/>
    <w:rsid w:val="00883298"/>
    <w:rsid w:val="008B59CC"/>
    <w:rsid w:val="008B6A04"/>
    <w:rsid w:val="009560EA"/>
    <w:rsid w:val="009A3101"/>
    <w:rsid w:val="009A3715"/>
    <w:rsid w:val="009B67ED"/>
    <w:rsid w:val="009E4093"/>
    <w:rsid w:val="009F789F"/>
    <w:rsid w:val="00A42B35"/>
    <w:rsid w:val="00A676C6"/>
    <w:rsid w:val="00A82BEE"/>
    <w:rsid w:val="00AA43D3"/>
    <w:rsid w:val="00AF2389"/>
    <w:rsid w:val="00B47856"/>
    <w:rsid w:val="00B70C32"/>
    <w:rsid w:val="00B777A4"/>
    <w:rsid w:val="00B80936"/>
    <w:rsid w:val="00BA3C8B"/>
    <w:rsid w:val="00BE2F39"/>
    <w:rsid w:val="00BF7A26"/>
    <w:rsid w:val="00C70F63"/>
    <w:rsid w:val="00CD2B78"/>
    <w:rsid w:val="00CD4192"/>
    <w:rsid w:val="00CD74F6"/>
    <w:rsid w:val="00CE003E"/>
    <w:rsid w:val="00CF07E0"/>
    <w:rsid w:val="00D357C2"/>
    <w:rsid w:val="00D919A7"/>
    <w:rsid w:val="00DE07DD"/>
    <w:rsid w:val="00DE4145"/>
    <w:rsid w:val="00E30D1F"/>
    <w:rsid w:val="00E53B4E"/>
    <w:rsid w:val="00E70E32"/>
    <w:rsid w:val="00E928C3"/>
    <w:rsid w:val="00EA4AFA"/>
    <w:rsid w:val="00EB47CA"/>
    <w:rsid w:val="00F62FC9"/>
    <w:rsid w:val="00F673E6"/>
    <w:rsid w:val="00F81C13"/>
    <w:rsid w:val="00F83FFC"/>
    <w:rsid w:val="00F93184"/>
    <w:rsid w:val="00FD3546"/>
    <w:rsid w:val="00FF35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2E4A6"/>
  <w15:chartTrackingRefBased/>
  <w15:docId w15:val="{E008B683-A947-468C-83A1-E5227BFC2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78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478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4785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4785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4785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78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78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78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78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785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478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4785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4785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4785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478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78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78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7856"/>
    <w:rPr>
      <w:rFonts w:eastAsiaTheme="majorEastAsia" w:cstheme="majorBidi"/>
      <w:color w:val="272727" w:themeColor="text1" w:themeTint="D8"/>
    </w:rPr>
  </w:style>
  <w:style w:type="paragraph" w:styleId="Title">
    <w:name w:val="Title"/>
    <w:basedOn w:val="Normal"/>
    <w:next w:val="Normal"/>
    <w:link w:val="TitleChar"/>
    <w:uiPriority w:val="10"/>
    <w:qFormat/>
    <w:rsid w:val="00B478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78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78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78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7856"/>
    <w:pPr>
      <w:spacing w:before="160"/>
      <w:jc w:val="center"/>
    </w:pPr>
    <w:rPr>
      <w:i/>
      <w:iCs/>
      <w:color w:val="404040" w:themeColor="text1" w:themeTint="BF"/>
    </w:rPr>
  </w:style>
  <w:style w:type="character" w:customStyle="1" w:styleId="QuoteChar">
    <w:name w:val="Quote Char"/>
    <w:basedOn w:val="DefaultParagraphFont"/>
    <w:link w:val="Quote"/>
    <w:uiPriority w:val="29"/>
    <w:rsid w:val="00B47856"/>
    <w:rPr>
      <w:i/>
      <w:iCs/>
      <w:color w:val="404040" w:themeColor="text1" w:themeTint="BF"/>
    </w:rPr>
  </w:style>
  <w:style w:type="paragraph" w:styleId="ListParagraph">
    <w:name w:val="List Paragraph"/>
    <w:basedOn w:val="Normal"/>
    <w:uiPriority w:val="34"/>
    <w:qFormat/>
    <w:rsid w:val="00B47856"/>
    <w:pPr>
      <w:ind w:left="720"/>
      <w:contextualSpacing/>
    </w:pPr>
  </w:style>
  <w:style w:type="character" w:styleId="IntenseEmphasis">
    <w:name w:val="Intense Emphasis"/>
    <w:basedOn w:val="DefaultParagraphFont"/>
    <w:uiPriority w:val="21"/>
    <w:qFormat/>
    <w:rsid w:val="00B47856"/>
    <w:rPr>
      <w:i/>
      <w:iCs/>
      <w:color w:val="2F5496" w:themeColor="accent1" w:themeShade="BF"/>
    </w:rPr>
  </w:style>
  <w:style w:type="paragraph" w:styleId="IntenseQuote">
    <w:name w:val="Intense Quote"/>
    <w:basedOn w:val="Normal"/>
    <w:next w:val="Normal"/>
    <w:link w:val="IntenseQuoteChar"/>
    <w:uiPriority w:val="30"/>
    <w:qFormat/>
    <w:rsid w:val="00B478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47856"/>
    <w:rPr>
      <w:i/>
      <w:iCs/>
      <w:color w:val="2F5496" w:themeColor="accent1" w:themeShade="BF"/>
    </w:rPr>
  </w:style>
  <w:style w:type="character" w:styleId="IntenseReference">
    <w:name w:val="Intense Reference"/>
    <w:basedOn w:val="DefaultParagraphFont"/>
    <w:uiPriority w:val="32"/>
    <w:qFormat/>
    <w:rsid w:val="00B47856"/>
    <w:rPr>
      <w:b/>
      <w:bCs/>
      <w:smallCaps/>
      <w:color w:val="2F5496" w:themeColor="accent1" w:themeShade="BF"/>
      <w:spacing w:val="5"/>
    </w:rPr>
  </w:style>
  <w:style w:type="paragraph" w:styleId="NormalWeb">
    <w:name w:val="Normal (Web)"/>
    <w:basedOn w:val="Normal"/>
    <w:uiPriority w:val="99"/>
    <w:semiHidden/>
    <w:unhideWhenUsed/>
    <w:rsid w:val="0069526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19"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12</Pages>
  <Words>1278</Words>
  <Characters>7285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Razium Ali Soomro</dc:creator>
  <cp:keywords/>
  <dc:description/>
  <cp:lastModifiedBy>Razium Ali Soomro</cp:lastModifiedBy>
  <cp:revision>8</cp:revision>
  <dcterms:created xsi:type="dcterms:W3CDTF">2026-03-31T11:29:00Z</dcterms:created>
  <dcterms:modified xsi:type="dcterms:W3CDTF">2026-04-11T06:59:00Z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924f375f-3fce-4bfb-9070-78cb671bbe7c</vt:lpwstr>
  </property>
</Properties>
</file>