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95650" w14:textId="77777777" w:rsidR="005B0107" w:rsidRDefault="00000000">
      <w:pPr>
        <w:pStyle w:val="10"/>
        <w:widowControl/>
        <w:spacing w:line="480" w:lineRule="auto"/>
        <w:rPr>
          <w:rStyle w:val="15"/>
          <w:sz w:val="18"/>
          <w:szCs w:val="18"/>
        </w:rPr>
      </w:pPr>
      <w:r>
        <w:rPr>
          <w:rStyle w:val="15"/>
          <w:rFonts w:hint="eastAsia"/>
          <w:sz w:val="18"/>
          <w:szCs w:val="18"/>
        </w:rPr>
        <w:t>Supplementary Table S1. MRI acquisition protocol and sequence parameters</w:t>
      </w:r>
    </w:p>
    <w:tbl>
      <w:tblPr>
        <w:tblStyle w:val="11"/>
        <w:tblW w:w="8765" w:type="dxa"/>
        <w:tblCellSpacing w:w="15" w:type="dxa"/>
        <w:tblInd w:w="-42" w:type="dxa"/>
        <w:tblBorders>
          <w:top w:val="none" w:sz="4" w:space="0" w:color="auto"/>
          <w:left w:val="none" w:sz="4" w:space="0" w:color="auto"/>
          <w:bottom w:val="single" w:sz="4" w:space="0" w:color="auto"/>
          <w:right w:val="none" w:sz="4" w:space="0" w:color="auto"/>
          <w:insideH w:val="none" w:sz="4" w:space="0" w:color="auto"/>
          <w:insideV w:val="non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22"/>
        <w:gridCol w:w="1188"/>
        <w:gridCol w:w="1107"/>
        <w:gridCol w:w="1009"/>
        <w:gridCol w:w="1071"/>
        <w:gridCol w:w="1275"/>
        <w:gridCol w:w="752"/>
        <w:gridCol w:w="805"/>
        <w:gridCol w:w="536"/>
      </w:tblGrid>
      <w:tr w:rsidR="005B0107" w14:paraId="2AFE3528" w14:textId="77777777">
        <w:trPr>
          <w:tblCellSpacing w:w="15" w:type="dxa"/>
        </w:trPr>
        <w:tc>
          <w:tcPr>
            <w:tcW w:w="1013" w:type="dxa"/>
            <w:tcBorders>
              <w:top w:val="single" w:sz="12" w:space="0" w:color="auto"/>
              <w:left w:val="nil"/>
              <w:bottom w:val="single" w:sz="6" w:space="0" w:color="auto"/>
              <w:right w:val="nil"/>
            </w:tcBorders>
            <w:vAlign w:val="center"/>
          </w:tcPr>
          <w:p w14:paraId="1FC69C28" w14:textId="77777777" w:rsidR="005B0107" w:rsidRDefault="00000000">
            <w:pPr>
              <w:pStyle w:val="1"/>
              <w:widowControl/>
              <w:spacing w:line="480" w:lineRule="auto"/>
              <w:jc w:val="left"/>
              <w:rPr>
                <w:rFonts w:ascii="SimSun" w:hAnsi="SimSun"/>
                <w:bCs/>
                <w:kern w:val="0"/>
                <w:sz w:val="20"/>
              </w:rPr>
            </w:pPr>
            <w:r>
              <w:rPr>
                <w:rFonts w:ascii="SimSun" w:hAnsi="SimSun" w:hint="eastAsia"/>
                <w:b/>
                <w:bCs/>
                <w:kern w:val="0"/>
                <w:sz w:val="15"/>
                <w:szCs w:val="15"/>
              </w:rPr>
              <w:t>Sequence</w:t>
            </w:r>
          </w:p>
        </w:tc>
        <w:tc>
          <w:tcPr>
            <w:tcW w:w="1199" w:type="dxa"/>
            <w:tcBorders>
              <w:top w:val="single" w:sz="12" w:space="0" w:color="auto"/>
              <w:left w:val="nil"/>
              <w:bottom w:val="single" w:sz="6" w:space="0" w:color="auto"/>
              <w:right w:val="nil"/>
            </w:tcBorders>
            <w:vAlign w:val="center"/>
          </w:tcPr>
          <w:p w14:paraId="4E92FA4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Plane / Orientation</w:t>
            </w:r>
          </w:p>
        </w:tc>
        <w:tc>
          <w:tcPr>
            <w:tcW w:w="1115" w:type="dxa"/>
            <w:tcBorders>
              <w:top w:val="single" w:sz="12" w:space="0" w:color="auto"/>
              <w:left w:val="nil"/>
              <w:bottom w:val="single" w:sz="6" w:space="0" w:color="auto"/>
              <w:right w:val="nil"/>
            </w:tcBorders>
            <w:vAlign w:val="center"/>
          </w:tcPr>
          <w:p w14:paraId="60CB8D9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Mouth position</w:t>
            </w:r>
          </w:p>
        </w:tc>
        <w:tc>
          <w:tcPr>
            <w:tcW w:w="1014" w:type="dxa"/>
            <w:tcBorders>
              <w:top w:val="single" w:sz="12" w:space="0" w:color="auto"/>
              <w:left w:val="nil"/>
              <w:bottom w:val="single" w:sz="6" w:space="0" w:color="auto"/>
              <w:right w:val="nil"/>
            </w:tcBorders>
            <w:vAlign w:val="center"/>
          </w:tcPr>
          <w:p w14:paraId="0557444D"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TR/TE (</w:t>
            </w:r>
            <w:proofErr w:type="spellStart"/>
            <w:r>
              <w:rPr>
                <w:rFonts w:ascii="SimSun" w:hAnsi="SimSun" w:hint="eastAsia"/>
                <w:b/>
                <w:bCs/>
                <w:kern w:val="0"/>
                <w:sz w:val="15"/>
                <w:szCs w:val="15"/>
              </w:rPr>
              <w:t>ms</w:t>
            </w:r>
            <w:proofErr w:type="spellEnd"/>
            <w:r>
              <w:rPr>
                <w:rFonts w:ascii="SimSun" w:hAnsi="SimSun" w:hint="eastAsia"/>
                <w:b/>
                <w:bCs/>
                <w:kern w:val="0"/>
                <w:sz w:val="15"/>
                <w:szCs w:val="15"/>
              </w:rPr>
              <w:t>)</w:t>
            </w:r>
          </w:p>
        </w:tc>
        <w:tc>
          <w:tcPr>
            <w:tcW w:w="1078" w:type="dxa"/>
            <w:tcBorders>
              <w:top w:val="single" w:sz="12" w:space="0" w:color="auto"/>
              <w:left w:val="nil"/>
              <w:bottom w:val="single" w:sz="6" w:space="0" w:color="auto"/>
              <w:right w:val="nil"/>
            </w:tcBorders>
            <w:vAlign w:val="center"/>
          </w:tcPr>
          <w:p w14:paraId="3EA6EF35"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FOV (cm)</w:t>
            </w:r>
          </w:p>
        </w:tc>
        <w:tc>
          <w:tcPr>
            <w:tcW w:w="1290" w:type="dxa"/>
            <w:tcBorders>
              <w:top w:val="single" w:sz="12" w:space="0" w:color="auto"/>
              <w:left w:val="nil"/>
              <w:bottom w:val="single" w:sz="6" w:space="0" w:color="auto"/>
              <w:right w:val="nil"/>
            </w:tcBorders>
            <w:vAlign w:val="center"/>
          </w:tcPr>
          <w:p w14:paraId="11B634F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Slice thickness (mm)</w:t>
            </w:r>
          </w:p>
        </w:tc>
        <w:tc>
          <w:tcPr>
            <w:tcW w:w="747" w:type="dxa"/>
            <w:tcBorders>
              <w:top w:val="single" w:sz="12" w:space="0" w:color="auto"/>
              <w:left w:val="nil"/>
              <w:bottom w:val="single" w:sz="6" w:space="0" w:color="auto"/>
              <w:right w:val="nil"/>
            </w:tcBorders>
            <w:vAlign w:val="center"/>
          </w:tcPr>
          <w:p w14:paraId="4398EA5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Gap (mm)</w:t>
            </w:r>
          </w:p>
        </w:tc>
        <w:tc>
          <w:tcPr>
            <w:tcW w:w="802" w:type="dxa"/>
            <w:tcBorders>
              <w:top w:val="single" w:sz="12" w:space="0" w:color="auto"/>
              <w:left w:val="nil"/>
              <w:bottom w:val="single" w:sz="6" w:space="0" w:color="auto"/>
              <w:right w:val="nil"/>
            </w:tcBorders>
            <w:vAlign w:val="center"/>
          </w:tcPr>
          <w:p w14:paraId="73676E4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Slices</w:t>
            </w:r>
          </w:p>
        </w:tc>
        <w:tc>
          <w:tcPr>
            <w:tcW w:w="507" w:type="dxa"/>
            <w:tcBorders>
              <w:top w:val="single" w:sz="12" w:space="0" w:color="auto"/>
              <w:left w:val="nil"/>
              <w:bottom w:val="single" w:sz="6" w:space="0" w:color="auto"/>
              <w:right w:val="nil"/>
            </w:tcBorders>
            <w:vAlign w:val="center"/>
          </w:tcPr>
          <w:p w14:paraId="7914947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NEX</w:t>
            </w:r>
          </w:p>
        </w:tc>
      </w:tr>
      <w:tr w:rsidR="005B0107" w14:paraId="659764CF" w14:textId="77777777">
        <w:trPr>
          <w:tblCellSpacing w:w="15" w:type="dxa"/>
        </w:trPr>
        <w:tc>
          <w:tcPr>
            <w:tcW w:w="1013" w:type="dxa"/>
            <w:tcBorders>
              <w:top w:val="nil"/>
              <w:left w:val="nil"/>
              <w:bottom w:val="nil"/>
              <w:right w:val="nil"/>
            </w:tcBorders>
            <w:vAlign w:val="center"/>
          </w:tcPr>
          <w:p w14:paraId="17F34612"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T2WI</w:t>
            </w:r>
          </w:p>
        </w:tc>
        <w:tc>
          <w:tcPr>
            <w:tcW w:w="1199" w:type="dxa"/>
            <w:tcBorders>
              <w:top w:val="nil"/>
              <w:left w:val="nil"/>
              <w:bottom w:val="nil"/>
              <w:right w:val="nil"/>
            </w:tcBorders>
            <w:vAlign w:val="center"/>
          </w:tcPr>
          <w:p w14:paraId="735E57F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Axial</w:t>
            </w:r>
          </w:p>
        </w:tc>
        <w:tc>
          <w:tcPr>
            <w:tcW w:w="1115" w:type="dxa"/>
            <w:tcBorders>
              <w:top w:val="nil"/>
              <w:left w:val="nil"/>
              <w:bottom w:val="nil"/>
              <w:right w:val="nil"/>
            </w:tcBorders>
            <w:vAlign w:val="center"/>
          </w:tcPr>
          <w:p w14:paraId="0C5697A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Closed</w:t>
            </w:r>
          </w:p>
        </w:tc>
        <w:tc>
          <w:tcPr>
            <w:tcW w:w="1014" w:type="dxa"/>
            <w:tcBorders>
              <w:top w:val="nil"/>
              <w:left w:val="nil"/>
              <w:bottom w:val="nil"/>
              <w:right w:val="nil"/>
            </w:tcBorders>
            <w:vAlign w:val="center"/>
          </w:tcPr>
          <w:p w14:paraId="5283CCDD"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4510 / 108.8</w:t>
            </w:r>
          </w:p>
        </w:tc>
        <w:tc>
          <w:tcPr>
            <w:tcW w:w="1078" w:type="dxa"/>
            <w:tcBorders>
              <w:top w:val="nil"/>
              <w:left w:val="nil"/>
              <w:bottom w:val="nil"/>
              <w:right w:val="nil"/>
            </w:tcBorders>
            <w:vAlign w:val="center"/>
          </w:tcPr>
          <w:p w14:paraId="3745E74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23 × 19</w:t>
            </w:r>
          </w:p>
        </w:tc>
        <w:tc>
          <w:tcPr>
            <w:tcW w:w="1290" w:type="dxa"/>
            <w:tcBorders>
              <w:top w:val="nil"/>
              <w:left w:val="nil"/>
              <w:bottom w:val="nil"/>
              <w:right w:val="nil"/>
            </w:tcBorders>
            <w:vAlign w:val="center"/>
          </w:tcPr>
          <w:p w14:paraId="0A037C95"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3</w:t>
            </w:r>
          </w:p>
        </w:tc>
        <w:tc>
          <w:tcPr>
            <w:tcW w:w="747" w:type="dxa"/>
            <w:tcBorders>
              <w:top w:val="nil"/>
              <w:left w:val="nil"/>
              <w:bottom w:val="nil"/>
              <w:right w:val="nil"/>
            </w:tcBorders>
            <w:vAlign w:val="center"/>
          </w:tcPr>
          <w:p w14:paraId="20096C05"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0.6</w:t>
            </w:r>
          </w:p>
        </w:tc>
        <w:tc>
          <w:tcPr>
            <w:tcW w:w="802" w:type="dxa"/>
            <w:tcBorders>
              <w:top w:val="nil"/>
              <w:left w:val="nil"/>
              <w:bottom w:val="nil"/>
              <w:right w:val="nil"/>
            </w:tcBorders>
            <w:vAlign w:val="center"/>
          </w:tcPr>
          <w:p w14:paraId="4735987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20(total)</w:t>
            </w:r>
          </w:p>
        </w:tc>
        <w:tc>
          <w:tcPr>
            <w:tcW w:w="507" w:type="dxa"/>
            <w:tcBorders>
              <w:top w:val="nil"/>
              <w:left w:val="nil"/>
              <w:bottom w:val="nil"/>
              <w:right w:val="nil"/>
            </w:tcBorders>
            <w:vAlign w:val="center"/>
          </w:tcPr>
          <w:p w14:paraId="17349B3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w:t>
            </w:r>
          </w:p>
        </w:tc>
      </w:tr>
      <w:tr w:rsidR="005B0107" w14:paraId="33E8B4E4" w14:textId="77777777">
        <w:trPr>
          <w:tblCellSpacing w:w="15" w:type="dxa"/>
        </w:trPr>
        <w:tc>
          <w:tcPr>
            <w:tcW w:w="1013" w:type="dxa"/>
            <w:tcBorders>
              <w:top w:val="nil"/>
              <w:left w:val="nil"/>
              <w:bottom w:val="nil"/>
              <w:right w:val="nil"/>
            </w:tcBorders>
            <w:vAlign w:val="center"/>
          </w:tcPr>
          <w:p w14:paraId="34EAF92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PDWI</w:t>
            </w:r>
          </w:p>
        </w:tc>
        <w:tc>
          <w:tcPr>
            <w:tcW w:w="1199" w:type="dxa"/>
            <w:tcBorders>
              <w:top w:val="nil"/>
              <w:left w:val="nil"/>
              <w:bottom w:val="nil"/>
              <w:right w:val="nil"/>
            </w:tcBorders>
            <w:vAlign w:val="center"/>
          </w:tcPr>
          <w:p w14:paraId="14AE3C7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Oblique sagittal</w:t>
            </w:r>
          </w:p>
        </w:tc>
        <w:tc>
          <w:tcPr>
            <w:tcW w:w="1115" w:type="dxa"/>
            <w:tcBorders>
              <w:top w:val="nil"/>
              <w:left w:val="nil"/>
              <w:bottom w:val="nil"/>
              <w:right w:val="nil"/>
            </w:tcBorders>
            <w:vAlign w:val="center"/>
          </w:tcPr>
          <w:p w14:paraId="419A26F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Closed &amp; open</w:t>
            </w:r>
          </w:p>
        </w:tc>
        <w:tc>
          <w:tcPr>
            <w:tcW w:w="1014" w:type="dxa"/>
            <w:tcBorders>
              <w:top w:val="nil"/>
              <w:left w:val="nil"/>
              <w:bottom w:val="nil"/>
              <w:right w:val="nil"/>
            </w:tcBorders>
            <w:vAlign w:val="center"/>
          </w:tcPr>
          <w:p w14:paraId="7F6972C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1800 / 33.1</w:t>
            </w:r>
          </w:p>
        </w:tc>
        <w:tc>
          <w:tcPr>
            <w:tcW w:w="1078" w:type="dxa"/>
            <w:tcBorders>
              <w:top w:val="nil"/>
              <w:left w:val="nil"/>
              <w:bottom w:val="nil"/>
              <w:right w:val="nil"/>
            </w:tcBorders>
            <w:vAlign w:val="center"/>
          </w:tcPr>
          <w:p w14:paraId="1DA46B2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10 × 10</w:t>
            </w:r>
          </w:p>
        </w:tc>
        <w:tc>
          <w:tcPr>
            <w:tcW w:w="1290" w:type="dxa"/>
            <w:tcBorders>
              <w:top w:val="nil"/>
              <w:left w:val="nil"/>
              <w:bottom w:val="nil"/>
              <w:right w:val="nil"/>
            </w:tcBorders>
            <w:vAlign w:val="center"/>
          </w:tcPr>
          <w:p w14:paraId="33D9B9E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3</w:t>
            </w:r>
          </w:p>
        </w:tc>
        <w:tc>
          <w:tcPr>
            <w:tcW w:w="747" w:type="dxa"/>
            <w:tcBorders>
              <w:top w:val="nil"/>
              <w:left w:val="nil"/>
              <w:bottom w:val="nil"/>
              <w:right w:val="nil"/>
            </w:tcBorders>
            <w:vAlign w:val="center"/>
          </w:tcPr>
          <w:p w14:paraId="095F5C1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0.3</w:t>
            </w:r>
          </w:p>
        </w:tc>
        <w:tc>
          <w:tcPr>
            <w:tcW w:w="802" w:type="dxa"/>
            <w:tcBorders>
              <w:top w:val="nil"/>
              <w:left w:val="nil"/>
              <w:bottom w:val="nil"/>
              <w:right w:val="nil"/>
            </w:tcBorders>
            <w:vAlign w:val="center"/>
          </w:tcPr>
          <w:p w14:paraId="42F4A07B"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7(per side) </w:t>
            </w:r>
          </w:p>
        </w:tc>
        <w:tc>
          <w:tcPr>
            <w:tcW w:w="507" w:type="dxa"/>
            <w:tcBorders>
              <w:top w:val="nil"/>
              <w:left w:val="nil"/>
              <w:bottom w:val="nil"/>
              <w:right w:val="nil"/>
            </w:tcBorders>
            <w:vAlign w:val="center"/>
          </w:tcPr>
          <w:p w14:paraId="485F5A65"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w:t>
            </w:r>
          </w:p>
        </w:tc>
      </w:tr>
      <w:tr w:rsidR="005B0107" w14:paraId="3D0B92EF" w14:textId="77777777">
        <w:trPr>
          <w:tblCellSpacing w:w="15" w:type="dxa"/>
        </w:trPr>
        <w:tc>
          <w:tcPr>
            <w:tcW w:w="1013" w:type="dxa"/>
            <w:tcBorders>
              <w:top w:val="nil"/>
              <w:left w:val="nil"/>
              <w:bottom w:val="nil"/>
              <w:right w:val="nil"/>
            </w:tcBorders>
            <w:vAlign w:val="center"/>
          </w:tcPr>
          <w:p w14:paraId="6DBEA7F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T2WI-FS</w:t>
            </w:r>
          </w:p>
        </w:tc>
        <w:tc>
          <w:tcPr>
            <w:tcW w:w="1199" w:type="dxa"/>
            <w:tcBorders>
              <w:top w:val="nil"/>
              <w:left w:val="nil"/>
              <w:bottom w:val="nil"/>
              <w:right w:val="nil"/>
            </w:tcBorders>
            <w:vAlign w:val="center"/>
          </w:tcPr>
          <w:p w14:paraId="27BAD08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Oblique sagittal</w:t>
            </w:r>
          </w:p>
        </w:tc>
        <w:tc>
          <w:tcPr>
            <w:tcW w:w="1115" w:type="dxa"/>
            <w:tcBorders>
              <w:top w:val="nil"/>
              <w:left w:val="nil"/>
              <w:bottom w:val="nil"/>
              <w:right w:val="nil"/>
            </w:tcBorders>
            <w:vAlign w:val="center"/>
          </w:tcPr>
          <w:p w14:paraId="622BB92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Closed</w:t>
            </w:r>
          </w:p>
        </w:tc>
        <w:tc>
          <w:tcPr>
            <w:tcW w:w="1014" w:type="dxa"/>
            <w:tcBorders>
              <w:top w:val="nil"/>
              <w:left w:val="nil"/>
              <w:bottom w:val="nil"/>
              <w:right w:val="nil"/>
            </w:tcBorders>
            <w:vAlign w:val="center"/>
          </w:tcPr>
          <w:p w14:paraId="4EE71EF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4000 / 90.2</w:t>
            </w:r>
          </w:p>
        </w:tc>
        <w:tc>
          <w:tcPr>
            <w:tcW w:w="1078" w:type="dxa"/>
            <w:tcBorders>
              <w:top w:val="nil"/>
              <w:left w:val="nil"/>
              <w:bottom w:val="nil"/>
              <w:right w:val="nil"/>
            </w:tcBorders>
            <w:vAlign w:val="center"/>
          </w:tcPr>
          <w:p w14:paraId="0341BBB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10 × 10</w:t>
            </w:r>
          </w:p>
        </w:tc>
        <w:tc>
          <w:tcPr>
            <w:tcW w:w="1290" w:type="dxa"/>
            <w:tcBorders>
              <w:top w:val="nil"/>
              <w:left w:val="nil"/>
              <w:bottom w:val="nil"/>
              <w:right w:val="nil"/>
            </w:tcBorders>
            <w:vAlign w:val="center"/>
          </w:tcPr>
          <w:p w14:paraId="56D21DC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3</w:t>
            </w:r>
          </w:p>
        </w:tc>
        <w:tc>
          <w:tcPr>
            <w:tcW w:w="747" w:type="dxa"/>
            <w:tcBorders>
              <w:top w:val="nil"/>
              <w:left w:val="nil"/>
              <w:bottom w:val="nil"/>
              <w:right w:val="nil"/>
            </w:tcBorders>
            <w:vAlign w:val="center"/>
          </w:tcPr>
          <w:p w14:paraId="6A221B6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0.3</w:t>
            </w:r>
          </w:p>
        </w:tc>
        <w:tc>
          <w:tcPr>
            <w:tcW w:w="802" w:type="dxa"/>
            <w:tcBorders>
              <w:top w:val="nil"/>
              <w:left w:val="nil"/>
              <w:bottom w:val="nil"/>
              <w:right w:val="nil"/>
            </w:tcBorders>
            <w:vAlign w:val="center"/>
          </w:tcPr>
          <w:p w14:paraId="03A1D9F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7(per side) </w:t>
            </w:r>
          </w:p>
        </w:tc>
        <w:tc>
          <w:tcPr>
            <w:tcW w:w="507" w:type="dxa"/>
            <w:tcBorders>
              <w:top w:val="nil"/>
              <w:left w:val="nil"/>
              <w:bottom w:val="nil"/>
              <w:right w:val="nil"/>
            </w:tcBorders>
            <w:vAlign w:val="center"/>
          </w:tcPr>
          <w:p w14:paraId="560DAED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w:t>
            </w:r>
          </w:p>
        </w:tc>
      </w:tr>
      <w:tr w:rsidR="005B0107" w14:paraId="11F94154" w14:textId="77777777">
        <w:trPr>
          <w:tblCellSpacing w:w="15" w:type="dxa"/>
        </w:trPr>
        <w:tc>
          <w:tcPr>
            <w:tcW w:w="1013" w:type="dxa"/>
            <w:tcBorders>
              <w:top w:val="nil"/>
              <w:left w:val="nil"/>
              <w:bottom w:val="single" w:sz="12" w:space="0" w:color="auto"/>
              <w:right w:val="nil"/>
            </w:tcBorders>
            <w:vAlign w:val="center"/>
          </w:tcPr>
          <w:p w14:paraId="287BB65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T2WI</w:t>
            </w:r>
          </w:p>
        </w:tc>
        <w:tc>
          <w:tcPr>
            <w:tcW w:w="1199" w:type="dxa"/>
            <w:tcBorders>
              <w:top w:val="nil"/>
              <w:left w:val="nil"/>
              <w:bottom w:val="single" w:sz="12" w:space="0" w:color="auto"/>
              <w:right w:val="nil"/>
            </w:tcBorders>
            <w:vAlign w:val="center"/>
          </w:tcPr>
          <w:p w14:paraId="7F50CAD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Oblique coronal </w:t>
            </w:r>
          </w:p>
        </w:tc>
        <w:tc>
          <w:tcPr>
            <w:tcW w:w="1115" w:type="dxa"/>
            <w:tcBorders>
              <w:top w:val="nil"/>
              <w:left w:val="nil"/>
              <w:bottom w:val="single" w:sz="12" w:space="0" w:color="auto"/>
              <w:right w:val="nil"/>
            </w:tcBorders>
            <w:vAlign w:val="center"/>
          </w:tcPr>
          <w:p w14:paraId="57C2621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Closed</w:t>
            </w:r>
          </w:p>
        </w:tc>
        <w:tc>
          <w:tcPr>
            <w:tcW w:w="1014" w:type="dxa"/>
            <w:tcBorders>
              <w:top w:val="nil"/>
              <w:left w:val="nil"/>
              <w:bottom w:val="single" w:sz="12" w:space="0" w:color="auto"/>
              <w:right w:val="nil"/>
            </w:tcBorders>
            <w:vAlign w:val="center"/>
          </w:tcPr>
          <w:p w14:paraId="1381799D"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2000 / 89.8</w:t>
            </w:r>
          </w:p>
        </w:tc>
        <w:tc>
          <w:tcPr>
            <w:tcW w:w="1078" w:type="dxa"/>
            <w:tcBorders>
              <w:top w:val="nil"/>
              <w:left w:val="nil"/>
              <w:bottom w:val="single" w:sz="12" w:space="0" w:color="auto"/>
              <w:right w:val="nil"/>
            </w:tcBorders>
            <w:vAlign w:val="center"/>
          </w:tcPr>
          <w:p w14:paraId="5CA9ABC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10 × 10</w:t>
            </w:r>
          </w:p>
        </w:tc>
        <w:tc>
          <w:tcPr>
            <w:tcW w:w="1290" w:type="dxa"/>
            <w:tcBorders>
              <w:top w:val="nil"/>
              <w:left w:val="nil"/>
              <w:bottom w:val="single" w:sz="12" w:space="0" w:color="auto"/>
              <w:right w:val="nil"/>
            </w:tcBorders>
            <w:vAlign w:val="center"/>
          </w:tcPr>
          <w:p w14:paraId="7EE7725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3</w:t>
            </w:r>
          </w:p>
        </w:tc>
        <w:tc>
          <w:tcPr>
            <w:tcW w:w="747" w:type="dxa"/>
            <w:tcBorders>
              <w:top w:val="nil"/>
              <w:left w:val="nil"/>
              <w:bottom w:val="single" w:sz="12" w:space="0" w:color="auto"/>
              <w:right w:val="nil"/>
            </w:tcBorders>
            <w:vAlign w:val="center"/>
          </w:tcPr>
          <w:p w14:paraId="1A5487E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0.3</w:t>
            </w:r>
          </w:p>
        </w:tc>
        <w:tc>
          <w:tcPr>
            <w:tcW w:w="802" w:type="dxa"/>
            <w:tcBorders>
              <w:top w:val="nil"/>
              <w:left w:val="nil"/>
              <w:bottom w:val="single" w:sz="12" w:space="0" w:color="auto"/>
              <w:right w:val="nil"/>
            </w:tcBorders>
            <w:vAlign w:val="center"/>
          </w:tcPr>
          <w:p w14:paraId="21FEE04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7(per side) </w:t>
            </w:r>
          </w:p>
        </w:tc>
        <w:tc>
          <w:tcPr>
            <w:tcW w:w="507" w:type="dxa"/>
            <w:tcBorders>
              <w:top w:val="nil"/>
              <w:left w:val="nil"/>
              <w:bottom w:val="single" w:sz="12" w:space="0" w:color="auto"/>
              <w:right w:val="nil"/>
            </w:tcBorders>
            <w:vAlign w:val="center"/>
          </w:tcPr>
          <w:p w14:paraId="08C2952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w:t>
            </w:r>
          </w:p>
        </w:tc>
      </w:tr>
    </w:tbl>
    <w:p w14:paraId="113A55A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TMJ, temporomandibular joint; MRI, magnetic resonance imaging; PDWI, proton density-weighted imaging; T2WI, T2-weighted imaging; TR, repetition time; TE, echo time; FOV, field of view; NEX, number of excitations.</w:t>
      </w:r>
    </w:p>
    <w:p w14:paraId="22627551" w14:textId="77777777" w:rsidR="005B0107" w:rsidRDefault="00000000">
      <w:pPr>
        <w:widowControl/>
        <w:jc w:val="left"/>
        <w:rPr>
          <w:rStyle w:val="15"/>
          <w:rFonts w:eastAsia="SimSun"/>
          <w:sz w:val="15"/>
          <w:szCs w:val="15"/>
        </w:rPr>
      </w:pPr>
      <w:r>
        <w:rPr>
          <w:rStyle w:val="15"/>
          <w:sz w:val="15"/>
          <w:szCs w:val="15"/>
        </w:rPr>
        <w:br w:type="page"/>
      </w:r>
    </w:p>
    <w:p w14:paraId="6B81B4CE" w14:textId="77777777" w:rsidR="005B0107" w:rsidRDefault="00000000">
      <w:pPr>
        <w:pStyle w:val="10"/>
        <w:widowControl/>
        <w:spacing w:line="480" w:lineRule="auto"/>
        <w:rPr>
          <w:rStyle w:val="15"/>
          <w:sz w:val="18"/>
          <w:szCs w:val="18"/>
        </w:rPr>
      </w:pPr>
      <w:r>
        <w:rPr>
          <w:rStyle w:val="15"/>
          <w:rFonts w:hint="eastAsia"/>
          <w:sz w:val="18"/>
          <w:szCs w:val="18"/>
        </w:rPr>
        <w:lastRenderedPageBreak/>
        <w:t>Supplementary Table S2. Baseline characteristics by disc</w:t>
      </w:r>
      <w:r>
        <w:rPr>
          <w:rStyle w:val="15"/>
          <w:rFonts w:ascii="SimSun" w:hAnsi="SimSun" w:hint="eastAsia"/>
          <w:sz w:val="18"/>
          <w:szCs w:val="18"/>
        </w:rPr>
        <w:t>–</w:t>
      </w:r>
      <w:r>
        <w:rPr>
          <w:rStyle w:val="15"/>
          <w:rFonts w:hint="eastAsia"/>
          <w:sz w:val="18"/>
          <w:szCs w:val="18"/>
        </w:rPr>
        <w:t>condyle group</w:t>
      </w:r>
    </w:p>
    <w:tbl>
      <w:tblPr>
        <w:tblStyle w:val="11"/>
        <w:tblW w:w="0" w:type="auto"/>
        <w:tblCellSpacing w:w="15" w:type="dxa"/>
        <w:tblInd w:w="63"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123"/>
        <w:gridCol w:w="1791"/>
        <w:gridCol w:w="992"/>
        <w:gridCol w:w="851"/>
        <w:gridCol w:w="850"/>
        <w:gridCol w:w="2410"/>
        <w:gridCol w:w="142"/>
      </w:tblGrid>
      <w:tr w:rsidR="004108A3" w14:paraId="2000810F" w14:textId="77777777" w:rsidTr="004108A3">
        <w:trPr>
          <w:gridAfter w:val="1"/>
          <w:wAfter w:w="97" w:type="dxa"/>
          <w:trHeight w:val="1158"/>
          <w:tblCellSpacing w:w="15" w:type="dxa"/>
        </w:trPr>
        <w:tc>
          <w:tcPr>
            <w:tcW w:w="1078" w:type="dxa"/>
            <w:tcBorders>
              <w:top w:val="nil"/>
              <w:bottom w:val="nil"/>
            </w:tcBorders>
            <w:vAlign w:val="center"/>
          </w:tcPr>
          <w:p w14:paraId="292AFADA" w14:textId="77777777" w:rsidR="005B0107" w:rsidRDefault="00000000">
            <w:pPr>
              <w:pStyle w:val="1"/>
              <w:widowControl/>
              <w:spacing w:line="480" w:lineRule="auto"/>
              <w:jc w:val="left"/>
              <w:rPr>
                <w:rFonts w:ascii="SimSun" w:hAnsi="SimSun"/>
                <w:bCs/>
                <w:kern w:val="0"/>
                <w:sz w:val="20"/>
              </w:rPr>
            </w:pPr>
            <w:r>
              <w:rPr>
                <w:rFonts w:ascii="SimSun" w:hAnsi="SimSun" w:hint="eastAsia"/>
                <w:b/>
                <w:bCs/>
                <w:kern w:val="0"/>
                <w:sz w:val="15"/>
                <w:szCs w:val="15"/>
              </w:rPr>
              <w:t>Group (abbrev.)</w:t>
            </w:r>
          </w:p>
        </w:tc>
        <w:tc>
          <w:tcPr>
            <w:tcW w:w="1761" w:type="dxa"/>
            <w:tcBorders>
              <w:top w:val="nil"/>
              <w:bottom w:val="nil"/>
            </w:tcBorders>
            <w:vAlign w:val="center"/>
          </w:tcPr>
          <w:p w14:paraId="15925C4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Joints (TMJ sides), n</w:t>
            </w:r>
          </w:p>
        </w:tc>
        <w:tc>
          <w:tcPr>
            <w:tcW w:w="962" w:type="dxa"/>
            <w:tcBorders>
              <w:top w:val="nil"/>
              <w:bottom w:val="nil"/>
            </w:tcBorders>
            <w:vAlign w:val="center"/>
          </w:tcPr>
          <w:p w14:paraId="5A263F9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Patients, n</w:t>
            </w:r>
          </w:p>
        </w:tc>
        <w:tc>
          <w:tcPr>
            <w:tcW w:w="821" w:type="dxa"/>
            <w:tcBorders>
              <w:top w:val="nil"/>
              <w:bottom w:val="nil"/>
            </w:tcBorders>
            <w:vAlign w:val="center"/>
          </w:tcPr>
          <w:p w14:paraId="66BBD85B"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Male, n</w:t>
            </w:r>
          </w:p>
        </w:tc>
        <w:tc>
          <w:tcPr>
            <w:tcW w:w="820" w:type="dxa"/>
            <w:tcBorders>
              <w:top w:val="nil"/>
              <w:bottom w:val="nil"/>
            </w:tcBorders>
            <w:vAlign w:val="center"/>
          </w:tcPr>
          <w:p w14:paraId="2BF0E566"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Female, n</w:t>
            </w:r>
          </w:p>
        </w:tc>
        <w:tc>
          <w:tcPr>
            <w:tcW w:w="2380" w:type="dxa"/>
            <w:tcBorders>
              <w:top w:val="nil"/>
              <w:bottom w:val="nil"/>
            </w:tcBorders>
            <w:vAlign w:val="center"/>
          </w:tcPr>
          <w:p w14:paraId="73A1C69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Age, mean ± SD (range), years</w:t>
            </w:r>
          </w:p>
        </w:tc>
      </w:tr>
      <w:tr w:rsidR="004108A3" w14:paraId="5071F6FF" w14:textId="77777777" w:rsidTr="004108A3">
        <w:trPr>
          <w:tblCellSpacing w:w="15" w:type="dxa"/>
        </w:trPr>
        <w:tc>
          <w:tcPr>
            <w:tcW w:w="1078" w:type="dxa"/>
            <w:tcBorders>
              <w:top w:val="single" w:sz="6" w:space="0" w:color="auto"/>
              <w:bottom w:val="nil"/>
            </w:tcBorders>
            <w:vAlign w:val="center"/>
          </w:tcPr>
          <w:p w14:paraId="7DD48C7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NDP</w:t>
            </w:r>
          </w:p>
        </w:tc>
        <w:tc>
          <w:tcPr>
            <w:tcW w:w="1761" w:type="dxa"/>
            <w:tcBorders>
              <w:top w:val="single" w:sz="6" w:space="0" w:color="auto"/>
              <w:bottom w:val="nil"/>
            </w:tcBorders>
            <w:vAlign w:val="center"/>
          </w:tcPr>
          <w:p w14:paraId="07739AC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133</w:t>
            </w:r>
          </w:p>
        </w:tc>
        <w:tc>
          <w:tcPr>
            <w:tcW w:w="962" w:type="dxa"/>
            <w:tcBorders>
              <w:top w:val="single" w:sz="6" w:space="0" w:color="auto"/>
              <w:bottom w:val="nil"/>
            </w:tcBorders>
            <w:vAlign w:val="center"/>
          </w:tcPr>
          <w:p w14:paraId="4AE1621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85</w:t>
            </w:r>
          </w:p>
        </w:tc>
        <w:tc>
          <w:tcPr>
            <w:tcW w:w="821" w:type="dxa"/>
            <w:tcBorders>
              <w:top w:val="single" w:sz="6" w:space="0" w:color="auto"/>
              <w:bottom w:val="nil"/>
            </w:tcBorders>
            <w:vAlign w:val="center"/>
          </w:tcPr>
          <w:p w14:paraId="0D2C1FA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25</w:t>
            </w:r>
          </w:p>
        </w:tc>
        <w:tc>
          <w:tcPr>
            <w:tcW w:w="820" w:type="dxa"/>
            <w:tcBorders>
              <w:top w:val="single" w:sz="6" w:space="0" w:color="auto"/>
              <w:bottom w:val="nil"/>
            </w:tcBorders>
            <w:vAlign w:val="center"/>
          </w:tcPr>
          <w:p w14:paraId="448806C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60</w:t>
            </w:r>
          </w:p>
        </w:tc>
        <w:tc>
          <w:tcPr>
            <w:tcW w:w="2507" w:type="dxa"/>
            <w:gridSpan w:val="2"/>
            <w:tcBorders>
              <w:top w:val="single" w:sz="6" w:space="0" w:color="auto"/>
              <w:bottom w:val="nil"/>
            </w:tcBorders>
            <w:vAlign w:val="center"/>
          </w:tcPr>
          <w:p w14:paraId="5E3EF5D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24.9 ± 10.5 (9–58)</w:t>
            </w:r>
          </w:p>
        </w:tc>
      </w:tr>
      <w:tr w:rsidR="004108A3" w14:paraId="56073275" w14:textId="77777777" w:rsidTr="004108A3">
        <w:trPr>
          <w:tblCellSpacing w:w="15" w:type="dxa"/>
        </w:trPr>
        <w:tc>
          <w:tcPr>
            <w:tcW w:w="1078" w:type="dxa"/>
            <w:vAlign w:val="center"/>
          </w:tcPr>
          <w:p w14:paraId="19AAC658" w14:textId="77777777" w:rsidR="005B0107" w:rsidRDefault="00000000">
            <w:pPr>
              <w:pStyle w:val="1"/>
              <w:widowControl/>
              <w:spacing w:line="480" w:lineRule="auto"/>
              <w:jc w:val="left"/>
              <w:rPr>
                <w:rFonts w:ascii="SimSun" w:hAnsi="SimSun"/>
                <w:b/>
                <w:bCs/>
                <w:kern w:val="0"/>
                <w:sz w:val="15"/>
                <w:szCs w:val="15"/>
              </w:rPr>
            </w:pPr>
            <w:proofErr w:type="spellStart"/>
            <w:r>
              <w:rPr>
                <w:rFonts w:ascii="SimSun" w:hAnsi="SimSun" w:hint="eastAsia"/>
                <w:b/>
                <w:bCs/>
                <w:kern w:val="0"/>
                <w:sz w:val="15"/>
                <w:szCs w:val="15"/>
              </w:rPr>
              <w:t>ADDwR</w:t>
            </w:r>
            <w:proofErr w:type="spellEnd"/>
            <w:r>
              <w:rPr>
                <w:rFonts w:ascii="SimSun" w:hAnsi="SimSun" w:hint="eastAsia"/>
                <w:b/>
                <w:bCs/>
                <w:kern w:val="0"/>
                <w:sz w:val="15"/>
                <w:szCs w:val="15"/>
              </w:rPr>
              <w:t>-A</w:t>
            </w:r>
          </w:p>
        </w:tc>
        <w:tc>
          <w:tcPr>
            <w:tcW w:w="1761" w:type="dxa"/>
            <w:vAlign w:val="center"/>
          </w:tcPr>
          <w:p w14:paraId="1D709205"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85</w:t>
            </w:r>
          </w:p>
        </w:tc>
        <w:tc>
          <w:tcPr>
            <w:tcW w:w="962" w:type="dxa"/>
            <w:vAlign w:val="center"/>
          </w:tcPr>
          <w:p w14:paraId="7EB05F3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63</w:t>
            </w:r>
          </w:p>
        </w:tc>
        <w:tc>
          <w:tcPr>
            <w:tcW w:w="821" w:type="dxa"/>
            <w:vAlign w:val="center"/>
          </w:tcPr>
          <w:p w14:paraId="64A02255"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22</w:t>
            </w:r>
          </w:p>
        </w:tc>
        <w:tc>
          <w:tcPr>
            <w:tcW w:w="820" w:type="dxa"/>
            <w:vAlign w:val="center"/>
          </w:tcPr>
          <w:p w14:paraId="4551C392"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41</w:t>
            </w:r>
          </w:p>
        </w:tc>
        <w:tc>
          <w:tcPr>
            <w:tcW w:w="2507" w:type="dxa"/>
            <w:gridSpan w:val="2"/>
            <w:vAlign w:val="center"/>
          </w:tcPr>
          <w:p w14:paraId="067C0C8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22.2 ± 7.8 (10–46)</w:t>
            </w:r>
          </w:p>
        </w:tc>
      </w:tr>
      <w:tr w:rsidR="004108A3" w14:paraId="1C42EAF5" w14:textId="77777777" w:rsidTr="004108A3">
        <w:trPr>
          <w:tblCellSpacing w:w="15" w:type="dxa"/>
        </w:trPr>
        <w:tc>
          <w:tcPr>
            <w:tcW w:w="1078" w:type="dxa"/>
            <w:vAlign w:val="center"/>
          </w:tcPr>
          <w:p w14:paraId="39BD7657" w14:textId="77777777" w:rsidR="005B0107" w:rsidRDefault="00000000">
            <w:pPr>
              <w:pStyle w:val="1"/>
              <w:widowControl/>
              <w:spacing w:line="480" w:lineRule="auto"/>
              <w:jc w:val="left"/>
              <w:rPr>
                <w:rFonts w:ascii="SimSun" w:hAnsi="SimSun"/>
                <w:b/>
                <w:bCs/>
                <w:kern w:val="0"/>
                <w:sz w:val="15"/>
                <w:szCs w:val="15"/>
              </w:rPr>
            </w:pPr>
            <w:proofErr w:type="spellStart"/>
            <w:r>
              <w:rPr>
                <w:rFonts w:ascii="SimSun" w:hAnsi="SimSun" w:hint="eastAsia"/>
                <w:b/>
                <w:bCs/>
                <w:kern w:val="0"/>
                <w:sz w:val="15"/>
                <w:szCs w:val="15"/>
              </w:rPr>
              <w:t>ADDwR</w:t>
            </w:r>
            <w:proofErr w:type="spellEnd"/>
            <w:r>
              <w:rPr>
                <w:rFonts w:ascii="SimSun" w:hAnsi="SimSun" w:hint="eastAsia"/>
                <w:b/>
                <w:bCs/>
                <w:kern w:val="0"/>
                <w:sz w:val="15"/>
                <w:szCs w:val="15"/>
              </w:rPr>
              <w:t>-AL</w:t>
            </w:r>
          </w:p>
        </w:tc>
        <w:tc>
          <w:tcPr>
            <w:tcW w:w="1761" w:type="dxa"/>
            <w:vAlign w:val="center"/>
          </w:tcPr>
          <w:p w14:paraId="031C1B3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64</w:t>
            </w:r>
          </w:p>
        </w:tc>
        <w:tc>
          <w:tcPr>
            <w:tcW w:w="962" w:type="dxa"/>
            <w:vAlign w:val="center"/>
          </w:tcPr>
          <w:p w14:paraId="5777B4A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52</w:t>
            </w:r>
          </w:p>
        </w:tc>
        <w:tc>
          <w:tcPr>
            <w:tcW w:w="821" w:type="dxa"/>
            <w:vAlign w:val="center"/>
          </w:tcPr>
          <w:p w14:paraId="705ED0A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7</w:t>
            </w:r>
          </w:p>
        </w:tc>
        <w:tc>
          <w:tcPr>
            <w:tcW w:w="820" w:type="dxa"/>
            <w:vAlign w:val="center"/>
          </w:tcPr>
          <w:p w14:paraId="3F048C3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45</w:t>
            </w:r>
          </w:p>
        </w:tc>
        <w:tc>
          <w:tcPr>
            <w:tcW w:w="2507" w:type="dxa"/>
            <w:gridSpan w:val="2"/>
            <w:vAlign w:val="center"/>
          </w:tcPr>
          <w:p w14:paraId="52F6E20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25.0 ± 11.4 (11–61)</w:t>
            </w:r>
          </w:p>
        </w:tc>
      </w:tr>
      <w:tr w:rsidR="004108A3" w14:paraId="17C35A51" w14:textId="77777777" w:rsidTr="004108A3">
        <w:trPr>
          <w:tblCellSpacing w:w="15" w:type="dxa"/>
        </w:trPr>
        <w:tc>
          <w:tcPr>
            <w:tcW w:w="1078" w:type="dxa"/>
            <w:vAlign w:val="center"/>
          </w:tcPr>
          <w:p w14:paraId="78DFABF3" w14:textId="77777777" w:rsidR="005B0107" w:rsidRDefault="00000000">
            <w:pPr>
              <w:pStyle w:val="1"/>
              <w:widowControl/>
              <w:spacing w:line="480" w:lineRule="auto"/>
              <w:jc w:val="left"/>
              <w:rPr>
                <w:rFonts w:ascii="SimSun" w:hAnsi="SimSun"/>
                <w:b/>
                <w:bCs/>
                <w:kern w:val="0"/>
                <w:sz w:val="15"/>
                <w:szCs w:val="15"/>
              </w:rPr>
            </w:pPr>
            <w:proofErr w:type="spellStart"/>
            <w:r>
              <w:rPr>
                <w:rFonts w:ascii="SimSun" w:hAnsi="SimSun" w:hint="eastAsia"/>
                <w:b/>
                <w:bCs/>
                <w:kern w:val="0"/>
                <w:sz w:val="15"/>
                <w:szCs w:val="15"/>
              </w:rPr>
              <w:t>ADDwR</w:t>
            </w:r>
            <w:proofErr w:type="spellEnd"/>
            <w:r>
              <w:rPr>
                <w:rFonts w:ascii="SimSun" w:hAnsi="SimSun" w:hint="eastAsia"/>
                <w:b/>
                <w:bCs/>
                <w:kern w:val="0"/>
                <w:sz w:val="15"/>
                <w:szCs w:val="15"/>
              </w:rPr>
              <w:t>-AM</w:t>
            </w:r>
          </w:p>
        </w:tc>
        <w:tc>
          <w:tcPr>
            <w:tcW w:w="1761" w:type="dxa"/>
            <w:vAlign w:val="center"/>
          </w:tcPr>
          <w:p w14:paraId="128C100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62</w:t>
            </w:r>
          </w:p>
        </w:tc>
        <w:tc>
          <w:tcPr>
            <w:tcW w:w="962" w:type="dxa"/>
            <w:vAlign w:val="center"/>
          </w:tcPr>
          <w:p w14:paraId="5FDC64B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56</w:t>
            </w:r>
          </w:p>
        </w:tc>
        <w:tc>
          <w:tcPr>
            <w:tcW w:w="821" w:type="dxa"/>
            <w:vAlign w:val="center"/>
          </w:tcPr>
          <w:p w14:paraId="788B873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12</w:t>
            </w:r>
          </w:p>
        </w:tc>
        <w:tc>
          <w:tcPr>
            <w:tcW w:w="820" w:type="dxa"/>
            <w:vAlign w:val="center"/>
          </w:tcPr>
          <w:p w14:paraId="6D453BC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44</w:t>
            </w:r>
          </w:p>
        </w:tc>
        <w:tc>
          <w:tcPr>
            <w:tcW w:w="2507" w:type="dxa"/>
            <w:gridSpan w:val="2"/>
            <w:vAlign w:val="center"/>
          </w:tcPr>
          <w:p w14:paraId="104FF20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22.8 ± 10.7 (11–71)</w:t>
            </w:r>
          </w:p>
        </w:tc>
      </w:tr>
      <w:tr w:rsidR="004108A3" w14:paraId="64F3A0B6" w14:textId="77777777" w:rsidTr="004108A3">
        <w:trPr>
          <w:tblCellSpacing w:w="15" w:type="dxa"/>
        </w:trPr>
        <w:tc>
          <w:tcPr>
            <w:tcW w:w="1078" w:type="dxa"/>
            <w:vAlign w:val="center"/>
          </w:tcPr>
          <w:p w14:paraId="3692FD1D" w14:textId="77777777" w:rsidR="005B0107" w:rsidRDefault="00000000">
            <w:pPr>
              <w:pStyle w:val="1"/>
              <w:widowControl/>
              <w:spacing w:line="480" w:lineRule="auto"/>
              <w:jc w:val="left"/>
              <w:rPr>
                <w:rFonts w:ascii="SimSun" w:hAnsi="SimSun"/>
                <w:b/>
                <w:bCs/>
                <w:kern w:val="0"/>
                <w:sz w:val="15"/>
                <w:szCs w:val="15"/>
              </w:rPr>
            </w:pPr>
            <w:proofErr w:type="spellStart"/>
            <w:r>
              <w:rPr>
                <w:rFonts w:ascii="SimSun" w:hAnsi="SimSun" w:hint="eastAsia"/>
                <w:b/>
                <w:bCs/>
                <w:kern w:val="0"/>
                <w:sz w:val="15"/>
                <w:szCs w:val="15"/>
              </w:rPr>
              <w:t>ADDwoR</w:t>
            </w:r>
            <w:proofErr w:type="spellEnd"/>
            <w:r>
              <w:rPr>
                <w:rFonts w:ascii="SimSun" w:hAnsi="SimSun" w:hint="eastAsia"/>
                <w:b/>
                <w:bCs/>
                <w:kern w:val="0"/>
                <w:sz w:val="15"/>
                <w:szCs w:val="15"/>
              </w:rPr>
              <w:t>-A</w:t>
            </w:r>
          </w:p>
        </w:tc>
        <w:tc>
          <w:tcPr>
            <w:tcW w:w="1761" w:type="dxa"/>
            <w:vAlign w:val="center"/>
          </w:tcPr>
          <w:p w14:paraId="71ED95C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81</w:t>
            </w:r>
          </w:p>
        </w:tc>
        <w:tc>
          <w:tcPr>
            <w:tcW w:w="962" w:type="dxa"/>
            <w:vAlign w:val="center"/>
          </w:tcPr>
          <w:p w14:paraId="2B9C61A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69</w:t>
            </w:r>
          </w:p>
        </w:tc>
        <w:tc>
          <w:tcPr>
            <w:tcW w:w="821" w:type="dxa"/>
            <w:vAlign w:val="center"/>
          </w:tcPr>
          <w:p w14:paraId="3CC8204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13</w:t>
            </w:r>
          </w:p>
        </w:tc>
        <w:tc>
          <w:tcPr>
            <w:tcW w:w="820" w:type="dxa"/>
            <w:vAlign w:val="center"/>
          </w:tcPr>
          <w:p w14:paraId="1A8F6C7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56</w:t>
            </w:r>
          </w:p>
        </w:tc>
        <w:tc>
          <w:tcPr>
            <w:tcW w:w="2507" w:type="dxa"/>
            <w:gridSpan w:val="2"/>
            <w:vAlign w:val="center"/>
          </w:tcPr>
          <w:p w14:paraId="558E6E9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21.0 ± 6.9 (11–38)</w:t>
            </w:r>
          </w:p>
        </w:tc>
      </w:tr>
      <w:tr w:rsidR="004108A3" w14:paraId="6EEB9FF8" w14:textId="77777777" w:rsidTr="004108A3">
        <w:trPr>
          <w:tblCellSpacing w:w="15" w:type="dxa"/>
        </w:trPr>
        <w:tc>
          <w:tcPr>
            <w:tcW w:w="1078" w:type="dxa"/>
            <w:vAlign w:val="center"/>
          </w:tcPr>
          <w:p w14:paraId="0DC3ACD0" w14:textId="77777777" w:rsidR="005B0107" w:rsidRDefault="00000000">
            <w:pPr>
              <w:pStyle w:val="1"/>
              <w:widowControl/>
              <w:spacing w:line="480" w:lineRule="auto"/>
              <w:jc w:val="left"/>
              <w:rPr>
                <w:rFonts w:ascii="SimSun" w:hAnsi="SimSun"/>
                <w:b/>
                <w:bCs/>
                <w:kern w:val="0"/>
                <w:sz w:val="15"/>
                <w:szCs w:val="15"/>
              </w:rPr>
            </w:pPr>
            <w:proofErr w:type="spellStart"/>
            <w:r>
              <w:rPr>
                <w:rFonts w:ascii="SimSun" w:hAnsi="SimSun" w:hint="eastAsia"/>
                <w:b/>
                <w:bCs/>
                <w:kern w:val="0"/>
                <w:sz w:val="15"/>
                <w:szCs w:val="15"/>
              </w:rPr>
              <w:t>ADDwoR</w:t>
            </w:r>
            <w:proofErr w:type="spellEnd"/>
            <w:r>
              <w:rPr>
                <w:rFonts w:ascii="SimSun" w:hAnsi="SimSun" w:hint="eastAsia"/>
                <w:b/>
                <w:bCs/>
                <w:kern w:val="0"/>
                <w:sz w:val="15"/>
                <w:szCs w:val="15"/>
              </w:rPr>
              <w:t>-AL</w:t>
            </w:r>
          </w:p>
        </w:tc>
        <w:tc>
          <w:tcPr>
            <w:tcW w:w="1761" w:type="dxa"/>
            <w:vAlign w:val="center"/>
          </w:tcPr>
          <w:p w14:paraId="020D371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75</w:t>
            </w:r>
          </w:p>
        </w:tc>
        <w:tc>
          <w:tcPr>
            <w:tcW w:w="962" w:type="dxa"/>
            <w:vAlign w:val="center"/>
          </w:tcPr>
          <w:p w14:paraId="7D33885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61</w:t>
            </w:r>
          </w:p>
        </w:tc>
        <w:tc>
          <w:tcPr>
            <w:tcW w:w="821" w:type="dxa"/>
            <w:vAlign w:val="center"/>
          </w:tcPr>
          <w:p w14:paraId="1617F1CD"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9</w:t>
            </w:r>
          </w:p>
        </w:tc>
        <w:tc>
          <w:tcPr>
            <w:tcW w:w="820" w:type="dxa"/>
            <w:vAlign w:val="center"/>
          </w:tcPr>
          <w:p w14:paraId="79EF88D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52</w:t>
            </w:r>
          </w:p>
        </w:tc>
        <w:tc>
          <w:tcPr>
            <w:tcW w:w="2507" w:type="dxa"/>
            <w:gridSpan w:val="2"/>
            <w:vAlign w:val="center"/>
          </w:tcPr>
          <w:p w14:paraId="0D833F5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22.5 ± 11.0 (11–71)</w:t>
            </w:r>
          </w:p>
        </w:tc>
      </w:tr>
      <w:tr w:rsidR="004108A3" w14:paraId="753F3274" w14:textId="77777777" w:rsidTr="004108A3">
        <w:trPr>
          <w:tblCellSpacing w:w="15" w:type="dxa"/>
        </w:trPr>
        <w:tc>
          <w:tcPr>
            <w:tcW w:w="1078" w:type="dxa"/>
            <w:vAlign w:val="center"/>
          </w:tcPr>
          <w:p w14:paraId="4F567E36" w14:textId="77777777" w:rsidR="005B0107" w:rsidRDefault="00000000">
            <w:pPr>
              <w:pStyle w:val="1"/>
              <w:widowControl/>
              <w:spacing w:line="480" w:lineRule="auto"/>
              <w:jc w:val="left"/>
              <w:rPr>
                <w:rFonts w:ascii="SimSun" w:hAnsi="SimSun"/>
                <w:b/>
                <w:bCs/>
                <w:kern w:val="0"/>
                <w:sz w:val="15"/>
                <w:szCs w:val="15"/>
              </w:rPr>
            </w:pPr>
            <w:proofErr w:type="spellStart"/>
            <w:r>
              <w:rPr>
                <w:rFonts w:ascii="SimSun" w:hAnsi="SimSun" w:hint="eastAsia"/>
                <w:b/>
                <w:bCs/>
                <w:kern w:val="0"/>
                <w:sz w:val="15"/>
                <w:szCs w:val="15"/>
              </w:rPr>
              <w:t>ADDwoR</w:t>
            </w:r>
            <w:proofErr w:type="spellEnd"/>
            <w:r>
              <w:rPr>
                <w:rFonts w:ascii="SimSun" w:hAnsi="SimSun" w:hint="eastAsia"/>
                <w:b/>
                <w:bCs/>
                <w:kern w:val="0"/>
                <w:sz w:val="15"/>
                <w:szCs w:val="15"/>
              </w:rPr>
              <w:t>-AM</w:t>
            </w:r>
          </w:p>
        </w:tc>
        <w:tc>
          <w:tcPr>
            <w:tcW w:w="1761" w:type="dxa"/>
            <w:vAlign w:val="center"/>
          </w:tcPr>
          <w:p w14:paraId="4959E7B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68</w:t>
            </w:r>
          </w:p>
        </w:tc>
        <w:tc>
          <w:tcPr>
            <w:tcW w:w="962" w:type="dxa"/>
            <w:vAlign w:val="center"/>
          </w:tcPr>
          <w:p w14:paraId="3C97F90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58</w:t>
            </w:r>
          </w:p>
        </w:tc>
        <w:tc>
          <w:tcPr>
            <w:tcW w:w="821" w:type="dxa"/>
            <w:vAlign w:val="center"/>
          </w:tcPr>
          <w:p w14:paraId="0FABD55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11</w:t>
            </w:r>
          </w:p>
        </w:tc>
        <w:tc>
          <w:tcPr>
            <w:tcW w:w="820" w:type="dxa"/>
            <w:vAlign w:val="center"/>
          </w:tcPr>
          <w:p w14:paraId="37981EB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47</w:t>
            </w:r>
          </w:p>
        </w:tc>
        <w:tc>
          <w:tcPr>
            <w:tcW w:w="2507" w:type="dxa"/>
            <w:gridSpan w:val="2"/>
            <w:vAlign w:val="center"/>
          </w:tcPr>
          <w:p w14:paraId="7C3EA16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23.2 ± 8.8 (13–55)</w:t>
            </w:r>
          </w:p>
        </w:tc>
      </w:tr>
      <w:tr w:rsidR="004108A3" w14:paraId="5BC45767" w14:textId="77777777" w:rsidTr="004108A3">
        <w:trPr>
          <w:tblCellSpacing w:w="15" w:type="dxa"/>
        </w:trPr>
        <w:tc>
          <w:tcPr>
            <w:tcW w:w="1078" w:type="dxa"/>
            <w:vAlign w:val="center"/>
          </w:tcPr>
          <w:p w14:paraId="09B31CA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Total</w:t>
            </w:r>
          </w:p>
        </w:tc>
        <w:tc>
          <w:tcPr>
            <w:tcW w:w="1761" w:type="dxa"/>
            <w:vAlign w:val="center"/>
          </w:tcPr>
          <w:p w14:paraId="5953BA8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568</w:t>
            </w:r>
          </w:p>
        </w:tc>
        <w:tc>
          <w:tcPr>
            <w:tcW w:w="962" w:type="dxa"/>
            <w:vAlign w:val="center"/>
          </w:tcPr>
          <w:p w14:paraId="4338098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310</w:t>
            </w:r>
          </w:p>
        </w:tc>
        <w:tc>
          <w:tcPr>
            <w:tcW w:w="821" w:type="dxa"/>
            <w:vAlign w:val="center"/>
          </w:tcPr>
          <w:p w14:paraId="6133147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76</w:t>
            </w:r>
          </w:p>
        </w:tc>
        <w:tc>
          <w:tcPr>
            <w:tcW w:w="820" w:type="dxa"/>
            <w:vAlign w:val="center"/>
          </w:tcPr>
          <w:p w14:paraId="4E7B452A"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234</w:t>
            </w:r>
          </w:p>
        </w:tc>
        <w:tc>
          <w:tcPr>
            <w:tcW w:w="2507" w:type="dxa"/>
            <w:gridSpan w:val="2"/>
            <w:vAlign w:val="center"/>
          </w:tcPr>
          <w:p w14:paraId="249A689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23.2 ± 9.5 (9–71)</w:t>
            </w:r>
          </w:p>
        </w:tc>
      </w:tr>
    </w:tbl>
    <w:p w14:paraId="391C6D8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br/>
        <w:t xml:space="preserve">Data are presented as n or mean ± standard deviation (range), as </w:t>
      </w:r>
      <w:proofErr w:type="spellStart"/>
      <w:r>
        <w:rPr>
          <w:rFonts w:ascii="SimSun" w:hAnsi="SimSun" w:hint="eastAsia"/>
          <w:b/>
          <w:bCs/>
          <w:kern w:val="0"/>
          <w:sz w:val="15"/>
          <w:szCs w:val="15"/>
        </w:rPr>
        <w:t>appropriate.Groupwise</w:t>
      </w:r>
      <w:proofErr w:type="spellEnd"/>
      <w:r>
        <w:rPr>
          <w:rFonts w:ascii="SimSun" w:hAnsi="SimSun" w:hint="eastAsia"/>
          <w:b/>
          <w:bCs/>
          <w:kern w:val="0"/>
          <w:sz w:val="15"/>
          <w:szCs w:val="15"/>
        </w:rPr>
        <w:t xml:space="preserve"> comparisons are descriptive because some patients contributed bilateral TMJ sides. Abbreviations: NDP, normal disc position; </w:t>
      </w:r>
      <w:proofErr w:type="spellStart"/>
      <w:r>
        <w:rPr>
          <w:rFonts w:ascii="SimSun" w:hAnsi="SimSun" w:hint="eastAsia"/>
          <w:b/>
          <w:bCs/>
          <w:kern w:val="0"/>
          <w:sz w:val="15"/>
          <w:szCs w:val="15"/>
        </w:rPr>
        <w:t>ADDwR</w:t>
      </w:r>
      <w:proofErr w:type="spellEnd"/>
      <w:r>
        <w:rPr>
          <w:rFonts w:ascii="SimSun" w:hAnsi="SimSun" w:hint="eastAsia"/>
          <w:b/>
          <w:bCs/>
          <w:kern w:val="0"/>
          <w:sz w:val="15"/>
          <w:szCs w:val="15"/>
        </w:rPr>
        <w:t xml:space="preserve">, anterior disc displacement with reduction; </w:t>
      </w:r>
      <w:proofErr w:type="spellStart"/>
      <w:r>
        <w:rPr>
          <w:rFonts w:ascii="SimSun" w:hAnsi="SimSun" w:hint="eastAsia"/>
          <w:b/>
          <w:bCs/>
          <w:kern w:val="0"/>
          <w:sz w:val="15"/>
          <w:szCs w:val="15"/>
        </w:rPr>
        <w:t>ADDwoR</w:t>
      </w:r>
      <w:proofErr w:type="spellEnd"/>
      <w:r>
        <w:rPr>
          <w:rFonts w:ascii="SimSun" w:hAnsi="SimSun" w:hint="eastAsia"/>
          <w:b/>
          <w:bCs/>
          <w:kern w:val="0"/>
          <w:sz w:val="15"/>
          <w:szCs w:val="15"/>
        </w:rPr>
        <w:t>, anterior disc displacement without reduction; A, anterior; AL, anterolateral; AM, anteromedial.</w:t>
      </w:r>
    </w:p>
    <w:p w14:paraId="03B89823" w14:textId="77777777" w:rsidR="005B0107" w:rsidRDefault="00000000">
      <w:pPr>
        <w:widowControl/>
        <w:jc w:val="left"/>
        <w:rPr>
          <w:rStyle w:val="15"/>
          <w:rFonts w:eastAsia="SimSun"/>
          <w:sz w:val="15"/>
          <w:szCs w:val="15"/>
        </w:rPr>
      </w:pPr>
      <w:r>
        <w:rPr>
          <w:rStyle w:val="15"/>
          <w:sz w:val="15"/>
          <w:szCs w:val="15"/>
        </w:rPr>
        <w:br w:type="page"/>
      </w:r>
    </w:p>
    <w:p w14:paraId="402A535C" w14:textId="77777777" w:rsidR="005B0107" w:rsidRDefault="00000000">
      <w:pPr>
        <w:pStyle w:val="10"/>
        <w:widowControl/>
        <w:spacing w:line="480" w:lineRule="auto"/>
        <w:rPr>
          <w:rStyle w:val="15"/>
          <w:sz w:val="18"/>
          <w:szCs w:val="18"/>
        </w:rPr>
      </w:pPr>
      <w:r>
        <w:rPr>
          <w:rStyle w:val="15"/>
          <w:rFonts w:hint="eastAsia"/>
          <w:sz w:val="18"/>
          <w:szCs w:val="18"/>
        </w:rPr>
        <w:t>Supplementary Table S3. Agreement between CBCT and MRI for condylar imaging findings</w:t>
      </w:r>
    </w:p>
    <w:tbl>
      <w:tblPr>
        <w:tblStyle w:val="11"/>
        <w:tblW w:w="0" w:type="auto"/>
        <w:tblCellSpacing w:w="15" w:type="dxa"/>
        <w:tblInd w:w="63"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751"/>
        <w:gridCol w:w="873"/>
        <w:gridCol w:w="1745"/>
        <w:gridCol w:w="2874"/>
      </w:tblGrid>
      <w:tr w:rsidR="005B0107" w14:paraId="7DACE26E" w14:textId="77777777" w:rsidTr="00373D61">
        <w:trPr>
          <w:tblCellSpacing w:w="15" w:type="dxa"/>
        </w:trPr>
        <w:tc>
          <w:tcPr>
            <w:tcW w:w="0" w:type="auto"/>
            <w:tcBorders>
              <w:bottom w:val="single" w:sz="6" w:space="0" w:color="auto"/>
            </w:tcBorders>
            <w:vAlign w:val="center"/>
          </w:tcPr>
          <w:p w14:paraId="297DD6E7" w14:textId="77777777" w:rsidR="005B0107" w:rsidRDefault="00000000">
            <w:pPr>
              <w:pStyle w:val="1"/>
              <w:widowControl/>
              <w:spacing w:line="480" w:lineRule="auto"/>
              <w:jc w:val="left"/>
              <w:rPr>
                <w:rFonts w:ascii="SimSun" w:hAnsi="SimSun"/>
                <w:bCs/>
                <w:kern w:val="0"/>
                <w:sz w:val="20"/>
              </w:rPr>
            </w:pPr>
            <w:r>
              <w:rPr>
                <w:rFonts w:ascii="SimSun" w:hAnsi="SimSun" w:hint="eastAsia"/>
                <w:b/>
                <w:bCs/>
                <w:kern w:val="0"/>
                <w:sz w:val="15"/>
                <w:szCs w:val="15"/>
              </w:rPr>
              <w:t>Variable</w:t>
            </w:r>
          </w:p>
        </w:tc>
        <w:tc>
          <w:tcPr>
            <w:tcW w:w="843" w:type="dxa"/>
            <w:tcBorders>
              <w:bottom w:val="single" w:sz="6" w:space="0" w:color="auto"/>
            </w:tcBorders>
            <w:vAlign w:val="center"/>
          </w:tcPr>
          <w:p w14:paraId="5AB2D01E"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Scale</w:t>
            </w:r>
          </w:p>
        </w:tc>
        <w:tc>
          <w:tcPr>
            <w:tcW w:w="1715" w:type="dxa"/>
            <w:tcBorders>
              <w:bottom w:val="single" w:sz="6" w:space="0" w:color="auto"/>
            </w:tcBorders>
            <w:vAlign w:val="center"/>
          </w:tcPr>
          <w:p w14:paraId="02CEFAE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Overall agreement, % (95% CI)</w:t>
            </w:r>
          </w:p>
        </w:tc>
        <w:tc>
          <w:tcPr>
            <w:tcW w:w="0" w:type="auto"/>
            <w:tcBorders>
              <w:bottom w:val="single" w:sz="6" w:space="0" w:color="auto"/>
            </w:tcBorders>
            <w:vAlign w:val="center"/>
          </w:tcPr>
          <w:p w14:paraId="3C5834CC"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Kappa statistic (95% CI)</w:t>
            </w:r>
          </w:p>
        </w:tc>
      </w:tr>
      <w:tr w:rsidR="005B0107" w14:paraId="04F58B48" w14:textId="77777777" w:rsidTr="00373D61">
        <w:trPr>
          <w:tblCellSpacing w:w="15" w:type="dxa"/>
        </w:trPr>
        <w:tc>
          <w:tcPr>
            <w:tcW w:w="0" w:type="auto"/>
            <w:tcBorders>
              <w:tl2br w:val="nil"/>
              <w:tr2bl w:val="nil"/>
            </w:tcBorders>
            <w:vAlign w:val="center"/>
          </w:tcPr>
          <w:p w14:paraId="2B2FA00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Condylar position (3 categories)</w:t>
            </w:r>
          </w:p>
        </w:tc>
        <w:tc>
          <w:tcPr>
            <w:tcW w:w="843" w:type="dxa"/>
            <w:tcBorders>
              <w:tl2br w:val="nil"/>
              <w:tr2bl w:val="nil"/>
            </w:tcBorders>
            <w:vAlign w:val="center"/>
          </w:tcPr>
          <w:p w14:paraId="21EFCD52"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Nominal</w:t>
            </w:r>
          </w:p>
        </w:tc>
        <w:tc>
          <w:tcPr>
            <w:tcW w:w="1715" w:type="dxa"/>
            <w:tcBorders>
              <w:tl2br w:val="nil"/>
              <w:tr2bl w:val="nil"/>
            </w:tcBorders>
            <w:vAlign w:val="center"/>
          </w:tcPr>
          <w:p w14:paraId="293FAF67"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84.0 (71.5–91.7)</w:t>
            </w:r>
          </w:p>
        </w:tc>
        <w:tc>
          <w:tcPr>
            <w:tcW w:w="0" w:type="auto"/>
            <w:tcBorders>
              <w:tl2br w:val="nil"/>
              <w:tr2bl w:val="nil"/>
            </w:tcBorders>
            <w:vAlign w:val="center"/>
          </w:tcPr>
          <w:p w14:paraId="273DE200"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Cohen’s κ = 0.728 (0.542–0.888)</w:t>
            </w:r>
          </w:p>
        </w:tc>
      </w:tr>
      <w:tr w:rsidR="005B0107" w14:paraId="07AD3AA6" w14:textId="77777777" w:rsidTr="00373D61">
        <w:trPr>
          <w:tblCellSpacing w:w="15" w:type="dxa"/>
        </w:trPr>
        <w:tc>
          <w:tcPr>
            <w:tcW w:w="0" w:type="auto"/>
            <w:tcBorders>
              <w:tl2br w:val="nil"/>
              <w:tr2bl w:val="nil"/>
            </w:tcBorders>
            <w:vAlign w:val="center"/>
          </w:tcPr>
          <w:p w14:paraId="2132A8D9"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Condylar morphology grade (3 </w:t>
            </w:r>
            <w:proofErr w:type="gramStart"/>
            <w:r>
              <w:rPr>
                <w:rFonts w:ascii="SimSun" w:hAnsi="SimSun" w:hint="eastAsia"/>
                <w:b/>
                <w:bCs/>
                <w:kern w:val="0"/>
                <w:sz w:val="15"/>
                <w:szCs w:val="15"/>
              </w:rPr>
              <w:t>categories)*</w:t>
            </w:r>
            <w:proofErr w:type="gramEnd"/>
          </w:p>
        </w:tc>
        <w:tc>
          <w:tcPr>
            <w:tcW w:w="843" w:type="dxa"/>
            <w:tcBorders>
              <w:tl2br w:val="nil"/>
              <w:tr2bl w:val="nil"/>
            </w:tcBorders>
            <w:vAlign w:val="center"/>
          </w:tcPr>
          <w:p w14:paraId="6B3F77A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Ordinal</w:t>
            </w:r>
          </w:p>
        </w:tc>
        <w:tc>
          <w:tcPr>
            <w:tcW w:w="1715" w:type="dxa"/>
            <w:tcBorders>
              <w:tl2br w:val="nil"/>
              <w:tr2bl w:val="nil"/>
            </w:tcBorders>
            <w:vAlign w:val="center"/>
          </w:tcPr>
          <w:p w14:paraId="175FADEB"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98.0 (89.5–99.6)</w:t>
            </w:r>
          </w:p>
        </w:tc>
        <w:tc>
          <w:tcPr>
            <w:tcW w:w="0" w:type="auto"/>
            <w:tcBorders>
              <w:tl2br w:val="nil"/>
              <w:tr2bl w:val="nil"/>
            </w:tcBorders>
            <w:vAlign w:val="center"/>
          </w:tcPr>
          <w:p w14:paraId="662E0708"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Quadratic weighted κ = 0.984 (0.937–1.000)</w:t>
            </w:r>
          </w:p>
        </w:tc>
      </w:tr>
      <w:tr w:rsidR="005B0107" w14:paraId="0796DAD7" w14:textId="77777777" w:rsidTr="00373D61">
        <w:trPr>
          <w:tblCellSpacing w:w="15" w:type="dxa"/>
        </w:trPr>
        <w:tc>
          <w:tcPr>
            <w:tcW w:w="0" w:type="auto"/>
            <w:tcBorders>
              <w:tl2br w:val="nil"/>
              <w:tr2bl w:val="nil"/>
            </w:tcBorders>
            <w:vAlign w:val="center"/>
          </w:tcPr>
          <w:p w14:paraId="4E3BBD8D"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Condylar bone status grade (3 levels)†</w:t>
            </w:r>
          </w:p>
        </w:tc>
        <w:tc>
          <w:tcPr>
            <w:tcW w:w="843" w:type="dxa"/>
            <w:tcBorders>
              <w:tl2br w:val="nil"/>
              <w:tr2bl w:val="nil"/>
            </w:tcBorders>
            <w:vAlign w:val="center"/>
          </w:tcPr>
          <w:p w14:paraId="4DAA7DDF"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Ordinal</w:t>
            </w:r>
          </w:p>
        </w:tc>
        <w:tc>
          <w:tcPr>
            <w:tcW w:w="1715" w:type="dxa"/>
            <w:tcBorders>
              <w:tl2br w:val="nil"/>
              <w:tr2bl w:val="nil"/>
            </w:tcBorders>
            <w:vAlign w:val="center"/>
          </w:tcPr>
          <w:p w14:paraId="554B2164"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92.0 (81.2–96.8)</w:t>
            </w:r>
          </w:p>
        </w:tc>
        <w:tc>
          <w:tcPr>
            <w:tcW w:w="0" w:type="auto"/>
            <w:tcBorders>
              <w:tl2br w:val="nil"/>
              <w:tr2bl w:val="nil"/>
            </w:tcBorders>
            <w:vAlign w:val="center"/>
          </w:tcPr>
          <w:p w14:paraId="64059281"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Quadratic weighted κ = 0.910 (0.809–0.980)</w:t>
            </w:r>
          </w:p>
        </w:tc>
      </w:tr>
    </w:tbl>
    <w:p w14:paraId="0B3748D3"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CI, confidence </w:t>
      </w:r>
      <w:proofErr w:type="gramStart"/>
      <w:r>
        <w:rPr>
          <w:rFonts w:ascii="SimSun" w:hAnsi="SimSun" w:hint="eastAsia"/>
          <w:b/>
          <w:bCs/>
          <w:kern w:val="0"/>
          <w:sz w:val="15"/>
          <w:szCs w:val="15"/>
        </w:rPr>
        <w:t>interval.*</w:t>
      </w:r>
      <w:proofErr w:type="gramEnd"/>
      <w:r>
        <w:rPr>
          <w:rFonts w:ascii="SimSun" w:hAnsi="SimSun" w:hint="eastAsia"/>
          <w:b/>
          <w:bCs/>
          <w:kern w:val="0"/>
          <w:sz w:val="15"/>
          <w:szCs w:val="15"/>
        </w:rPr>
        <w:t xml:space="preserve"> Condylar morphology grade was coded as 1 = normal, 2 = beak-shaped, and 3 = shortened.</w:t>
      </w:r>
      <w:r>
        <w:rPr>
          <w:rFonts w:ascii="SimSun" w:hAnsi="SimSun" w:hint="eastAsia"/>
          <w:b/>
          <w:bCs/>
          <w:kern w:val="0"/>
          <w:sz w:val="15"/>
          <w:szCs w:val="15"/>
        </w:rPr>
        <w:br/>
        <w:t>† Condylar bone status grade was analyzed as a 3-level ordinal variable coded from 1 to 3.</w:t>
      </w:r>
      <w:r>
        <w:rPr>
          <w:rFonts w:ascii="SimSun" w:hAnsi="SimSun" w:hint="eastAsia"/>
          <w:b/>
          <w:bCs/>
          <w:kern w:val="0"/>
          <w:sz w:val="15"/>
          <w:szCs w:val="15"/>
        </w:rPr>
        <w:br/>
        <w:t>Note: Agreement was assessed in 50 TMJ sides with paired CBCT and MRI examinations. Overall agreement was defined as the proportion of exact agreement. For condylar position, unweighted Cohen’s kappa was used; for condylar morphology grade and condylar bone status grade, quadratic weighted kappa was used.</w:t>
      </w:r>
    </w:p>
    <w:p w14:paraId="69EBF5B6" w14:textId="77777777" w:rsidR="005B0107" w:rsidRDefault="00000000">
      <w:pPr>
        <w:pStyle w:val="1"/>
        <w:widowControl/>
        <w:spacing w:line="480" w:lineRule="auto"/>
        <w:jc w:val="left"/>
        <w:rPr>
          <w:rFonts w:ascii="SimSun" w:hAnsi="SimSun"/>
          <w:b/>
          <w:bCs/>
          <w:kern w:val="0"/>
          <w:sz w:val="15"/>
          <w:szCs w:val="15"/>
        </w:rPr>
      </w:pPr>
      <w:r>
        <w:rPr>
          <w:rFonts w:ascii="SimSun" w:hAnsi="SimSun" w:hint="eastAsia"/>
          <w:b/>
          <w:bCs/>
          <w:kern w:val="0"/>
          <w:sz w:val="15"/>
          <w:szCs w:val="15"/>
        </w:rPr>
        <w:t xml:space="preserve"> </w:t>
      </w:r>
    </w:p>
    <w:p w14:paraId="1E876F5E" w14:textId="77777777" w:rsidR="005B0107" w:rsidRDefault="005B0107">
      <w:pPr>
        <w:spacing w:line="480" w:lineRule="auto"/>
      </w:pPr>
    </w:p>
    <w:sectPr w:rsidR="005B01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706"/>
    <w:rsid w:val="DEF97D55"/>
    <w:rsid w:val="FF578E01"/>
    <w:rsid w:val="00006B16"/>
    <w:rsid w:val="000563D4"/>
    <w:rsid w:val="000C5706"/>
    <w:rsid w:val="00130C7F"/>
    <w:rsid w:val="00136F9C"/>
    <w:rsid w:val="001B1BB9"/>
    <w:rsid w:val="00202697"/>
    <w:rsid w:val="00221C18"/>
    <w:rsid w:val="00296EB4"/>
    <w:rsid w:val="00373D61"/>
    <w:rsid w:val="00386F14"/>
    <w:rsid w:val="003B6721"/>
    <w:rsid w:val="003C4234"/>
    <w:rsid w:val="004108A3"/>
    <w:rsid w:val="004943EE"/>
    <w:rsid w:val="004A5184"/>
    <w:rsid w:val="004A7FC0"/>
    <w:rsid w:val="004C34BA"/>
    <w:rsid w:val="00511A76"/>
    <w:rsid w:val="00570ABC"/>
    <w:rsid w:val="005B0107"/>
    <w:rsid w:val="00616AE2"/>
    <w:rsid w:val="006B255A"/>
    <w:rsid w:val="006B7D07"/>
    <w:rsid w:val="006F2156"/>
    <w:rsid w:val="006F3249"/>
    <w:rsid w:val="0076327A"/>
    <w:rsid w:val="00814239"/>
    <w:rsid w:val="008509D0"/>
    <w:rsid w:val="009B065F"/>
    <w:rsid w:val="009E026F"/>
    <w:rsid w:val="00A12B9D"/>
    <w:rsid w:val="00AC3598"/>
    <w:rsid w:val="00B56C53"/>
    <w:rsid w:val="00BB7292"/>
    <w:rsid w:val="00CE5373"/>
    <w:rsid w:val="00D31FC3"/>
    <w:rsid w:val="00D46277"/>
    <w:rsid w:val="00D54D25"/>
    <w:rsid w:val="00E026CD"/>
    <w:rsid w:val="00E42637"/>
    <w:rsid w:val="00EC34E3"/>
    <w:rsid w:val="00EC7A49"/>
    <w:rsid w:val="00F14D2E"/>
    <w:rsid w:val="00F45FAC"/>
    <w:rsid w:val="00F81B91"/>
    <w:rsid w:val="00FA278D"/>
    <w:rsid w:val="6DFAD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2C49DF7-0CDD-574E-916A-4CF28B82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kern w:val="2"/>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kern w:val="2"/>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kern w:val="2"/>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kern w:val="2"/>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kern w:val="2"/>
      <w:sz w:val="21"/>
      <w:szCs w:val="24"/>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kern w:val="2"/>
      <w:sz w:val="21"/>
      <w:szCs w:val="24"/>
    </w:rPr>
  </w:style>
  <w:style w:type="paragraph" w:styleId="Heading8">
    <w:name w:val="heading 8"/>
    <w:basedOn w:val="Normal"/>
    <w:next w:val="Normal"/>
    <w:link w:val="Heading8Char"/>
    <w:uiPriority w:val="9"/>
    <w:semiHidden/>
    <w:unhideWhenUsed/>
    <w:qFormat/>
    <w:pPr>
      <w:keepNext/>
      <w:keepLines/>
      <w:outlineLvl w:val="7"/>
    </w:pPr>
    <w:rPr>
      <w:rFonts w:asciiTheme="minorHAnsi" w:eastAsiaTheme="minorEastAsia" w:hAnsiTheme="minorHAnsi" w:cstheme="majorBidi"/>
      <w:color w:val="595959" w:themeColor="text1" w:themeTint="A6"/>
      <w:kern w:val="2"/>
      <w:sz w:val="21"/>
      <w:szCs w:val="24"/>
    </w:rPr>
  </w:style>
  <w:style w:type="paragraph" w:styleId="Heading9">
    <w:name w:val="heading 9"/>
    <w:basedOn w:val="Normal"/>
    <w:next w:val="Normal"/>
    <w:link w:val="Heading9Char"/>
    <w:uiPriority w:val="9"/>
    <w:semiHidden/>
    <w:unhideWhenUsed/>
    <w:qFormat/>
    <w:pPr>
      <w:keepNext/>
      <w:keepLines/>
      <w:outlineLvl w:val="8"/>
    </w:pPr>
    <w:rPr>
      <w:rFonts w:asciiTheme="minorHAnsi" w:eastAsiaTheme="majorEastAsia" w:hAnsiTheme="minorHAnsi" w:cstheme="majorBidi"/>
      <w:color w:val="595959" w:themeColor="text1" w:themeTint="A6"/>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kern w:val="2"/>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rPr>
      <w:rFonts w:cstheme="majorBidi"/>
      <w:b/>
      <w:bCs/>
      <w:color w:val="595959" w:themeColor="text1" w:themeTint="A6"/>
    </w:rPr>
  </w:style>
  <w:style w:type="character" w:customStyle="1" w:styleId="Heading8Char">
    <w:name w:val="Heading 8 Char"/>
    <w:basedOn w:val="DefaultParagraphFont"/>
    <w:link w:val="Heading8"/>
    <w:uiPriority w:val="9"/>
    <w:semiHidden/>
    <w:rPr>
      <w:rFonts w:cstheme="majorBidi"/>
      <w:color w:val="595959" w:themeColor="text1" w:themeTint="A6"/>
    </w:rPr>
  </w:style>
  <w:style w:type="character" w:customStyle="1" w:styleId="Heading9Char">
    <w:name w:val="Heading 9 Char"/>
    <w:basedOn w:val="DefaultParagraphFont"/>
    <w:link w:val="Heading9"/>
    <w:uiPriority w:val="9"/>
    <w:semiHidden/>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rFonts w:asciiTheme="minorHAnsi" w:eastAsiaTheme="minorEastAsia" w:hAnsiTheme="minorHAnsi" w:cstheme="minorBidi"/>
      <w:i/>
      <w:iCs/>
      <w:color w:val="404040" w:themeColor="text1" w:themeTint="BF"/>
      <w:kern w:val="2"/>
      <w:sz w:val="21"/>
      <w:szCs w:val="24"/>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rPr>
      <w:rFonts w:asciiTheme="minorHAnsi" w:eastAsiaTheme="minorEastAsia" w:hAnsiTheme="minorHAnsi" w:cstheme="minorBidi"/>
      <w:kern w:val="2"/>
      <w:sz w:val="21"/>
      <w:szCs w:val="24"/>
    </w:r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4"/>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customStyle="1" w:styleId="1">
    <w:name w:val="正文1"/>
    <w:qFormat/>
    <w:pPr>
      <w:widowControl w:val="0"/>
      <w:jc w:val="both"/>
    </w:pPr>
    <w:rPr>
      <w:rFonts w:ascii="Calibri" w:eastAsia="SimSun" w:hAnsi="Calibri" w:cs="Times New Roman"/>
      <w:kern w:val="2"/>
      <w:sz w:val="21"/>
      <w:szCs w:val="21"/>
    </w:rPr>
  </w:style>
  <w:style w:type="paragraph" w:customStyle="1" w:styleId="10">
    <w:name w:val="普通(网站)1"/>
    <w:basedOn w:val="Normal"/>
    <w:pPr>
      <w:spacing w:before="100" w:beforeAutospacing="1" w:after="100" w:afterAutospacing="1"/>
      <w:jc w:val="left"/>
    </w:pPr>
    <w:rPr>
      <w:rFonts w:ascii="Calibri" w:eastAsia="SimSun" w:hAnsi="Calibri"/>
      <w:sz w:val="24"/>
      <w:szCs w:val="24"/>
    </w:rPr>
  </w:style>
  <w:style w:type="character" w:customStyle="1" w:styleId="15">
    <w:name w:val="15"/>
    <w:basedOn w:val="DefaultParagraphFont"/>
    <w:qFormat/>
    <w:rPr>
      <w:rFonts w:ascii="Times New Roman" w:hAnsi="Times New Roman" w:cs="Times New Roman" w:hint="default"/>
      <w:b/>
    </w:rPr>
  </w:style>
  <w:style w:type="table" w:customStyle="1" w:styleId="11">
    <w:name w:val="普通表格1"/>
    <w:semiHidden/>
    <w:rPr>
      <w:rFonts w:ascii="Times New Roman" w:eastAsia="Times New Roman" w:hAnsi="Times New Roman"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375</Words>
  <Characters>2144</Characters>
  <Application>Microsoft Office Word</Application>
  <DocSecurity>0</DocSecurity>
  <Lines>17</Lines>
  <Paragraphs>5</Paragraphs>
  <ScaleCrop>false</ScaleCrop>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dcterms:created xsi:type="dcterms:W3CDTF">2026-04-10T22:13:00Z</dcterms:created>
  <dcterms:modified xsi:type="dcterms:W3CDTF">2026-04-10T14:27:00Z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2052-12.1.24709.24709</vt:lpwstr>
  </property>
  <property fmtid="{D5CDD505-2E9C-101B-9397-08002B2CF9AE}" pid="3" name="ICV">
    <vt:lpwstr>8C61BB55A08433B0E506D9695CB27F1E_42</vt:lpwstr>
  </property>
</Properties>
</file>