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4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Tables and Figures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Spinal Deformities in Hereditary Motor and Sensory Neuropathy with Special Emphasis on Dejerine-Sottas Disease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Rule="auto"/>
        <w:jc w:val="center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Alex HJ 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Cho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Supplement to manuscript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563a8"/>
          <w:sz w:val="22"/>
          <w:szCs w:val="22"/>
          <w:rtl w:val="0"/>
        </w:rPr>
        <w:t xml:space="preserve">List of Tables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Table 1.  HMSN/CMT Subtypes — Genetic Basis and Scoliosis Characteristics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  → Insert after Section 2, paragraph 2 (after "with many cases presenting before the age of 10")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Table 2.  Scoliosis Features: DSD/Neuromuscular vs Adolescent Idiopathic Scoliosis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0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  → Insert in Section 6, after </w:t>
      </w:r>
      <w:r w:rsidDel="00000000" w:rsidR="00000000" w:rsidRPr="00000000">
        <w:rPr>
          <w:sz w:val="18"/>
          <w:szCs w:val="18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first paragraph (after "more aggressive natural history")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Table 3.  Surgical and Conservative Management Options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0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  → Insert in Section 12.2, after the preoperative considerations paragraph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Table 4.  Recommended Surveillance Protocol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0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  → Insert in Section 5.6 (replaces existing surveillance table)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563a8"/>
          <w:sz w:val="22"/>
          <w:szCs w:val="22"/>
          <w:rtl w:val="0"/>
        </w:rPr>
        <w:t xml:space="preserve">List of Figures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Figure 1.  Pathogenesis of Scoliosis in DSD (flowchart)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  → Insert in Appendix / at end of Section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Figure 2.  Clinical Management Algorithm for Scoliosis in DSD (decision tree)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0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  → Insert in Appendix / at end of Section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563a8"/>
          <w:sz w:val="22"/>
          <w:szCs w:val="22"/>
          <w:rtl w:val="0"/>
        </w:rPr>
        <w:t xml:space="preserve">Citation Note — In-text references for these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When referring to these in the manuscript body, use the following text: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"...summarised in Table 1 (see Appendix)." or "(Table 1)"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"The recommended management algorithm is shown in Figure 2 (see Appendix)."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If inline placement is required by the target journal, insert each table/figure immediately after the paragraph in which it is first cited.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Table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HMSN/CMT Subtypes — Genetic Basis and Scoliosis Characteristics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0" distT="0" distL="0" distR="0">
            <wp:extent cx="5762625" cy="2809875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809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3a5f"/>
          <w:sz w:val="18"/>
          <w:szCs w:val="18"/>
          <w:rtl w:val="0"/>
        </w:rPr>
        <w:t xml:space="preserve">Table 1 Caption: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Overview of major hereditary motor and sensory neuropathy (HMSN/CMT) subtypes with their primary genetic mutation, typical age of scoliosis onset, approximate prevalence, severity, and functional impact. Scoliosis prevalence figures are approximate estimates derived from mixed cohort studies.</w:t>
      </w:r>
      <w:r w:rsidDel="00000000" w:rsidR="00000000" w:rsidRPr="00000000">
        <w:rPr>
          <w:rFonts w:ascii="Arial" w:cs="Arial" w:eastAsia="Arial" w:hAnsi="Arial"/>
          <w:color w:val="1e3a5f"/>
          <w:sz w:val="18"/>
          <w:szCs w:val="18"/>
          <w:vertAlign w:val="superscript"/>
          <w:rtl w:val="0"/>
        </w:rPr>
        <w:t xml:space="preserve">[7,8,10,11,12]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 DSD = Dejerine-Sottas disease; CMT = Charcot-Marie-Tooth disease; est. = estimate.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Suggested placement: After Section 2, paragraph 2. Call-out in text: "(Table 1)"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Table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6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Scoliosis Features: DSD/Neuromuscular vs Adolescent Idiopathic Scoliosis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/>
        <w:drawing>
          <wp:inline distB="0" distT="0" distL="0" distR="0">
            <wp:extent cx="5762625" cy="360045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600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3a5f"/>
          <w:sz w:val="18"/>
          <w:szCs w:val="18"/>
          <w:rtl w:val="0"/>
        </w:rPr>
        <w:t xml:space="preserve">Table 2 Caption: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Comparison of key clinical, radiographic, and prognostic features of scoliosis in Dejerine-Sottas disease and neuromuscular (NM) conditions versus adolescent idiopathic scoliosis (AIS). AIS data from Weinstein et al.</w:t>
      </w:r>
      <w:r w:rsidDel="00000000" w:rsidR="00000000" w:rsidRPr="00000000">
        <w:rPr>
          <w:rFonts w:ascii="Arial" w:cs="Arial" w:eastAsia="Arial" w:hAnsi="Arial"/>
          <w:color w:val="1e3a5f"/>
          <w:sz w:val="18"/>
          <w:szCs w:val="18"/>
          <w:vertAlign w:val="superscript"/>
          <w:rtl w:val="0"/>
        </w:rPr>
        <w:t xml:space="preserve">[17]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 DSD/NM data from Horacek et al.,</w:t>
      </w:r>
      <w:r w:rsidDel="00000000" w:rsidR="00000000" w:rsidRPr="00000000">
        <w:rPr>
          <w:rFonts w:ascii="Arial" w:cs="Arial" w:eastAsia="Arial" w:hAnsi="Arial"/>
          <w:color w:val="1e3a5f"/>
          <w:sz w:val="18"/>
          <w:szCs w:val="18"/>
          <w:vertAlign w:val="superscript"/>
          <w:rtl w:val="0"/>
        </w:rPr>
        <w:t xml:space="preserve">[7]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 Karol and Elerson,</w:t>
      </w:r>
      <w:r w:rsidDel="00000000" w:rsidR="00000000" w:rsidRPr="00000000">
        <w:rPr>
          <w:rFonts w:ascii="Arial" w:cs="Arial" w:eastAsia="Arial" w:hAnsi="Arial"/>
          <w:color w:val="1e3a5f"/>
          <w:sz w:val="18"/>
          <w:szCs w:val="18"/>
          <w:vertAlign w:val="superscript"/>
          <w:rtl w:val="0"/>
        </w:rPr>
        <w:t xml:space="preserve">[10]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 Murphy and Mooney,</w:t>
      </w:r>
      <w:r w:rsidDel="00000000" w:rsidR="00000000" w:rsidRPr="00000000">
        <w:rPr>
          <w:rFonts w:ascii="Arial" w:cs="Arial" w:eastAsia="Arial" w:hAnsi="Arial"/>
          <w:color w:val="1e3a5f"/>
          <w:sz w:val="18"/>
          <w:szCs w:val="18"/>
          <w:vertAlign w:val="superscript"/>
          <w:rtl w:val="0"/>
        </w:rPr>
        <w:t xml:space="preserve">[13]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 and Plante-Bordeneuve and Said.</w:t>
      </w:r>
      <w:r w:rsidDel="00000000" w:rsidR="00000000" w:rsidRPr="00000000">
        <w:rPr>
          <w:rFonts w:ascii="Arial" w:cs="Arial" w:eastAsia="Arial" w:hAnsi="Arial"/>
          <w:color w:val="1e3a5f"/>
          <w:sz w:val="18"/>
          <w:szCs w:val="18"/>
          <w:vertAlign w:val="superscript"/>
          <w:rtl w:val="0"/>
        </w:rPr>
        <w:t xml:space="preserve">[16]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 NM = neuromuscular; DSD = Dejerine-Sottas disease; Cobb = Cobb angle.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Suggested placement: Section 6, after </w:t>
      </w:r>
      <w:r w:rsidDel="00000000" w:rsidR="00000000" w:rsidRPr="00000000">
        <w:rPr>
          <w:sz w:val="18"/>
          <w:szCs w:val="18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first paragraph. Call-out: "(Table 2)"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Table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6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Surgical and Conservative Management Options in DSD-Associated Scoliosis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/>
        <w:drawing>
          <wp:inline distB="0" distT="0" distL="0" distR="0">
            <wp:extent cx="5762625" cy="360045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600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3a5f"/>
          <w:sz w:val="18"/>
          <w:szCs w:val="18"/>
          <w:rtl w:val="0"/>
        </w:rPr>
        <w:t xml:space="preserve">Table 3 Caption: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Summary of surgical and principal non-surgical interventions for spinal deformity in Dejerine-Sottas disease and hereditary motor and sensory neuropathies. PSF = posterior spinal fusion; VBT = vertebral body tethering; TLSO = thoracolumbar sacral orthosis; NM = neuromuscular; AIS = adolescent idiopathic scoliosis; DSD = Dejerine-Sottas disease.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Suggested placement: Section 12.2, after the preoperative paragraph. Call-out: "(Table 3)"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Table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6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Recommended Surveillance Protocol — Scoliosis in DSD and Severe HMSN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/>
        <w:drawing>
          <wp:inline distB="0" distT="0" distL="0" distR="0">
            <wp:extent cx="5762625" cy="2447925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447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3a5f"/>
          <w:sz w:val="18"/>
          <w:szCs w:val="18"/>
          <w:rtl w:val="0"/>
        </w:rPr>
        <w:t xml:space="preserve">Table 4 Caption: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Recommended surveillance framework for scoliosis monitoring in patients with Dejerine-Sottas disease and severe hereditary motor and sensory neuropathies, stratified by age group. PA = posteroanterior; PFTs = pulmonary function tests; FVC = forced vital capacity; FEV1 = forced expiratory volume in 1 second; EOS = low-dose biplanar stereoradiography;</w:t>
      </w:r>
      <w:r w:rsidDel="00000000" w:rsidR="00000000" w:rsidRPr="00000000">
        <w:rPr>
          <w:rFonts w:ascii="Arial" w:cs="Arial" w:eastAsia="Arial" w:hAnsi="Arial"/>
          <w:color w:val="1e3a5f"/>
          <w:sz w:val="18"/>
          <w:szCs w:val="18"/>
          <w:vertAlign w:val="superscript"/>
          <w:rtl w:val="0"/>
        </w:rPr>
        <w:t xml:space="preserve">[15]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 OT = occupational therapist; NM = neuromuscular.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Suggested placement: Section 5.6. Call-out: "(Table 4)"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Figure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6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Pathogenesis of Scoliosis in Dejerine-Sottas Disease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/>
        <w:drawing>
          <wp:inline distB="0" distT="0" distL="0" distR="0">
            <wp:extent cx="5400675" cy="2952750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952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3a5f"/>
          <w:sz w:val="18"/>
          <w:szCs w:val="18"/>
          <w:rtl w:val="0"/>
        </w:rPr>
        <w:t xml:space="preserve">Figure 1 Caption: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Multifactorial pathogenesis of scoliosis in Dejerine-Sottas disease. Four convergent pathways — asymmetric paraspinal denervation, proprioceptive loss, gene-specific connective tissue effects, and critical-window growth exposure — interact to produce early-onset, progressive neuromuscular spinal deformity. Once a structural threshold is reached, biomechanical self-reinforcement sustains progression independently of neurological decline. Based on pathophysiological principles described in Murphy and Mooney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e3a5f"/>
          <w:sz w:val="18"/>
          <w:szCs w:val="18"/>
          <w:vertAlign w:val="superscript"/>
          <w:rtl w:val="0"/>
        </w:rPr>
        <w:t xml:space="preserve">[13]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, Plante-Bordeneuve and Said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e3a5f"/>
          <w:sz w:val="18"/>
          <w:szCs w:val="18"/>
          <w:vertAlign w:val="superscript"/>
          <w:rtl w:val="0"/>
        </w:rPr>
        <w:t xml:space="preserve">[16]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and Gabreels-Festen.</w:t>
      </w:r>
      <w:r w:rsidDel="00000000" w:rsidR="00000000" w:rsidRPr="00000000">
        <w:rPr>
          <w:rFonts w:ascii="Arial" w:cs="Arial" w:eastAsia="Arial" w:hAnsi="Arial"/>
          <w:color w:val="1e3a5f"/>
          <w:sz w:val="18"/>
          <w:szCs w:val="18"/>
          <w:vertAlign w:val="superscript"/>
          <w:rtl w:val="0"/>
        </w:rPr>
        <w:t xml:space="preserve">[14]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Suggested placement: End of Section 3 (Pathophysiology), or in </w:t>
      </w:r>
      <w:r w:rsidDel="00000000" w:rsidR="00000000" w:rsidRPr="00000000">
        <w:rPr>
          <w:sz w:val="18"/>
          <w:szCs w:val="18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Appendix. Call-out: "The four pathogenic mechanisms are summarised in Figure 1."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Figure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6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Clinical Management Algorithm for Scoliosis in DSD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/>
        <w:drawing>
          <wp:inline distB="0" distT="0" distL="0" distR="0">
            <wp:extent cx="4676775" cy="6772275"/>
            <wp:effectExtent b="0" l="0" r="0" t="0"/>
            <wp:docPr id="1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772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3a5f"/>
          <w:sz w:val="18"/>
          <w:szCs w:val="18"/>
          <w:rtl w:val="0"/>
        </w:rPr>
        <w:t xml:space="preserve">Figure 2 Caption: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Proposed clinical management algorithm for scoliosis in Dejerine-Sottas disease and severe hereditary motor and sensory neuropathies. Decisions integrate neurological severity, radiographic assessment, functional status, and remaining growth potential. Surgical thresholds differ from adolescent idiopathic scoliosis: functional decline often precedes or drives intervention before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Cobb angle alone would mandate surgery. MDT = multidisciplinary team; TLSO = thoracolumbar sacral orthosis; VBT = vertebral body tethering; PSF = posterior spinal fusion; FVC = forced vital capacity; FEV1 = forced expiratory volume in 1 second.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Suggested placement: End of Section 9 (Timing of intervention), or in Appendix. Call-out: "The recommended management algorithm is shown in Figure 2."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260" w:top="1260" w:left="1260" w:right="126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9"/>
        <w:szCs w:val="19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19"/>
      <w:szCs w:val="19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19"/>
      <w:szCs w:val="19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19"/>
      <w:szCs w:val="19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jpg"/><Relationship Id="rId10" Type="http://schemas.openxmlformats.org/officeDocument/2006/relationships/image" Target="media/image5.jp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