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FDAF3" w14:textId="77777777" w:rsidR="00E0114A" w:rsidRDefault="00E0114A" w:rsidP="00E0114A">
      <w:pPr>
        <w:spacing w:after="80"/>
        <w:jc w:val="center"/>
      </w:pPr>
      <w:r>
        <w:rPr>
          <w:rFonts w:ascii="Arial" w:eastAsia="Arial" w:hAnsi="Arial" w:cs="Arial"/>
          <w:b/>
          <w:bCs/>
          <w:sz w:val="24"/>
          <w:szCs w:val="24"/>
        </w:rPr>
        <w:t>Online Resource 1: Glossary of Key Terms</w:t>
      </w:r>
    </w:p>
    <w:p w14:paraId="58FF6688" w14:textId="77777777" w:rsidR="00E0114A" w:rsidRDefault="00E0114A" w:rsidP="00E0114A">
      <w:pPr>
        <w:spacing w:after="80"/>
        <w:jc w:val="center"/>
      </w:pPr>
      <w:r>
        <w:rPr>
          <w:i/>
          <w:iCs/>
          <w:color w:val="666666"/>
          <w:sz w:val="18"/>
          <w:szCs w:val="18"/>
        </w:rPr>
        <w:t>(ESM_1.docx — Supplementary Information)</w:t>
      </w:r>
    </w:p>
    <w:p w14:paraId="590D4978" w14:textId="77777777" w:rsidR="00E0114A" w:rsidRDefault="00E0114A" w:rsidP="00E0114A">
      <w:pPr>
        <w:spacing w:after="240"/>
        <w:jc w:val="center"/>
      </w:pPr>
      <w:r>
        <w:rPr>
          <w:i/>
          <w:iCs/>
          <w:sz w:val="18"/>
          <w:szCs w:val="18"/>
        </w:rPr>
        <w:t>Beyond Neuro-</w:t>
      </w:r>
      <w:proofErr w:type="spellStart"/>
      <w:r>
        <w:rPr>
          <w:i/>
          <w:iCs/>
          <w:sz w:val="18"/>
          <w:szCs w:val="18"/>
        </w:rPr>
        <w:t>Extractivism</w:t>
      </w:r>
      <w:proofErr w:type="spellEnd"/>
      <w:r>
        <w:rPr>
          <w:i/>
          <w:iCs/>
          <w:sz w:val="18"/>
          <w:szCs w:val="18"/>
        </w:rPr>
        <w:t xml:space="preserve">: Building a Neural </w:t>
      </w:r>
      <w:proofErr w:type="spellStart"/>
      <w:r>
        <w:rPr>
          <w:i/>
          <w:iCs/>
          <w:sz w:val="18"/>
          <w:szCs w:val="18"/>
        </w:rPr>
        <w:t>Chilimba</w:t>
      </w:r>
      <w:proofErr w:type="spellEnd"/>
      <w:r>
        <w:rPr>
          <w:i/>
          <w:iCs/>
          <w:sz w:val="18"/>
          <w:szCs w:val="18"/>
        </w:rPr>
        <w:t xml:space="preserve"> Framework for Culturally Grounded Neuro-Education Governance in Zambia</w:t>
      </w:r>
    </w:p>
    <w:p w14:paraId="6DC8672B" w14:textId="77777777" w:rsidR="00E0114A" w:rsidRDefault="00E0114A" w:rsidP="00E0114A">
      <w:pPr>
        <w:pBdr>
          <w:bottom w:val="single" w:sz="4" w:space="4" w:color="333333"/>
        </w:pBdr>
        <w:spacing w:after="80"/>
      </w:pPr>
    </w:p>
    <w:p w14:paraId="3C2AD003" w14:textId="77777777" w:rsidR="00E0114A" w:rsidRDefault="00E0114A" w:rsidP="00E0114A">
      <w:pPr>
        <w:spacing w:before="160"/>
      </w:pPr>
    </w:p>
    <w:p w14:paraId="517AD270" w14:textId="77777777" w:rsidR="00E0114A" w:rsidRDefault="00E0114A" w:rsidP="00E0114A">
      <w:pPr>
        <w:spacing w:after="140" w:line="280" w:lineRule="auto"/>
      </w:pPr>
      <w:proofErr w:type="spellStart"/>
      <w:r>
        <w:rPr>
          <w:b/>
          <w:bCs/>
        </w:rPr>
        <w:t>Chilimba</w:t>
      </w:r>
      <w:proofErr w:type="spellEnd"/>
      <w:r>
        <w:rPr>
          <w:b/>
          <w:bCs/>
        </w:rPr>
        <w:t xml:space="preserve">: </w:t>
      </w:r>
      <w:r>
        <w:t xml:space="preserve">A Zambian rotating savings and credit association (ROSCA) in which community members contribute resources — money, labour, or agricultural produce — to a common pool, which is then rotated or distributed to members in need at zero interest. In this article, the term is adapted by analogy — not literal equivalence — to describe a community-governed cognitive data pooling mechanism. The institutional logic of collective contribution, rotational benefit, and trust-based accountability underpins the Neural </w:t>
      </w:r>
      <w:proofErr w:type="spellStart"/>
      <w:r>
        <w:t>Chilimba</w:t>
      </w:r>
      <w:proofErr w:type="spellEnd"/>
      <w:r>
        <w:t xml:space="preserve"> framework.</w:t>
      </w:r>
    </w:p>
    <w:p w14:paraId="6FE7FA3C" w14:textId="77777777" w:rsidR="00E0114A" w:rsidRDefault="00E0114A" w:rsidP="00E0114A">
      <w:pPr>
        <w:spacing w:before="80"/>
      </w:pPr>
    </w:p>
    <w:p w14:paraId="3177D10D" w14:textId="77777777" w:rsidR="00E0114A" w:rsidRDefault="00E0114A" w:rsidP="00E0114A">
      <w:pPr>
        <w:spacing w:after="140" w:line="280" w:lineRule="auto"/>
      </w:pPr>
      <w:r>
        <w:rPr>
          <w:b/>
          <w:bCs/>
        </w:rPr>
        <w:t xml:space="preserve">Data </w:t>
      </w:r>
      <w:proofErr w:type="spellStart"/>
      <w:r>
        <w:rPr>
          <w:b/>
          <w:bCs/>
        </w:rPr>
        <w:t>Chilimba</w:t>
      </w:r>
      <w:proofErr w:type="spellEnd"/>
      <w:r>
        <w:rPr>
          <w:b/>
          <w:bCs/>
        </w:rPr>
        <w:t xml:space="preserve"> Committee (DCC): </w:t>
      </w:r>
      <w:r>
        <w:t xml:space="preserve">The school-level governance body established by the Neural </w:t>
      </w:r>
      <w:proofErr w:type="spellStart"/>
      <w:r>
        <w:t>Chilimba</w:t>
      </w:r>
      <w:proofErr w:type="spellEnd"/>
      <w:r>
        <w:t xml:space="preserve"> framework, comprising two elected parents, two elected teachers, a community knowledge-keeper or Ubuntu elder (non-voting), and a non-voting technical representative and headteacher. The Committee holds collective authority over all aspects of neuro-educational technology deployment and neural data governance at the school level. Annual rotation of elected seats mitigates co-optation. All Committee decisions are recorded in the Data Stewardship Register, posted publicly within fourteen days, and submitted annually to the Data Protection Commission.</w:t>
      </w:r>
    </w:p>
    <w:p w14:paraId="5C9B9FEF" w14:textId="77777777" w:rsidR="00E0114A" w:rsidRDefault="00E0114A" w:rsidP="00E0114A">
      <w:pPr>
        <w:spacing w:before="80"/>
      </w:pPr>
    </w:p>
    <w:p w14:paraId="59538736" w14:textId="77777777" w:rsidR="00E0114A" w:rsidRDefault="00E0114A" w:rsidP="00E0114A">
      <w:pPr>
        <w:spacing w:after="140" w:line="280" w:lineRule="auto"/>
      </w:pPr>
      <w:r>
        <w:rPr>
          <w:b/>
          <w:bCs/>
        </w:rPr>
        <w:t xml:space="preserve">Data Stewardship Register: </w:t>
      </w:r>
      <w:r>
        <w:t xml:space="preserve">A mandatory, publicly accessible record maintained by the Data </w:t>
      </w:r>
      <w:proofErr w:type="spellStart"/>
      <w:r>
        <w:t>Chilimba</w:t>
      </w:r>
      <w:proofErr w:type="spellEnd"/>
      <w:r>
        <w:t xml:space="preserve"> Committee, documenting all Committee decisions, benefit-sharing negotiations, data-sharing approvals, and technology renewal outcomes. The Register is posted within the school community within fourteen days of each Committee meeting and submitted annually to the Data Protection Commission. This transparency mechanism ensures that co-optation, if it occurs, is visible and contestable rather than concealed.</w:t>
      </w:r>
    </w:p>
    <w:p w14:paraId="74771854" w14:textId="77777777" w:rsidR="00E0114A" w:rsidRDefault="00E0114A" w:rsidP="00E0114A">
      <w:pPr>
        <w:spacing w:before="80"/>
      </w:pPr>
    </w:p>
    <w:p w14:paraId="17ED3612" w14:textId="77777777" w:rsidR="00E0114A" w:rsidRDefault="00E0114A" w:rsidP="00E0114A">
      <w:pPr>
        <w:spacing w:after="140" w:line="280" w:lineRule="auto"/>
      </w:pPr>
      <w:r>
        <w:rPr>
          <w:b/>
          <w:bCs/>
        </w:rPr>
        <w:t>Neuro-</w:t>
      </w:r>
      <w:proofErr w:type="spellStart"/>
      <w:r>
        <w:rPr>
          <w:b/>
          <w:bCs/>
        </w:rPr>
        <w:t>extractivism</w:t>
      </w:r>
      <w:proofErr w:type="spellEnd"/>
      <w:r>
        <w:rPr>
          <w:b/>
          <w:bCs/>
        </w:rPr>
        <w:t xml:space="preserve">: </w:t>
      </w:r>
      <w:r>
        <w:t>The appropriation of cognitive data from individuals and communities without equitable benefit-sharing or meaningful consent, for the purpose of training artificial intelligence (AI) systems and generating commercial value elsewhere. Distinguished from data colonialism (</w:t>
      </w:r>
      <w:proofErr w:type="spellStart"/>
      <w:r>
        <w:t>Couldry</w:t>
      </w:r>
      <w:proofErr w:type="spellEnd"/>
      <w:r>
        <w:t xml:space="preserve"> &amp; Mejias, 2019) by three features: (1) the non-revocability of neural data once incorporated into AI training sets; (2) the intrinsic revealing capacity of neural data, which encodes subconscious cognitive states that subjects are not themselves aware of; and (3) the institutional vulnerability of the school as the simultaneous site of state authority, parental trust, and cognitive formation of children.</w:t>
      </w:r>
    </w:p>
    <w:p w14:paraId="02400538" w14:textId="77777777" w:rsidR="00E0114A" w:rsidRDefault="00E0114A" w:rsidP="00E0114A">
      <w:pPr>
        <w:spacing w:before="80"/>
      </w:pPr>
    </w:p>
    <w:p w14:paraId="6D14DD0E" w14:textId="77777777" w:rsidR="00E0114A" w:rsidRDefault="00E0114A" w:rsidP="00E0114A">
      <w:pPr>
        <w:spacing w:after="140" w:line="280" w:lineRule="auto"/>
      </w:pPr>
      <w:r>
        <w:rPr>
          <w:b/>
          <w:bCs/>
        </w:rPr>
        <w:t xml:space="preserve">Neural </w:t>
      </w:r>
      <w:proofErr w:type="spellStart"/>
      <w:r>
        <w:rPr>
          <w:b/>
          <w:bCs/>
        </w:rPr>
        <w:t>Chilimba</w:t>
      </w:r>
      <w:proofErr w:type="spellEnd"/>
      <w:r>
        <w:rPr>
          <w:b/>
          <w:bCs/>
        </w:rPr>
        <w:t xml:space="preserve"> framework: </w:t>
      </w:r>
      <w:r>
        <w:t xml:space="preserve">The governance model proposed in this article, integrating Ubuntu's relational ethics, </w:t>
      </w:r>
      <w:proofErr w:type="spellStart"/>
      <w:r>
        <w:t>Chilimba's</w:t>
      </w:r>
      <w:proofErr w:type="spellEnd"/>
      <w:r>
        <w:t xml:space="preserve"> pooling and rotation logic, and neuro-responsible legal mandates into a three-pillar architecture for anticipatory, culturally grounded neuro-education governance in Zambia. The three pillars are: (1) Ubuntu as Relational Data Ethic; (2) </w:t>
      </w:r>
      <w:proofErr w:type="spellStart"/>
      <w:r>
        <w:t>Chilimba</w:t>
      </w:r>
      <w:proofErr w:type="spellEnd"/>
      <w:r>
        <w:t xml:space="preserve"> as Data Pooling Mechanism; and (3) Neuro-Responsible Governance. The framework operationalises four neuro-rights — cognitive liberty, mental privacy, mental integrity, and psychological continuity — at the community level, a setting that existing neuro-rights frameworks do not address.</w:t>
      </w:r>
    </w:p>
    <w:p w14:paraId="54714644" w14:textId="77777777" w:rsidR="00E0114A" w:rsidRDefault="00E0114A" w:rsidP="00E0114A">
      <w:pPr>
        <w:spacing w:before="80"/>
      </w:pPr>
    </w:p>
    <w:p w14:paraId="18A189EE" w14:textId="77777777" w:rsidR="00E0114A" w:rsidRDefault="00E0114A" w:rsidP="00E0114A">
      <w:pPr>
        <w:spacing w:after="140" w:line="280" w:lineRule="auto"/>
      </w:pPr>
      <w:r>
        <w:rPr>
          <w:b/>
          <w:bCs/>
        </w:rPr>
        <w:t xml:space="preserve">Ubuntu: </w:t>
      </w:r>
      <w:r>
        <w:t xml:space="preserve">A southern African philosophical ethic summarised in the Zulu phrase </w:t>
      </w:r>
      <w:proofErr w:type="spellStart"/>
      <w:r>
        <w:rPr>
          <w:i/>
          <w:iCs/>
        </w:rPr>
        <w:t>umuntu</w:t>
      </w:r>
      <w:proofErr w:type="spellEnd"/>
      <w:r>
        <w:rPr>
          <w:i/>
          <w:iCs/>
        </w:rPr>
        <w:t xml:space="preserve"> </w:t>
      </w:r>
      <w:proofErr w:type="spellStart"/>
      <w:r>
        <w:rPr>
          <w:i/>
          <w:iCs/>
        </w:rPr>
        <w:t>ngumuntu</w:t>
      </w:r>
      <w:proofErr w:type="spellEnd"/>
      <w:r>
        <w:rPr>
          <w:i/>
          <w:iCs/>
        </w:rPr>
        <w:t xml:space="preserve"> </w:t>
      </w:r>
      <w:proofErr w:type="spellStart"/>
      <w:r>
        <w:rPr>
          <w:i/>
          <w:iCs/>
        </w:rPr>
        <w:t>ngabantu</w:t>
      </w:r>
      <w:proofErr w:type="spellEnd"/>
      <w:r>
        <w:t xml:space="preserve"> — 'a person is a person through other people.' Its equivalent in Zambia's Nyanja language is </w:t>
      </w:r>
      <w:proofErr w:type="spellStart"/>
      <w:r>
        <w:rPr>
          <w:i/>
          <w:iCs/>
        </w:rPr>
        <w:t>munthu</w:t>
      </w:r>
      <w:proofErr w:type="spellEnd"/>
      <w:r>
        <w:rPr>
          <w:i/>
          <w:iCs/>
        </w:rPr>
        <w:t xml:space="preserve"> </w:t>
      </w:r>
      <w:proofErr w:type="spellStart"/>
      <w:r>
        <w:rPr>
          <w:i/>
          <w:iCs/>
        </w:rPr>
        <w:t>ndi</w:t>
      </w:r>
      <w:proofErr w:type="spellEnd"/>
      <w:r>
        <w:rPr>
          <w:i/>
          <w:iCs/>
        </w:rPr>
        <w:t xml:space="preserve"> </w:t>
      </w:r>
      <w:proofErr w:type="spellStart"/>
      <w:r>
        <w:rPr>
          <w:i/>
          <w:iCs/>
        </w:rPr>
        <w:t>munthu</w:t>
      </w:r>
      <w:proofErr w:type="spellEnd"/>
      <w:r>
        <w:rPr>
          <w:i/>
          <w:iCs/>
        </w:rPr>
        <w:t xml:space="preserve"> pa </w:t>
      </w:r>
      <w:proofErr w:type="spellStart"/>
      <w:r>
        <w:rPr>
          <w:i/>
          <w:iCs/>
        </w:rPr>
        <w:t>anthu</w:t>
      </w:r>
      <w:proofErr w:type="spellEnd"/>
      <w:r>
        <w:t xml:space="preserve">. The defining claim is ontological rather than merely ethical: the self is constituted through communal relationships rather than merely embedded within them. Individual rights are balanced against communal obligations; communal flourishing is the ultimate ethical criterion. Ubuntu's constitutive ontology grounds the Neural </w:t>
      </w:r>
      <w:proofErr w:type="spellStart"/>
      <w:r>
        <w:t>Chilimba's</w:t>
      </w:r>
      <w:proofErr w:type="spellEnd"/>
      <w:r>
        <w:t xml:space="preserve"> claim that </w:t>
      </w:r>
      <w:r>
        <w:lastRenderedPageBreak/>
        <w:t>the community holds not merely a consequentialist interest in cognitive data generated through communal educational relationships, but a stewardship authority over it.</w:t>
      </w:r>
    </w:p>
    <w:p w14:paraId="0835202B" w14:textId="77777777" w:rsidR="00E0114A" w:rsidRDefault="00E0114A" w:rsidP="00E0114A">
      <w:pPr>
        <w:spacing w:before="80"/>
      </w:pPr>
    </w:p>
    <w:p w14:paraId="791FC7A4" w14:textId="77777777" w:rsidR="00E0114A" w:rsidRDefault="00E0114A" w:rsidP="00E0114A">
      <w:pPr>
        <w:spacing w:after="140" w:line="280" w:lineRule="auto"/>
      </w:pPr>
      <w:r>
        <w:rPr>
          <w:b/>
          <w:bCs/>
        </w:rPr>
        <w:t xml:space="preserve">WEIRD: </w:t>
      </w:r>
      <w:r>
        <w:t xml:space="preserve">An acronym from cross-cultural psychology (Henrich et al., 2010): Western, Educated, Industrialized, Rich, Democratic. Used in this article to identify the demographic and cultural characteristics of populations that dominate most behavioural science research, highlighting the structural misalignment between dominant neuro-education frameworks and the realities of the Global South. </w:t>
      </w:r>
      <w:proofErr w:type="gramStart"/>
      <w:r>
        <w:t>The majority of</w:t>
      </w:r>
      <w:proofErr w:type="gramEnd"/>
      <w:r>
        <w:t xml:space="preserve"> neuro-rights and educational neuroscience literature is produced by and for WEIRD contexts, generating governance frameworks premised on individualist ontologies that are constitutively misaligned with relational communities.</w:t>
      </w:r>
    </w:p>
    <w:p w14:paraId="533ADD5B" w14:textId="77777777" w:rsidR="00E0114A" w:rsidRDefault="00E0114A" w:rsidP="00E0114A">
      <w:pPr>
        <w:spacing w:before="200"/>
      </w:pPr>
    </w:p>
    <w:p w14:paraId="144AD2CA" w14:textId="77777777" w:rsidR="00E0114A" w:rsidRDefault="00E0114A" w:rsidP="00E0114A">
      <w:pPr>
        <w:pBdr>
          <w:top w:val="single" w:sz="2" w:space="4" w:color="AAAAAA"/>
        </w:pBdr>
        <w:spacing w:after="40"/>
      </w:pPr>
    </w:p>
    <w:p w14:paraId="158543FC" w14:textId="77777777" w:rsidR="00E0114A" w:rsidRDefault="00E0114A" w:rsidP="00E0114A">
      <w:pPr>
        <w:spacing w:before="80"/>
      </w:pPr>
      <w:r>
        <w:rPr>
          <w:b/>
          <w:bCs/>
          <w:sz w:val="18"/>
          <w:szCs w:val="18"/>
        </w:rPr>
        <w:t xml:space="preserve">Caption: </w:t>
      </w:r>
      <w:r>
        <w:rPr>
          <w:sz w:val="18"/>
          <w:szCs w:val="18"/>
        </w:rPr>
        <w:t>Glossary of key terms introduced or substantially developed in the manuscript. Definitions are intended to support readers across disciplines and are cross-referenced to the sections in which each term is first discussed.</w:t>
      </w:r>
    </w:p>
    <w:p w14:paraId="2C205581" w14:textId="77777777" w:rsidR="006E712F" w:rsidRDefault="006E712F"/>
    <w:sectPr w:rsidR="006E712F" w:rsidSect="006E712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12F"/>
    <w:rsid w:val="006E712F"/>
    <w:rsid w:val="00973DF0"/>
    <w:rsid w:val="00B50B6B"/>
    <w:rsid w:val="00E011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89C96"/>
  <w15:chartTrackingRefBased/>
  <w15:docId w15:val="{2DE3503F-E78E-4713-93DE-B027C967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12F"/>
    <w:pPr>
      <w:spacing w:after="0" w:line="240" w:lineRule="auto"/>
    </w:pPr>
    <w:rPr>
      <w:rFonts w:ascii="Times New Roman" w:eastAsia="Times New Roman" w:hAnsi="Times New Roman" w:cs="Times New Roman"/>
      <w:kern w:val="0"/>
      <w:sz w:val="20"/>
      <w:szCs w:val="20"/>
      <w:lang w:eastAsia="en-AU"/>
      <w14:ligatures w14:val="none"/>
    </w:rPr>
  </w:style>
  <w:style w:type="paragraph" w:styleId="Heading1">
    <w:name w:val="heading 1"/>
    <w:basedOn w:val="Normal"/>
    <w:next w:val="Normal"/>
    <w:link w:val="Heading1Char"/>
    <w:uiPriority w:val="9"/>
    <w:qFormat/>
    <w:rsid w:val="006E71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E71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E71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E71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6E712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6E712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6E712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6E712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6E712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1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1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1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1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71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71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1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1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12F"/>
    <w:rPr>
      <w:rFonts w:eastAsiaTheme="majorEastAsia" w:cstheme="majorBidi"/>
      <w:color w:val="272727" w:themeColor="text1" w:themeTint="D8"/>
    </w:rPr>
  </w:style>
  <w:style w:type="paragraph" w:styleId="Title">
    <w:name w:val="Title"/>
    <w:basedOn w:val="Normal"/>
    <w:next w:val="Normal"/>
    <w:link w:val="TitleChar"/>
    <w:uiPriority w:val="10"/>
    <w:qFormat/>
    <w:rsid w:val="006E712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E71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1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E71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12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6E712F"/>
    <w:rPr>
      <w:i/>
      <w:iCs/>
      <w:color w:val="404040" w:themeColor="text1" w:themeTint="BF"/>
    </w:rPr>
  </w:style>
  <w:style w:type="paragraph" w:styleId="ListParagraph">
    <w:name w:val="List Paragraph"/>
    <w:basedOn w:val="Normal"/>
    <w:uiPriority w:val="34"/>
    <w:qFormat/>
    <w:rsid w:val="006E712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6E712F"/>
    <w:rPr>
      <w:i/>
      <w:iCs/>
      <w:color w:val="0F4761" w:themeColor="accent1" w:themeShade="BF"/>
    </w:rPr>
  </w:style>
  <w:style w:type="paragraph" w:styleId="IntenseQuote">
    <w:name w:val="Intense Quote"/>
    <w:basedOn w:val="Normal"/>
    <w:next w:val="Normal"/>
    <w:link w:val="IntenseQuoteChar"/>
    <w:uiPriority w:val="30"/>
    <w:qFormat/>
    <w:rsid w:val="006E71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6E712F"/>
    <w:rPr>
      <w:i/>
      <w:iCs/>
      <w:color w:val="0F4761" w:themeColor="accent1" w:themeShade="BF"/>
    </w:rPr>
  </w:style>
  <w:style w:type="character" w:styleId="IntenseReference">
    <w:name w:val="Intense Reference"/>
    <w:basedOn w:val="DefaultParagraphFont"/>
    <w:uiPriority w:val="32"/>
    <w:qFormat/>
    <w:rsid w:val="006E71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638</Words>
  <Characters>4249</Characters>
  <Application>Microsoft Office Word</Application>
  <DocSecurity>0</DocSecurity>
  <Lines>59</Lines>
  <Paragraphs>12</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Sensei Edward</dc:creator>
  <cp:keywords/>
  <dc:description/>
  <cp:lastModifiedBy>Sensei Edward</cp:lastModifiedBy>
  <cp:revision>3</cp:revision>
  <dcterms:created xsi:type="dcterms:W3CDTF">2026-04-11T06:14:00Z</dcterms:created>
  <dcterms:modified xsi:type="dcterms:W3CDTF">2026-04-11T06:39:00Z</dcterms:modified>
</cp:coreProperties>
</file>