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B38C5" w14:textId="77777777" w:rsidR="00B31962" w:rsidRDefault="00B31962" w:rsidP="00B31962">
      <w:pPr>
        <w:spacing w:line="480" w:lineRule="auto"/>
        <w:rPr>
          <w:rFonts w:ascii="Arial" w:hAnsi="Arial" w:cs="Arial"/>
          <w:szCs w:val="24"/>
        </w:rPr>
      </w:pPr>
      <w:r>
        <w:rPr>
          <w:rStyle w:val="Heading1Char"/>
          <w:rFonts w:ascii="Arial" w:hAnsi="Arial" w:cs="Arial"/>
          <w:sz w:val="24"/>
          <w:szCs w:val="24"/>
        </w:rPr>
        <w:t>Supplement materials: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Fig S1</w:t>
      </w:r>
      <w:r>
        <w:rPr>
          <w:rFonts w:ascii="Arial" w:hAnsi="Arial" w:cs="Arial"/>
          <w:szCs w:val="24"/>
        </w:rPr>
        <w:t>. (</w:t>
      </w:r>
      <w:r>
        <w:rPr>
          <w:rFonts w:ascii="Arial" w:hAnsi="Arial" w:cs="Arial"/>
          <w:b/>
          <w:bCs/>
          <w:szCs w:val="24"/>
        </w:rPr>
        <w:t>A</w:t>
      </w:r>
      <w:r>
        <w:rPr>
          <w:rFonts w:ascii="Arial" w:hAnsi="Arial" w:cs="Arial"/>
          <w:szCs w:val="24"/>
        </w:rPr>
        <w:t>) The nFeature_RNA, nCount_RNA, and percent_MT before quality control. (</w:t>
      </w:r>
      <w:r>
        <w:rPr>
          <w:rFonts w:ascii="Arial" w:hAnsi="Arial" w:cs="Arial"/>
          <w:b/>
          <w:bCs/>
          <w:szCs w:val="24"/>
        </w:rPr>
        <w:t>B</w:t>
      </w:r>
      <w:r>
        <w:rPr>
          <w:rFonts w:ascii="Arial" w:hAnsi="Arial" w:cs="Arial"/>
          <w:szCs w:val="24"/>
        </w:rPr>
        <w:t>) Elbow plot for determining the optimal number of principal components (PCs=30) for clustering. (</w:t>
      </w:r>
      <w:r>
        <w:rPr>
          <w:rFonts w:ascii="Arial" w:hAnsi="Arial" w:cs="Arial"/>
          <w:b/>
          <w:bCs/>
          <w:szCs w:val="24"/>
        </w:rPr>
        <w:t>C</w:t>
      </w:r>
      <w:r>
        <w:rPr>
          <w:rFonts w:ascii="Arial" w:hAnsi="Arial" w:cs="Arial"/>
          <w:szCs w:val="24"/>
        </w:rPr>
        <w:t>) Cluster dendrogram displaying the 13 identified cell clusters. (</w:t>
      </w:r>
      <w:r>
        <w:rPr>
          <w:rFonts w:ascii="Arial" w:hAnsi="Arial" w:cs="Arial"/>
          <w:b/>
          <w:bCs/>
          <w:szCs w:val="24"/>
        </w:rPr>
        <w:t>D</w:t>
      </w:r>
      <w:r>
        <w:rPr>
          <w:rFonts w:ascii="Arial" w:hAnsi="Arial" w:cs="Arial"/>
          <w:szCs w:val="24"/>
        </w:rPr>
        <w:t>) UMAP plot showing the expression of the marker gene in 13 cell clusters.</w:t>
      </w:r>
      <w:r>
        <w:rPr>
          <w:rFonts w:ascii="Arial" w:hAnsi="Arial" w:cs="Arial"/>
          <w:b/>
          <w:bCs/>
          <w:szCs w:val="24"/>
        </w:rPr>
        <w:t xml:space="preserve"> Fig S2</w:t>
      </w:r>
      <w:r>
        <w:rPr>
          <w:rFonts w:ascii="Arial" w:hAnsi="Arial" w:cs="Arial"/>
          <w:szCs w:val="24"/>
        </w:rPr>
        <w:t>. (</w:t>
      </w:r>
      <w:r>
        <w:rPr>
          <w:rFonts w:ascii="Arial" w:hAnsi="Arial" w:cs="Arial"/>
          <w:b/>
          <w:bCs/>
          <w:szCs w:val="24"/>
        </w:rPr>
        <w:t>A</w:t>
      </w:r>
      <w:r>
        <w:rPr>
          <w:rFonts w:ascii="Arial" w:hAnsi="Arial" w:cs="Arial"/>
          <w:szCs w:val="24"/>
        </w:rPr>
        <w:t>) UMAP visualization of key technical metrics (nCount_RNA and nFeature_RNA) across cell subpopulations. (</w:t>
      </w:r>
      <w:r>
        <w:rPr>
          <w:rFonts w:ascii="Arial" w:hAnsi="Arial" w:cs="Arial"/>
          <w:b/>
          <w:bCs/>
          <w:szCs w:val="24"/>
        </w:rPr>
        <w:t>B</w:t>
      </w:r>
      <w:r>
        <w:rPr>
          <w:rFonts w:ascii="Arial" w:hAnsi="Arial" w:cs="Arial"/>
          <w:szCs w:val="24"/>
        </w:rPr>
        <w:t>) Volcano plot identifying differential genes in the MEC0, MEC1, MEC2, and MEC4 subpopulations. (</w:t>
      </w:r>
      <w:r>
        <w:rPr>
          <w:rFonts w:ascii="Arial" w:hAnsi="Arial" w:cs="Arial"/>
          <w:b/>
          <w:bCs/>
          <w:szCs w:val="24"/>
        </w:rPr>
        <w:t>C</w:t>
      </w:r>
      <w:r>
        <w:rPr>
          <w:rFonts w:ascii="Arial" w:hAnsi="Arial" w:cs="Arial"/>
          <w:szCs w:val="24"/>
        </w:rPr>
        <w:t>) Word cloud showing the specific biological processes corresponding to the highly enriched genes in the MEC0, MEC1, MEC2, and MEC4 subpopulations. Larger font sizes indicate a greater number of enriched genes in that biological process, while darker colors indicate a higher enrichment score for the genes. (</w:t>
      </w:r>
      <w:r>
        <w:rPr>
          <w:rFonts w:ascii="Arial" w:hAnsi="Arial" w:cs="Arial"/>
          <w:b/>
          <w:bCs/>
          <w:szCs w:val="24"/>
        </w:rPr>
        <w:t>D</w:t>
      </w:r>
      <w:r>
        <w:rPr>
          <w:rFonts w:ascii="Arial" w:hAnsi="Arial" w:cs="Arial"/>
          <w:szCs w:val="24"/>
        </w:rPr>
        <w:t>) GSEA plots displaying the most significantly enriched pathways in the MEC0, MEC1, MEC2, and MEC4 subpopulations. (</w:t>
      </w:r>
      <w:r>
        <w:rPr>
          <w:rFonts w:ascii="Arial" w:hAnsi="Arial" w:cs="Arial"/>
          <w:b/>
          <w:bCs/>
          <w:szCs w:val="24"/>
        </w:rPr>
        <w:t>E</w:t>
      </w:r>
      <w:r>
        <w:rPr>
          <w:rFonts w:ascii="Arial" w:hAnsi="Arial" w:cs="Arial"/>
          <w:szCs w:val="24"/>
        </w:rPr>
        <w:t>) Heatmap integrating gene expression patterns of each MEC subpopulation with their top five associated GO BP.</w:t>
      </w:r>
      <w:r>
        <w:rPr>
          <w:rFonts w:ascii="Arial" w:hAnsi="Arial" w:cs="Arial"/>
          <w:b/>
          <w:bCs/>
          <w:szCs w:val="24"/>
        </w:rPr>
        <w:t xml:space="preserve"> Fig S3</w:t>
      </w:r>
      <w:r>
        <w:rPr>
          <w:rFonts w:ascii="Arial" w:hAnsi="Arial" w:cs="Arial"/>
          <w:szCs w:val="24"/>
        </w:rPr>
        <w:t>. (</w:t>
      </w:r>
      <w:r>
        <w:rPr>
          <w:rFonts w:ascii="Arial" w:hAnsi="Arial" w:cs="Arial"/>
          <w:b/>
          <w:bCs/>
          <w:szCs w:val="24"/>
        </w:rPr>
        <w:t>A</w:t>
      </w:r>
      <w:r>
        <w:rPr>
          <w:rFonts w:ascii="Arial" w:hAnsi="Arial" w:cs="Arial"/>
          <w:szCs w:val="24"/>
        </w:rPr>
        <w:t>) KM survival curves showing the survival differences between different risk groups in the validation set samples. (</w:t>
      </w:r>
      <w:r>
        <w:rPr>
          <w:rFonts w:ascii="Arial" w:hAnsi="Arial" w:cs="Arial"/>
          <w:b/>
          <w:bCs/>
          <w:szCs w:val="24"/>
        </w:rPr>
        <w:t>B</w:t>
      </w:r>
      <w:r>
        <w:rPr>
          <w:rFonts w:ascii="Arial" w:hAnsi="Arial" w:cs="Arial"/>
          <w:szCs w:val="24"/>
        </w:rPr>
        <w:t>) Heatmaps depicting prognostic gene expression profiles across risk groups within the validation cohort. (</w:t>
      </w:r>
      <w:r>
        <w:rPr>
          <w:rFonts w:ascii="Arial" w:hAnsi="Arial" w:cs="Arial"/>
          <w:b/>
          <w:bCs/>
          <w:szCs w:val="24"/>
        </w:rPr>
        <w:t>C</w:t>
      </w:r>
      <w:r>
        <w:rPr>
          <w:rFonts w:ascii="Arial" w:hAnsi="Arial" w:cs="Arial"/>
          <w:szCs w:val="24"/>
        </w:rPr>
        <w:t>) Comparison of model-derived risk scores between high- and low-risk patients in the validation set. (</w:t>
      </w:r>
      <w:r>
        <w:rPr>
          <w:rFonts w:ascii="Arial" w:hAnsi="Arial" w:cs="Arial"/>
          <w:b/>
          <w:bCs/>
          <w:szCs w:val="24"/>
        </w:rPr>
        <w:t>D</w:t>
      </w:r>
      <w:r>
        <w:rPr>
          <w:rFonts w:ascii="Arial" w:hAnsi="Arial" w:cs="Arial"/>
          <w:szCs w:val="24"/>
        </w:rPr>
        <w:t xml:space="preserve">) Comparison of survival status among patients with different risk levels in the validation set. </w:t>
      </w:r>
      <w:r>
        <w:rPr>
          <w:rFonts w:ascii="Arial" w:hAnsi="Arial" w:cs="Arial"/>
          <w:b/>
          <w:bCs/>
          <w:szCs w:val="24"/>
        </w:rPr>
        <w:t>Table S1</w:t>
      </w:r>
      <w:r>
        <w:rPr>
          <w:rFonts w:ascii="Arial" w:hAnsi="Arial" w:cs="Arial"/>
          <w:szCs w:val="24"/>
        </w:rPr>
        <w:t xml:space="preserve">. The list of ac4C modification -related genes (acRGs). </w:t>
      </w:r>
      <w:r>
        <w:rPr>
          <w:rFonts w:ascii="Arial" w:hAnsi="Arial" w:cs="Arial"/>
          <w:b/>
          <w:bCs/>
          <w:szCs w:val="24"/>
        </w:rPr>
        <w:t>Table S2</w:t>
      </w:r>
      <w:r>
        <w:rPr>
          <w:rFonts w:ascii="Arial" w:hAnsi="Arial" w:cs="Arial"/>
          <w:szCs w:val="24"/>
        </w:rPr>
        <w:t>. The list of genes obtained from LASSO regression, SVM, XGBoost, and RF.</w:t>
      </w:r>
    </w:p>
    <w:p w14:paraId="03C23063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962"/>
    <w:rsid w:val="0008679A"/>
    <w:rsid w:val="000C4033"/>
    <w:rsid w:val="00173ED8"/>
    <w:rsid w:val="004B42CB"/>
    <w:rsid w:val="005F2B46"/>
    <w:rsid w:val="006E1731"/>
    <w:rsid w:val="00866D74"/>
    <w:rsid w:val="00882A73"/>
    <w:rsid w:val="00B260B7"/>
    <w:rsid w:val="00B31962"/>
    <w:rsid w:val="00B85331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4A79E"/>
  <w15:chartTrackingRefBased/>
  <w15:docId w15:val="{F7FB232D-0D67-42B5-AE79-28968088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962"/>
    <w:pPr>
      <w:widowControl w:val="0"/>
      <w:spacing w:after="0" w:line="240" w:lineRule="auto"/>
      <w:jc w:val="both"/>
    </w:pPr>
    <w:rPr>
      <w:rFonts w:ascii="Times New Roman" w:eastAsia="KaiTi" w:hAnsi="Times New Roman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31962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962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962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962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962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962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962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962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962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B31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962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31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962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31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962"/>
    <w:pPr>
      <w:widowControl/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31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962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31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96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2026-04-30T00:44:00Z</dcterms:created>
  <dcterms:modified xsi:type="dcterms:W3CDTF">2026-04-30T00:44:00Z</dcterms:modified>
</cp:coreProperties>
</file>