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963C02">
      <w:pPr>
        <w:jc w:val="left"/>
        <w:rPr>
          <w:rFonts w:cs="Times New Roman"/>
          <w:b/>
          <w:bCs/>
          <w:sz w:val="24"/>
        </w:rPr>
      </w:pPr>
      <w:bookmarkStart w:id="0" w:name="OLE_LINK11"/>
      <w:r>
        <w:rPr>
          <w:rFonts w:cs="Times New Roman"/>
          <w:b/>
          <w:bCs/>
          <w:sz w:val="24"/>
        </w:rPr>
        <w:t xml:space="preserve">Table 1 presents the evaluation system for high-quality development (HQD), organized into five secondary dimensions (innovative, coordinated, green, open, and shared development) and 21 tertiary indicators. Indicator attributes (positive or negative) are also indicated. </w:t>
      </w:r>
    </w:p>
    <w:p w14:paraId="523FE862">
      <w:pPr>
        <w:jc w:val="left"/>
        <w:rPr>
          <w:rFonts w:cs="Times New Roman"/>
          <w:b/>
          <w:bCs/>
          <w:sz w:val="24"/>
        </w:rPr>
      </w:pPr>
      <w:r>
        <w:rPr>
          <w:rFonts w:cs="Times New Roman"/>
          <w:b/>
          <w:bCs/>
          <w:sz w:val="24"/>
        </w:rPr>
        <w:t>Appendix</w:t>
      </w:r>
      <w:bookmarkEnd w:id="0"/>
      <w:r>
        <w:rPr>
          <w:rFonts w:hint="eastAsia" w:cs="Times New Roman"/>
          <w:b/>
          <w:bCs/>
          <w:sz w:val="24"/>
        </w:rPr>
        <w:t xml:space="preserve"> </w:t>
      </w:r>
      <w:r>
        <w:rPr>
          <w:rFonts w:cs="Times New Roman"/>
          <w:b/>
          <w:bCs/>
          <w:sz w:val="24"/>
        </w:rPr>
        <w:t>Table 1 Evaluation system of HQD</w:t>
      </w:r>
    </w:p>
    <w:tbl>
      <w:tblPr>
        <w:tblStyle w:val="15"/>
        <w:tblW w:w="5202" w:type="pct"/>
        <w:tblInd w:w="-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3226"/>
        <w:gridCol w:w="7562"/>
        <w:gridCol w:w="1135"/>
        <w:gridCol w:w="1248"/>
      </w:tblGrid>
      <w:tr w14:paraId="48B54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34" w:type="pct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78C2C693">
            <w:pPr>
              <w:wordWrap w:val="0"/>
              <w:rPr>
                <w:rFonts w:cs="Times New Roman"/>
                <w:b/>
                <w:bCs/>
                <w:color w:val="000000"/>
                <w:szCs w:val="21"/>
              </w:rPr>
            </w:pPr>
            <w:r>
              <w:rPr>
                <w:rFonts w:cs="Times New Roman"/>
                <w:b/>
                <w:bCs/>
                <w:color w:val="000000"/>
                <w:szCs w:val="21"/>
              </w:rPr>
              <w:t xml:space="preserve">Primary </w:t>
            </w:r>
          </w:p>
          <w:p w14:paraId="6348E079">
            <w:pPr>
              <w:wordWrap w:val="0"/>
              <w:rPr>
                <w:rFonts w:cs="Times New Roman"/>
                <w:b/>
                <w:bCs/>
                <w:color w:val="000000"/>
                <w:szCs w:val="21"/>
              </w:rPr>
            </w:pPr>
            <w:r>
              <w:rPr>
                <w:rFonts w:cs="Times New Roman"/>
                <w:b/>
                <w:bCs/>
                <w:color w:val="000000"/>
                <w:szCs w:val="21"/>
              </w:rPr>
              <w:t>Indicators</w:t>
            </w:r>
          </w:p>
        </w:tc>
        <w:tc>
          <w:tcPr>
            <w:tcW w:w="1094" w:type="pct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DD87186">
            <w:pPr>
              <w:wordWrap w:val="0"/>
              <w:rPr>
                <w:rFonts w:cs="Times New Roman"/>
                <w:b/>
                <w:bCs/>
                <w:color w:val="000000"/>
                <w:szCs w:val="21"/>
              </w:rPr>
            </w:pPr>
            <w:r>
              <w:rPr>
                <w:rFonts w:cs="Times New Roman"/>
                <w:b/>
                <w:bCs/>
                <w:color w:val="000000"/>
                <w:szCs w:val="21"/>
              </w:rPr>
              <w:t>Secondary Indicators</w:t>
            </w:r>
          </w:p>
        </w:tc>
        <w:tc>
          <w:tcPr>
            <w:tcW w:w="2563" w:type="pct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3880D46">
            <w:pPr>
              <w:jc w:val="center"/>
              <w:rPr>
                <w:rFonts w:cs="Times New Roman"/>
                <w:b/>
                <w:bCs/>
                <w:color w:val="000000"/>
                <w:szCs w:val="21"/>
              </w:rPr>
            </w:pPr>
            <w:r>
              <w:rPr>
                <w:rFonts w:cs="Times New Roman"/>
                <w:b/>
                <w:bCs/>
                <w:color w:val="000000"/>
                <w:szCs w:val="21"/>
              </w:rPr>
              <w:t>Tertiary Indicators</w:t>
            </w:r>
          </w:p>
        </w:tc>
        <w:tc>
          <w:tcPr>
            <w:tcW w:w="808" w:type="pct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5723057">
            <w:pPr>
              <w:ind w:firstLine="315" w:firstLineChars="150"/>
              <w:rPr>
                <w:rFonts w:cs="Times New Roman"/>
                <w:b/>
                <w:bCs/>
                <w:color w:val="000000"/>
                <w:szCs w:val="21"/>
              </w:rPr>
            </w:pPr>
            <w:r>
              <w:rPr>
                <w:rFonts w:cs="Times New Roman"/>
                <w:b/>
                <w:bCs/>
                <w:color w:val="000000"/>
                <w:szCs w:val="21"/>
              </w:rPr>
              <w:t>Indicator Attributes</w:t>
            </w:r>
          </w:p>
        </w:tc>
      </w:tr>
      <w:tr w14:paraId="6B66F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34" w:type="pct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9D2D1F">
            <w:pPr>
              <w:wordWrap w:val="0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094" w:type="pct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D8F59F">
            <w:pPr>
              <w:wordWrap w:val="0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563" w:type="pct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53BC3C">
            <w:pPr>
              <w:wordWrap w:val="0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694415">
            <w:pPr>
              <w:wordWrap w:val="0"/>
              <w:jc w:val="center"/>
              <w:rPr>
                <w:rFonts w:cs="Times New Roman"/>
                <w:b/>
                <w:bCs/>
                <w:color w:val="000000"/>
                <w:szCs w:val="21"/>
              </w:rPr>
            </w:pPr>
            <w:bookmarkStart w:id="1" w:name="OLE_LINK31"/>
            <w:r>
              <w:rPr>
                <w:rFonts w:cs="Times New Roman"/>
                <w:b/>
                <w:bCs/>
                <w:color w:val="000000"/>
                <w:szCs w:val="21"/>
              </w:rPr>
              <w:t>Variable</w:t>
            </w:r>
            <w:bookmarkEnd w:id="1"/>
          </w:p>
        </w:tc>
        <w:tc>
          <w:tcPr>
            <w:tcW w:w="42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659DE4">
            <w:pPr>
              <w:wordWrap w:val="0"/>
              <w:rPr>
                <w:rFonts w:cs="Times New Roman"/>
                <w:b/>
                <w:bCs/>
                <w:color w:val="000000"/>
                <w:szCs w:val="21"/>
              </w:rPr>
            </w:pPr>
            <w:r>
              <w:rPr>
                <w:rFonts w:cs="Times New Roman"/>
                <w:b/>
                <w:bCs/>
                <w:color w:val="000000"/>
                <w:szCs w:val="21"/>
              </w:rPr>
              <w:t>Attributes</w:t>
            </w:r>
          </w:p>
        </w:tc>
      </w:tr>
      <w:tr w14:paraId="1809A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3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7EED94">
            <w:pPr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 xml:space="preserve">Innovative </w:t>
            </w:r>
          </w:p>
          <w:p w14:paraId="686D429F">
            <w:pPr>
              <w:wordWrap w:val="0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Development</w:t>
            </w:r>
          </w:p>
        </w:tc>
        <w:tc>
          <w:tcPr>
            <w:tcW w:w="109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A1B144">
            <w:pPr>
              <w:wordWrap w:val="0"/>
              <w:jc w:val="left"/>
              <w:rPr>
                <w:rFonts w:cs="Times New Roman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R&amp;D and Education </w:t>
            </w:r>
            <w:r>
              <w:rPr>
                <w:rFonts w:cs="Times New Roman"/>
                <w:color w:val="000000"/>
                <w:szCs w:val="21"/>
              </w:rPr>
              <w:t>Expenditure</w:t>
            </w:r>
          </w:p>
        </w:tc>
        <w:tc>
          <w:tcPr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1A5FEF">
            <w:pPr>
              <w:wordWrap w:val="0"/>
              <w:jc w:val="left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R&amp;D Expenditure / Fiscal Expenditure (%)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DF32B0">
            <w:pPr>
              <w:wordWrap w:val="0"/>
              <w:jc w:val="center"/>
              <w:rPr>
                <w:rFonts w:cs="Times New Roman"/>
                <w:color w:val="000000"/>
                <w:szCs w:val="21"/>
                <w:vertAlign w:val="subscript"/>
              </w:rPr>
            </w:pPr>
            <w:r>
              <w:rPr>
                <w:rFonts w:cs="Times New Roman"/>
                <w:color w:val="000000"/>
                <w:szCs w:val="21"/>
              </w:rPr>
              <w:t>x</w:t>
            </w:r>
            <w:r>
              <w:rPr>
                <w:rFonts w:cs="Times New Roman"/>
                <w:color w:val="000000"/>
                <w:szCs w:val="21"/>
                <w:vertAlign w:val="subscript"/>
              </w:rPr>
              <w:t>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A83BC3">
            <w:pPr>
              <w:wordWrap w:val="0"/>
              <w:jc w:val="center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Positive</w:t>
            </w:r>
          </w:p>
        </w:tc>
      </w:tr>
      <w:tr w14:paraId="7D581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3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4CED82">
            <w:pPr>
              <w:wordWrap w:val="0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09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405A35">
            <w:pPr>
              <w:wordWrap w:val="0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D1961E">
            <w:pPr>
              <w:wordWrap w:val="0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Education Expenditure /</w:t>
            </w:r>
            <w:r>
              <w:rPr>
                <w:rFonts w:hint="eastAsia" w:cs="Times New Roman"/>
                <w:color w:val="000000"/>
                <w:szCs w:val="21"/>
              </w:rPr>
              <w:t xml:space="preserve"> </w:t>
            </w:r>
            <w:r>
              <w:rPr>
                <w:rFonts w:cs="Times New Roman"/>
                <w:color w:val="000000"/>
                <w:szCs w:val="21"/>
              </w:rPr>
              <w:t>Fiscal Expenditure (%)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78E832">
            <w:pPr>
              <w:wordWrap w:val="0"/>
              <w:jc w:val="center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x</w:t>
            </w:r>
            <w:r>
              <w:rPr>
                <w:rFonts w:cs="Times New Roman"/>
                <w:color w:val="000000"/>
                <w:szCs w:val="21"/>
                <w:vertAlign w:val="subscript"/>
              </w:rPr>
              <w:t>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70A432">
            <w:pPr>
              <w:wordWrap w:val="0"/>
              <w:jc w:val="center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Positive</w:t>
            </w:r>
          </w:p>
        </w:tc>
      </w:tr>
      <w:tr w14:paraId="1C974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3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8BF47C">
            <w:pPr>
              <w:wordWrap w:val="0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2EF8D0">
            <w:pPr>
              <w:wordWrap w:val="0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Patent Output</w:t>
            </w:r>
          </w:p>
        </w:tc>
        <w:tc>
          <w:tcPr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0C0D24">
            <w:pPr>
              <w:wordWrap w:val="0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Patent Granted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610628">
            <w:pPr>
              <w:wordWrap w:val="0"/>
              <w:jc w:val="center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x</w:t>
            </w:r>
            <w:r>
              <w:rPr>
                <w:rFonts w:cs="Times New Roman"/>
                <w:color w:val="000000"/>
                <w:szCs w:val="21"/>
                <w:vertAlign w:val="subscript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35EB78">
            <w:pPr>
              <w:wordWrap w:val="0"/>
              <w:jc w:val="center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Positive</w:t>
            </w:r>
          </w:p>
        </w:tc>
      </w:tr>
      <w:tr w14:paraId="2AC68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3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1631B6">
            <w:pPr>
              <w:wordWrap w:val="0"/>
              <w:ind w:left="210" w:hanging="210" w:hangingChars="100"/>
              <w:jc w:val="left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Coordinated</w:t>
            </w:r>
          </w:p>
          <w:p w14:paraId="357E1AAA">
            <w:pPr>
              <w:wordWrap w:val="0"/>
              <w:jc w:val="left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Development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D1B5DD">
            <w:pPr>
              <w:wordWrap w:val="0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Loan-to-deposit Ratio</w:t>
            </w:r>
          </w:p>
        </w:tc>
        <w:tc>
          <w:tcPr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3AAB6A">
            <w:pPr>
              <w:wordWrap w:val="0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Bank loans</w:t>
            </w:r>
            <w:r>
              <w:rPr>
                <w:rFonts w:hint="eastAsia" w:cs="Times New Roman"/>
                <w:color w:val="000000"/>
                <w:szCs w:val="21"/>
              </w:rPr>
              <w:t xml:space="preserve"> </w:t>
            </w:r>
            <w:r>
              <w:rPr>
                <w:rFonts w:cs="Times New Roman"/>
                <w:color w:val="000000"/>
                <w:szCs w:val="21"/>
              </w:rPr>
              <w:t>/</w:t>
            </w:r>
            <w:r>
              <w:rPr>
                <w:rFonts w:hint="eastAsia" w:cs="Times New Roman"/>
                <w:color w:val="000000"/>
                <w:szCs w:val="21"/>
              </w:rPr>
              <w:t xml:space="preserve"> </w:t>
            </w:r>
            <w:r>
              <w:rPr>
                <w:rFonts w:cs="Times New Roman"/>
                <w:color w:val="000000"/>
                <w:szCs w:val="21"/>
              </w:rPr>
              <w:t>deposits (%)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CEC9F6">
            <w:pPr>
              <w:wordWrap w:val="0"/>
              <w:jc w:val="center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x</w:t>
            </w:r>
            <w:r>
              <w:rPr>
                <w:rFonts w:cs="Times New Roman"/>
                <w:color w:val="000000"/>
                <w:szCs w:val="21"/>
                <w:vertAlign w:val="subscript"/>
              </w:rPr>
              <w:t>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26D502">
            <w:pPr>
              <w:wordWrap w:val="0"/>
              <w:jc w:val="center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Positive</w:t>
            </w:r>
          </w:p>
        </w:tc>
      </w:tr>
      <w:tr w14:paraId="03F68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3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C75D4D">
            <w:pPr>
              <w:wordWrap w:val="0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09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5303C1">
            <w:pPr>
              <w:wordWrap w:val="0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 xml:space="preserve">Social Welfare </w:t>
            </w:r>
          </w:p>
        </w:tc>
        <w:tc>
          <w:tcPr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C3C01B">
            <w:pPr>
              <w:wordWrap w:val="0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Per Capita Disposable Income</w:t>
            </w:r>
            <w:r>
              <w:rPr>
                <w:rFonts w:hint="eastAsia" w:cs="Times New Roman"/>
                <w:color w:val="000000"/>
                <w:szCs w:val="21"/>
              </w:rPr>
              <w:t xml:space="preserve"> </w:t>
            </w:r>
            <w:r>
              <w:rPr>
                <w:rFonts w:cs="Times New Roman"/>
                <w:color w:val="000000"/>
                <w:szCs w:val="21"/>
              </w:rPr>
              <w:t>(RMB)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ADA01B">
            <w:pPr>
              <w:wordWrap w:val="0"/>
              <w:jc w:val="center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x</w:t>
            </w:r>
            <w:r>
              <w:rPr>
                <w:rFonts w:cs="Times New Roman"/>
                <w:color w:val="000000"/>
                <w:szCs w:val="21"/>
                <w:vertAlign w:val="subscript"/>
              </w:rPr>
              <w:t>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E3EC8C">
            <w:pPr>
              <w:wordWrap w:val="0"/>
              <w:jc w:val="center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Positive</w:t>
            </w:r>
          </w:p>
        </w:tc>
      </w:tr>
      <w:tr w14:paraId="52DF9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3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BDF8D7">
            <w:pPr>
              <w:wordWrap w:val="0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09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0013EB">
            <w:pPr>
              <w:wordWrap w:val="0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08E09C">
            <w:pPr>
              <w:wordWrap w:val="0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Non-real Estate Investment</w:t>
            </w:r>
            <w:r>
              <w:rPr>
                <w:rFonts w:hint="eastAsia" w:cs="Times New Roman"/>
                <w:color w:val="000000"/>
                <w:szCs w:val="21"/>
              </w:rPr>
              <w:t xml:space="preserve"> </w:t>
            </w:r>
            <w:r>
              <w:rPr>
                <w:rFonts w:cs="Times New Roman"/>
                <w:color w:val="000000"/>
                <w:szCs w:val="21"/>
              </w:rPr>
              <w:t>/ Total Fixed Asset Investment</w:t>
            </w:r>
            <w:r>
              <w:rPr>
                <w:rFonts w:hint="eastAsia" w:cs="Times New Roman"/>
                <w:color w:val="000000"/>
                <w:szCs w:val="21"/>
              </w:rPr>
              <w:t xml:space="preserve"> </w:t>
            </w:r>
            <w:r>
              <w:rPr>
                <w:rFonts w:cs="Times New Roman"/>
                <w:color w:val="000000"/>
                <w:szCs w:val="21"/>
              </w:rPr>
              <w:t>(%)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9D8A06">
            <w:pPr>
              <w:wordWrap w:val="0"/>
              <w:jc w:val="center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x</w:t>
            </w:r>
            <w:r>
              <w:rPr>
                <w:rFonts w:cs="Times New Roman"/>
                <w:color w:val="000000"/>
                <w:szCs w:val="21"/>
                <w:vertAlign w:val="subscript"/>
              </w:rPr>
              <w:t>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C501B6">
            <w:pPr>
              <w:wordWrap w:val="0"/>
              <w:jc w:val="center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Positive</w:t>
            </w:r>
          </w:p>
        </w:tc>
      </w:tr>
      <w:tr w14:paraId="5A667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3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616B4A">
            <w:pPr>
              <w:wordWrap w:val="0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5DE740">
            <w:pPr>
              <w:wordWrap w:val="0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Industrial Structure</w:t>
            </w:r>
          </w:p>
        </w:tc>
        <w:tc>
          <w:tcPr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7D5546">
            <w:pPr>
              <w:wordWrap w:val="0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Share of Tertiary Industry</w:t>
            </w:r>
            <w:r>
              <w:rPr>
                <w:rFonts w:hint="eastAsia" w:cs="Times New Roman"/>
                <w:color w:val="000000"/>
                <w:szCs w:val="21"/>
              </w:rPr>
              <w:t xml:space="preserve"> </w:t>
            </w:r>
            <w:r>
              <w:rPr>
                <w:rFonts w:cs="Times New Roman"/>
                <w:color w:val="000000"/>
                <w:szCs w:val="21"/>
              </w:rPr>
              <w:t>(%)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3D1BCD">
            <w:pPr>
              <w:wordWrap w:val="0"/>
              <w:jc w:val="center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x</w:t>
            </w:r>
            <w:r>
              <w:rPr>
                <w:rFonts w:cs="Times New Roman"/>
                <w:color w:val="000000"/>
                <w:szCs w:val="21"/>
                <w:vertAlign w:val="subscript"/>
              </w:rPr>
              <w:t>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6031E1">
            <w:pPr>
              <w:wordWrap w:val="0"/>
              <w:jc w:val="center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Positive</w:t>
            </w:r>
          </w:p>
        </w:tc>
      </w:tr>
      <w:tr w14:paraId="5BE8B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3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ED2FE6">
            <w:pPr>
              <w:wordWrap w:val="0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 xml:space="preserve">Open </w:t>
            </w:r>
          </w:p>
          <w:p w14:paraId="2E5351D0">
            <w:pPr>
              <w:wordWrap w:val="0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 xml:space="preserve">Development </w:t>
            </w:r>
          </w:p>
          <w:p w14:paraId="4D766870">
            <w:pPr>
              <w:wordWrap w:val="0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915C4A">
            <w:pPr>
              <w:wordWrap w:val="0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Foreign Investment</w:t>
            </w:r>
          </w:p>
        </w:tc>
        <w:tc>
          <w:tcPr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8E674A">
            <w:pPr>
              <w:wordWrap w:val="0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Foreign Capital Utilization</w:t>
            </w:r>
            <w:r>
              <w:rPr>
                <w:rFonts w:hint="eastAsia" w:cs="Times New Roman"/>
                <w:color w:val="000000"/>
                <w:szCs w:val="21"/>
              </w:rPr>
              <w:t>（</w:t>
            </w:r>
            <w:r>
              <w:rPr>
                <w:rFonts w:cs="Times New Roman"/>
                <w:color w:val="000000"/>
                <w:szCs w:val="21"/>
              </w:rPr>
              <w:t>billion U.S. dollars</w:t>
            </w:r>
            <w:r>
              <w:rPr>
                <w:rFonts w:hint="eastAsia" w:cs="Times New Roman"/>
                <w:color w:val="000000"/>
                <w:szCs w:val="21"/>
              </w:rPr>
              <w:t>）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1D44A5">
            <w:pPr>
              <w:wordWrap w:val="0"/>
              <w:jc w:val="center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  <w:vertAlign w:val="subscript"/>
              </w:rPr>
              <w:t>X8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DF41B6">
            <w:pPr>
              <w:wordWrap w:val="0"/>
              <w:jc w:val="center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Negative</w:t>
            </w:r>
          </w:p>
        </w:tc>
      </w:tr>
      <w:tr w14:paraId="47FEE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3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130FC4">
            <w:pPr>
              <w:wordWrap w:val="0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09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508214">
            <w:pPr>
              <w:wordWrap w:val="0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Profile of Foreign Enterprises</w:t>
            </w:r>
          </w:p>
        </w:tc>
        <w:tc>
          <w:tcPr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9B3C18">
            <w:pPr>
              <w:wordWrap w:val="0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Output of Foreign-invested Enterprises</w:t>
            </w:r>
            <w:r>
              <w:rPr>
                <w:rFonts w:hint="eastAsia" w:cs="Times New Roman"/>
                <w:color w:val="000000"/>
                <w:szCs w:val="21"/>
              </w:rPr>
              <w:t>（</w:t>
            </w:r>
            <w:r>
              <w:rPr>
                <w:rFonts w:cs="Times New Roman"/>
                <w:color w:val="000000"/>
                <w:szCs w:val="21"/>
              </w:rPr>
              <w:t>billion RMB</w:t>
            </w:r>
            <w:r>
              <w:rPr>
                <w:rFonts w:hint="eastAsia" w:cs="Times New Roman"/>
                <w:color w:val="000000"/>
                <w:szCs w:val="21"/>
              </w:rPr>
              <w:t>）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5D1DE3">
            <w:pPr>
              <w:wordWrap w:val="0"/>
              <w:jc w:val="center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x</w:t>
            </w:r>
            <w:r>
              <w:rPr>
                <w:rFonts w:cs="Times New Roman"/>
                <w:color w:val="000000"/>
                <w:szCs w:val="21"/>
                <w:vertAlign w:val="subscript"/>
              </w:rPr>
              <w:t>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507E02">
            <w:pPr>
              <w:wordWrap w:val="0"/>
              <w:jc w:val="center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Positive</w:t>
            </w:r>
          </w:p>
        </w:tc>
      </w:tr>
      <w:tr w14:paraId="01F76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3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C393FD">
            <w:pPr>
              <w:wordWrap w:val="0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09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111D90">
            <w:pPr>
              <w:wordWrap w:val="0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A7F030">
            <w:pPr>
              <w:wordWrap w:val="0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Number of Foreign-invested Enterprises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B610DF">
            <w:pPr>
              <w:wordWrap w:val="0"/>
              <w:jc w:val="center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x</w:t>
            </w:r>
            <w:r>
              <w:rPr>
                <w:rFonts w:cs="Times New Roman"/>
                <w:color w:val="000000"/>
                <w:szCs w:val="21"/>
                <w:vertAlign w:val="subscript"/>
              </w:rPr>
              <w:t>10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B1EDA9">
            <w:pPr>
              <w:wordWrap w:val="0"/>
              <w:jc w:val="center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Positive</w:t>
            </w:r>
          </w:p>
        </w:tc>
      </w:tr>
      <w:tr w14:paraId="5B916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53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D7893A">
            <w:pPr>
              <w:wordWrap w:val="0"/>
              <w:jc w:val="center"/>
              <w:rPr>
                <w:rFonts w:cs="Times New Roman"/>
                <w:color w:val="000000"/>
                <w:szCs w:val="21"/>
              </w:rPr>
            </w:pPr>
          </w:p>
          <w:p w14:paraId="09B819D1">
            <w:pPr>
              <w:wordWrap w:val="0"/>
              <w:jc w:val="center"/>
              <w:rPr>
                <w:rFonts w:cs="Times New Roman"/>
                <w:color w:val="000000"/>
                <w:szCs w:val="21"/>
              </w:rPr>
            </w:pPr>
          </w:p>
          <w:p w14:paraId="76C323AE">
            <w:pPr>
              <w:wordWrap w:val="0"/>
              <w:jc w:val="center"/>
              <w:rPr>
                <w:rFonts w:cs="Times New Roman"/>
                <w:color w:val="000000"/>
                <w:szCs w:val="21"/>
              </w:rPr>
            </w:pPr>
          </w:p>
          <w:p w14:paraId="373CC712">
            <w:pPr>
              <w:wordWrap w:val="0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Green</w:t>
            </w:r>
          </w:p>
          <w:p w14:paraId="31ADD009">
            <w:pPr>
              <w:wordWrap w:val="0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Development</w:t>
            </w:r>
          </w:p>
          <w:p w14:paraId="7412C295">
            <w:pPr>
              <w:wordWrap w:val="0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09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BFBBC1">
            <w:pPr>
              <w:wordWrap w:val="0"/>
              <w:jc w:val="left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Pollutant Emissions</w:t>
            </w:r>
          </w:p>
        </w:tc>
        <w:tc>
          <w:tcPr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9284B2">
            <w:pPr>
              <w:wordWrap w:val="0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Industrial Wastewater Discharge/Industrial Output Value</w:t>
            </w:r>
            <w:bookmarkStart w:id="2" w:name="OLE_LINK29"/>
            <w:r>
              <w:rPr>
                <w:rFonts w:cs="Times New Roman"/>
                <w:color w:val="000000"/>
                <w:szCs w:val="21"/>
              </w:rPr>
              <w:t xml:space="preserve"> </w:t>
            </w:r>
            <w:bookmarkStart w:id="3" w:name="OLE_LINK30"/>
            <w:r>
              <w:rPr>
                <w:rFonts w:hint="eastAsia" w:cs="Times New Roman"/>
                <w:color w:val="000000"/>
                <w:szCs w:val="21"/>
              </w:rPr>
              <w:t>(</w:t>
            </w:r>
            <w:r>
              <w:rPr>
                <w:rFonts w:cs="Times New Roman"/>
                <w:color w:val="000000"/>
                <w:szCs w:val="21"/>
              </w:rPr>
              <w:t>t</w:t>
            </w:r>
            <w:r>
              <w:rPr>
                <w:rFonts w:hint="eastAsia" w:cs="Times New Roman"/>
                <w:color w:val="000000"/>
                <w:szCs w:val="21"/>
              </w:rPr>
              <w:t xml:space="preserve"> </w:t>
            </w:r>
            <w:r>
              <w:rPr>
                <w:rFonts w:cs="Times New Roman"/>
                <w:color w:val="000000"/>
                <w:szCs w:val="21"/>
              </w:rPr>
              <w:t>/</w:t>
            </w:r>
            <w:r>
              <w:rPr>
                <w:rFonts w:hint="eastAsia" w:cs="Times New Roman"/>
                <w:color w:val="000000"/>
                <w:szCs w:val="21"/>
              </w:rPr>
              <w:t xml:space="preserve"> </w:t>
            </w:r>
            <w:r>
              <w:rPr>
                <w:rFonts w:cs="Times New Roman"/>
                <w:color w:val="000000"/>
                <w:szCs w:val="21"/>
              </w:rPr>
              <w:t>(10⁴ CNY)</w:t>
            </w:r>
            <w:r>
              <w:rPr>
                <w:rFonts w:hint="eastAsia" w:cs="Times New Roman"/>
                <w:color w:val="000000"/>
                <w:szCs w:val="21"/>
              </w:rPr>
              <w:t>)</w:t>
            </w:r>
            <w:bookmarkEnd w:id="2"/>
            <w:bookmarkEnd w:id="3"/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F99999">
            <w:pPr>
              <w:wordWrap w:val="0"/>
              <w:jc w:val="center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x</w:t>
            </w:r>
            <w:r>
              <w:rPr>
                <w:rFonts w:cs="Times New Roman"/>
                <w:color w:val="000000"/>
                <w:szCs w:val="21"/>
                <w:vertAlign w:val="subscript"/>
              </w:rPr>
              <w:t>11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866304">
            <w:pPr>
              <w:wordWrap w:val="0"/>
              <w:jc w:val="center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Negative</w:t>
            </w:r>
          </w:p>
        </w:tc>
      </w:tr>
      <w:tr w14:paraId="6E24F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3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57400C">
            <w:pPr>
              <w:wordWrap w:val="0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09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40FB8D">
            <w:pPr>
              <w:wordWrap w:val="0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FF3F57">
            <w:pPr>
              <w:wordWrap w:val="0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Industrial Sulfur Dioxide Emissions/Industrial Output Value</w:t>
            </w:r>
            <w:r>
              <w:rPr>
                <w:rFonts w:hint="eastAsia" w:cs="Times New Roman"/>
                <w:color w:val="000000"/>
                <w:szCs w:val="21"/>
              </w:rPr>
              <w:t xml:space="preserve"> (t / (10⁴ CNY))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2DD4D4">
            <w:pPr>
              <w:wordWrap w:val="0"/>
              <w:jc w:val="center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x</w:t>
            </w:r>
            <w:r>
              <w:rPr>
                <w:rFonts w:cs="Times New Roman"/>
                <w:color w:val="000000"/>
                <w:szCs w:val="21"/>
                <w:vertAlign w:val="subscript"/>
              </w:rPr>
              <w:t>12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4ABC42">
            <w:pPr>
              <w:wordWrap w:val="0"/>
              <w:jc w:val="center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Negative</w:t>
            </w:r>
          </w:p>
        </w:tc>
      </w:tr>
      <w:tr w14:paraId="1C8B4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3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4D52C3">
            <w:pPr>
              <w:wordWrap w:val="0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09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6CB69E">
            <w:pPr>
              <w:wordWrap w:val="0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 xml:space="preserve">Sewage treatment </w:t>
            </w:r>
          </w:p>
          <w:p w14:paraId="1CA69295">
            <w:pPr>
              <w:wordWrap w:val="0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522709">
            <w:pPr>
              <w:wordWrap w:val="0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Industrial Smoke and Dust Emission/Industrial Output Value</w:t>
            </w:r>
            <w:r>
              <w:rPr>
                <w:rFonts w:hint="eastAsia" w:cs="Times New Roman"/>
                <w:color w:val="000000"/>
                <w:szCs w:val="21"/>
              </w:rPr>
              <w:t xml:space="preserve"> (t / (10⁴ CNY))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B053FF">
            <w:pPr>
              <w:wordWrap w:val="0"/>
              <w:jc w:val="center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x</w:t>
            </w:r>
            <w:r>
              <w:rPr>
                <w:rFonts w:cs="Times New Roman"/>
                <w:color w:val="000000"/>
                <w:szCs w:val="21"/>
                <w:vertAlign w:val="subscript"/>
              </w:rPr>
              <w:t>13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931B4D">
            <w:pPr>
              <w:wordWrap w:val="0"/>
              <w:jc w:val="center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Negative</w:t>
            </w:r>
          </w:p>
        </w:tc>
      </w:tr>
      <w:tr w14:paraId="72E8E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3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FAA6ED">
            <w:pPr>
              <w:wordWrap w:val="0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09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E2947D">
            <w:pPr>
              <w:wordWrap w:val="0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673056">
            <w:pPr>
              <w:wordWrap w:val="0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Utilization Rate of General Industrial Solid Waste</w:t>
            </w:r>
            <w:r>
              <w:rPr>
                <w:rFonts w:hint="eastAsia" w:cs="Times New Roman"/>
                <w:color w:val="000000"/>
                <w:szCs w:val="21"/>
              </w:rPr>
              <w:t xml:space="preserve"> </w:t>
            </w:r>
            <w:r>
              <w:rPr>
                <w:rFonts w:cs="Times New Roman"/>
                <w:color w:val="000000"/>
                <w:szCs w:val="21"/>
              </w:rPr>
              <w:t>(%)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B64489">
            <w:pPr>
              <w:wordWrap w:val="0"/>
              <w:jc w:val="center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x</w:t>
            </w:r>
            <w:r>
              <w:rPr>
                <w:rFonts w:cs="Times New Roman"/>
                <w:color w:val="000000"/>
                <w:szCs w:val="21"/>
                <w:vertAlign w:val="subscript"/>
              </w:rPr>
              <w:t>14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7007D2">
            <w:pPr>
              <w:wordWrap w:val="0"/>
              <w:jc w:val="center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Positive</w:t>
            </w:r>
          </w:p>
        </w:tc>
      </w:tr>
      <w:tr w14:paraId="3875F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3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919479">
            <w:pPr>
              <w:wordWrap w:val="0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09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F9E26A">
            <w:pPr>
              <w:wordWrap w:val="0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6FCB1C">
            <w:pPr>
              <w:wordWrap w:val="0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Centralized Sewage Treatment Rate</w:t>
            </w:r>
            <w:r>
              <w:rPr>
                <w:rFonts w:hint="eastAsia" w:cs="Times New Roman"/>
                <w:color w:val="000000"/>
                <w:szCs w:val="21"/>
              </w:rPr>
              <w:t xml:space="preserve"> </w:t>
            </w:r>
            <w:r>
              <w:rPr>
                <w:rFonts w:cs="Times New Roman"/>
                <w:color w:val="000000"/>
                <w:szCs w:val="21"/>
              </w:rPr>
              <w:t>(%)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CFB967">
            <w:pPr>
              <w:wordWrap w:val="0"/>
              <w:jc w:val="center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x</w:t>
            </w:r>
            <w:r>
              <w:rPr>
                <w:rFonts w:cs="Times New Roman"/>
                <w:color w:val="000000"/>
                <w:szCs w:val="21"/>
                <w:vertAlign w:val="subscript"/>
              </w:rPr>
              <w:t>15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088227">
            <w:pPr>
              <w:wordWrap w:val="0"/>
              <w:jc w:val="center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Positive</w:t>
            </w:r>
          </w:p>
        </w:tc>
      </w:tr>
      <w:tr w14:paraId="6AC80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3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41EB03">
            <w:pPr>
              <w:wordWrap w:val="0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09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E18D70">
            <w:pPr>
              <w:wordWrap w:val="0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FBAFC5">
            <w:pPr>
              <w:wordWrap w:val="0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Harmless Treatment Rate of Municipal Solid Waste</w:t>
            </w:r>
            <w:r>
              <w:rPr>
                <w:rFonts w:hint="eastAsia" w:cs="Times New Roman"/>
                <w:color w:val="000000"/>
                <w:szCs w:val="21"/>
              </w:rPr>
              <w:t xml:space="preserve"> </w:t>
            </w:r>
            <w:r>
              <w:rPr>
                <w:rFonts w:cs="Times New Roman"/>
                <w:color w:val="000000"/>
                <w:szCs w:val="21"/>
              </w:rPr>
              <w:t>(%)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92E73D">
            <w:pPr>
              <w:wordWrap w:val="0"/>
              <w:jc w:val="center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x</w:t>
            </w:r>
            <w:r>
              <w:rPr>
                <w:rFonts w:cs="Times New Roman"/>
                <w:color w:val="000000"/>
                <w:szCs w:val="21"/>
                <w:vertAlign w:val="subscript"/>
              </w:rPr>
              <w:t>16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BE04B9">
            <w:pPr>
              <w:wordWrap w:val="0"/>
              <w:jc w:val="center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Positive</w:t>
            </w:r>
          </w:p>
        </w:tc>
      </w:tr>
      <w:tr w14:paraId="1F7D3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3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BD694B">
            <w:pPr>
              <w:wordWrap w:val="0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Shared</w:t>
            </w:r>
          </w:p>
          <w:p w14:paraId="7B7D1D83">
            <w:pPr>
              <w:wordWrap w:val="0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Development</w:t>
            </w:r>
          </w:p>
        </w:tc>
        <w:tc>
          <w:tcPr>
            <w:tcW w:w="109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E21E6F">
            <w:pPr>
              <w:wordWrap w:val="0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 xml:space="preserve">Social Welfare </w:t>
            </w:r>
          </w:p>
          <w:p w14:paraId="42B634E8">
            <w:pPr>
              <w:wordWrap w:val="0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18850A">
            <w:pPr>
              <w:wordWrap w:val="0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Number of Physicians</w:t>
            </w:r>
            <w:r>
              <w:rPr>
                <w:rFonts w:hint="eastAsia" w:cs="Times New Roman"/>
                <w:color w:val="000000"/>
                <w:szCs w:val="21"/>
              </w:rPr>
              <w:t xml:space="preserve"> </w:t>
            </w:r>
            <w:r>
              <w:rPr>
                <w:rFonts w:cs="Times New Roman"/>
                <w:color w:val="000000"/>
                <w:szCs w:val="21"/>
              </w:rPr>
              <w:t>/ Population</w:t>
            </w:r>
            <w:r>
              <w:rPr>
                <w:rFonts w:hint="eastAsia" w:cs="Times New Roman"/>
                <w:color w:val="000000"/>
                <w:szCs w:val="21"/>
              </w:rPr>
              <w:t xml:space="preserve"> </w:t>
            </w:r>
            <w:r>
              <w:rPr>
                <w:rFonts w:cs="Times New Roman"/>
                <w:color w:val="000000"/>
                <w:szCs w:val="21"/>
              </w:rPr>
              <w:t>(%)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B4CBE4">
            <w:pPr>
              <w:jc w:val="center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x</w:t>
            </w:r>
            <w:r>
              <w:rPr>
                <w:rFonts w:cs="Times New Roman"/>
                <w:color w:val="000000"/>
                <w:szCs w:val="21"/>
                <w:vertAlign w:val="subscript"/>
              </w:rPr>
              <w:t>17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FEBBF3">
            <w:pPr>
              <w:wordWrap w:val="0"/>
              <w:jc w:val="center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Positive</w:t>
            </w:r>
          </w:p>
        </w:tc>
      </w:tr>
      <w:tr w14:paraId="2A696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3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91D266">
            <w:pPr>
              <w:wordWrap w:val="0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09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41610D">
            <w:pPr>
              <w:wordWrap w:val="0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35334C">
            <w:pPr>
              <w:wordWrap w:val="0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Wages of Employed</w:t>
            </w:r>
            <w:r>
              <w:rPr>
                <w:rFonts w:hint="eastAsia" w:cs="Times New Roman"/>
                <w:color w:val="000000"/>
                <w:szCs w:val="21"/>
              </w:rPr>
              <w:t xml:space="preserve"> </w:t>
            </w:r>
            <w:r>
              <w:rPr>
                <w:rFonts w:cs="Times New Roman"/>
                <w:color w:val="000000"/>
                <w:szCs w:val="21"/>
              </w:rPr>
              <w:t>/</w:t>
            </w:r>
            <w:r>
              <w:rPr>
                <w:rFonts w:hint="eastAsia" w:cs="Times New Roman"/>
                <w:color w:val="000000"/>
                <w:szCs w:val="21"/>
              </w:rPr>
              <w:t xml:space="preserve"> </w:t>
            </w:r>
            <w:r>
              <w:rPr>
                <w:rFonts w:cs="Times New Roman"/>
                <w:color w:val="000000"/>
                <w:szCs w:val="21"/>
              </w:rPr>
              <w:t>Workers</w:t>
            </w:r>
            <w:r>
              <w:rPr>
                <w:rFonts w:hint="eastAsia" w:cs="Times New Roman"/>
                <w:color w:val="000000"/>
                <w:szCs w:val="21"/>
              </w:rPr>
              <w:t xml:space="preserve"> </w:t>
            </w:r>
            <w:r>
              <w:rPr>
                <w:rFonts w:cs="Times New Roman"/>
                <w:color w:val="000000"/>
                <w:szCs w:val="21"/>
              </w:rPr>
              <w:t>(RMB)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FDC2F4">
            <w:pPr>
              <w:wordWrap w:val="0"/>
              <w:jc w:val="center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x</w:t>
            </w:r>
            <w:r>
              <w:rPr>
                <w:rFonts w:cs="Times New Roman"/>
                <w:color w:val="000000"/>
                <w:szCs w:val="21"/>
                <w:vertAlign w:val="subscript"/>
              </w:rPr>
              <w:t>18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2CC40A">
            <w:pPr>
              <w:wordWrap w:val="0"/>
              <w:jc w:val="center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Positive</w:t>
            </w:r>
          </w:p>
        </w:tc>
      </w:tr>
      <w:tr w14:paraId="666FF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3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6EB14B">
            <w:pPr>
              <w:wordWrap w:val="0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09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945E5B">
            <w:pPr>
              <w:wordWrap w:val="0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F48B8E">
            <w:pPr>
              <w:wordWrap w:val="0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Urban Greening Rate</w:t>
            </w:r>
            <w:r>
              <w:rPr>
                <w:rFonts w:hint="eastAsia" w:cs="Times New Roman"/>
                <w:color w:val="000000"/>
                <w:szCs w:val="21"/>
              </w:rPr>
              <w:t xml:space="preserve"> </w:t>
            </w:r>
            <w:r>
              <w:rPr>
                <w:rFonts w:cs="Times New Roman"/>
                <w:color w:val="000000"/>
                <w:szCs w:val="21"/>
              </w:rPr>
              <w:t>(%)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9ABB83">
            <w:pPr>
              <w:wordWrap w:val="0"/>
              <w:jc w:val="center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x</w:t>
            </w:r>
            <w:r>
              <w:rPr>
                <w:rFonts w:cs="Times New Roman"/>
                <w:color w:val="000000"/>
                <w:szCs w:val="21"/>
                <w:vertAlign w:val="subscript"/>
              </w:rPr>
              <w:t>19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18688D">
            <w:pPr>
              <w:wordWrap w:val="0"/>
              <w:jc w:val="center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Positive</w:t>
            </w:r>
          </w:p>
        </w:tc>
      </w:tr>
      <w:tr w14:paraId="06EDA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3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C4FC0C">
            <w:pPr>
              <w:wordWrap w:val="0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064A8C">
            <w:pPr>
              <w:wordWrap w:val="0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 xml:space="preserve">Final Consumption Rate </w:t>
            </w:r>
          </w:p>
        </w:tc>
        <w:tc>
          <w:tcPr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66D62B">
            <w:pPr>
              <w:wordWrap w:val="0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Total Retail Sales of Consumer Goods /</w:t>
            </w:r>
            <w:r>
              <w:rPr>
                <w:rFonts w:hint="eastAsia" w:cs="Times New Roman"/>
                <w:color w:val="000000"/>
                <w:szCs w:val="21"/>
              </w:rPr>
              <w:t xml:space="preserve"> </w:t>
            </w:r>
            <w:r>
              <w:rPr>
                <w:rFonts w:cs="Times New Roman"/>
                <w:color w:val="000000"/>
                <w:szCs w:val="21"/>
              </w:rPr>
              <w:t>GDP</w:t>
            </w:r>
            <w:r>
              <w:rPr>
                <w:rFonts w:hint="eastAsia" w:cs="Times New Roman"/>
                <w:color w:val="000000"/>
                <w:szCs w:val="21"/>
              </w:rPr>
              <w:t xml:space="preserve"> </w:t>
            </w:r>
            <w:r>
              <w:rPr>
                <w:rFonts w:cs="Times New Roman"/>
                <w:color w:val="000000"/>
                <w:szCs w:val="21"/>
              </w:rPr>
              <w:t>(%)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330C75">
            <w:pPr>
              <w:wordWrap w:val="0"/>
              <w:jc w:val="center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x</w:t>
            </w:r>
            <w:r>
              <w:rPr>
                <w:rFonts w:cs="Times New Roman"/>
                <w:color w:val="000000"/>
                <w:szCs w:val="21"/>
                <w:vertAlign w:val="subscript"/>
              </w:rPr>
              <w:t>20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71C05D">
            <w:pPr>
              <w:wordWrap w:val="0"/>
              <w:jc w:val="center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Positive</w:t>
            </w:r>
          </w:p>
        </w:tc>
      </w:tr>
      <w:tr w14:paraId="68360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34" w:type="pct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5BF2303">
            <w:pPr>
              <w:wordWrap w:val="0"/>
              <w:rPr>
                <w:rFonts w:cs="Times New Roman"/>
                <w:color w:val="000000"/>
                <w:szCs w:val="21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0AF28CA">
            <w:pPr>
              <w:wordWrap w:val="0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Fiscal Balance Ratio</w:t>
            </w:r>
          </w:p>
        </w:tc>
        <w:tc>
          <w:tcPr>
            <w:tcW w:w="256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ABCD382">
            <w:pPr>
              <w:wordWrap w:val="0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Fiscal Expenditure</w:t>
            </w:r>
            <w:r>
              <w:rPr>
                <w:rFonts w:hint="eastAsia" w:cs="Times New Roman"/>
                <w:color w:val="000000"/>
                <w:szCs w:val="21"/>
              </w:rPr>
              <w:t xml:space="preserve"> </w:t>
            </w:r>
            <w:r>
              <w:rPr>
                <w:rFonts w:cs="Times New Roman"/>
                <w:color w:val="000000"/>
                <w:szCs w:val="21"/>
              </w:rPr>
              <w:t>/ Fiscal Revenue</w:t>
            </w:r>
            <w:r>
              <w:rPr>
                <w:rFonts w:hint="eastAsia" w:cs="Times New Roman"/>
                <w:color w:val="000000"/>
                <w:szCs w:val="21"/>
              </w:rPr>
              <w:t xml:space="preserve"> </w:t>
            </w:r>
            <w:r>
              <w:rPr>
                <w:rFonts w:cs="Times New Roman"/>
                <w:color w:val="000000"/>
                <w:szCs w:val="21"/>
              </w:rPr>
              <w:t>(%)</w:t>
            </w:r>
          </w:p>
        </w:tc>
        <w:tc>
          <w:tcPr>
            <w:tcW w:w="38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90ADB1A">
            <w:pPr>
              <w:wordWrap w:val="0"/>
              <w:jc w:val="center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x</w:t>
            </w:r>
            <w:r>
              <w:rPr>
                <w:rFonts w:cs="Times New Roman"/>
                <w:color w:val="000000"/>
                <w:szCs w:val="21"/>
                <w:vertAlign w:val="subscript"/>
              </w:rPr>
              <w:t>21</w:t>
            </w:r>
          </w:p>
        </w:tc>
        <w:tc>
          <w:tcPr>
            <w:tcW w:w="42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08422C1">
            <w:pPr>
              <w:wordWrap w:val="0"/>
              <w:jc w:val="center"/>
              <w:rPr>
                <w:rFonts w:cs="Times New Roman"/>
                <w:color w:val="000000"/>
                <w:szCs w:val="21"/>
              </w:rPr>
            </w:pPr>
            <w:r>
              <w:rPr>
                <w:rFonts w:cs="Times New Roman"/>
                <w:color w:val="000000"/>
                <w:szCs w:val="21"/>
              </w:rPr>
              <w:t>Negative</w:t>
            </w:r>
          </w:p>
        </w:tc>
      </w:tr>
    </w:tbl>
    <w:p w14:paraId="4CFF580E">
      <w:pPr>
        <w:rPr>
          <w:rFonts w:cs="Times New Roman"/>
          <w:sz w:val="24"/>
        </w:rPr>
      </w:pPr>
      <w:r>
        <w:rPr>
          <w:rFonts w:cs="Times New Roman"/>
          <w:b/>
          <w:bCs/>
          <w:sz w:val="24"/>
        </w:rPr>
        <w:t>Table 2 compares the weighting parameters for HQD indicators derived from three methods: Analytic Hierarchy Process (AHP), Data Envelopment Analysis (DEA), and Entropy Weight Method (EWM).</w:t>
      </w:r>
    </w:p>
    <w:p w14:paraId="2BE4D0AF">
      <w:pPr>
        <w:jc w:val="left"/>
        <w:rPr>
          <w:rFonts w:cs="Times New Roman"/>
          <w:b/>
          <w:bCs/>
          <w:sz w:val="24"/>
        </w:rPr>
      </w:pPr>
      <w:r>
        <w:rPr>
          <w:rFonts w:cs="Times New Roman"/>
          <w:b/>
          <w:bCs/>
          <w:sz w:val="24"/>
        </w:rPr>
        <w:t>Appendix</w:t>
      </w:r>
      <w:r>
        <w:rPr>
          <w:rFonts w:hint="eastAsia" w:cs="Times New Roman"/>
          <w:b/>
          <w:bCs/>
          <w:sz w:val="24"/>
        </w:rPr>
        <w:t xml:space="preserve"> </w:t>
      </w:r>
      <w:r>
        <w:rPr>
          <w:rFonts w:cs="Times New Roman"/>
          <w:b/>
          <w:bCs/>
          <w:sz w:val="24"/>
        </w:rPr>
        <w:t>Table 2</w:t>
      </w:r>
      <w:r>
        <w:rPr>
          <w:rFonts w:hint="eastAsia" w:cs="Times New Roman"/>
          <w:b/>
          <w:bCs/>
          <w:sz w:val="24"/>
        </w:rPr>
        <w:t xml:space="preserve"> </w:t>
      </w:r>
      <w:r>
        <w:rPr>
          <w:rFonts w:cs="Times New Roman"/>
          <w:b/>
          <w:bCs/>
          <w:sz w:val="24"/>
        </w:rPr>
        <w:t>Weight Parameter（AHP、DEA、EWM）</w:t>
      </w:r>
    </w:p>
    <w:tbl>
      <w:tblPr>
        <w:tblStyle w:val="15"/>
        <w:tblW w:w="8431" w:type="dxa"/>
        <w:jc w:val="center"/>
        <w:tblLayout w:type="fixed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2629"/>
        <w:gridCol w:w="3208"/>
        <w:gridCol w:w="877"/>
        <w:gridCol w:w="877"/>
        <w:gridCol w:w="840"/>
      </w:tblGrid>
      <w:tr w14:paraId="7FA6ADBC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blHeader/>
          <w:jc w:val="center"/>
        </w:trPr>
        <w:tc>
          <w:tcPr>
            <w:tcW w:w="262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04269A20">
            <w:pPr>
              <w:widowControl/>
              <w:snapToGrid w:val="0"/>
              <w:spacing w:line="21" w:lineRule="atLeast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 xml:space="preserve"> Classified Indicators</w:t>
            </w:r>
          </w:p>
        </w:tc>
        <w:tc>
          <w:tcPr>
            <w:tcW w:w="320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7F37B37">
            <w:pPr>
              <w:widowControl/>
              <w:snapToGrid w:val="0"/>
              <w:spacing w:line="21" w:lineRule="atLeast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 xml:space="preserve"> Sub-indicators</w:t>
            </w:r>
          </w:p>
        </w:tc>
        <w:tc>
          <w:tcPr>
            <w:tcW w:w="87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2CAD2A9">
            <w:pPr>
              <w:widowControl/>
              <w:snapToGrid w:val="0"/>
              <w:spacing w:line="21" w:lineRule="atLeast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AHP</w:t>
            </w:r>
          </w:p>
        </w:tc>
        <w:tc>
          <w:tcPr>
            <w:tcW w:w="87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A006387">
            <w:pPr>
              <w:widowControl/>
              <w:snapToGrid w:val="0"/>
              <w:spacing w:line="21" w:lineRule="atLeast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DEA</w:t>
            </w:r>
          </w:p>
        </w:tc>
        <w:tc>
          <w:tcPr>
            <w:tcW w:w="84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BF70C7B">
            <w:pPr>
              <w:widowControl/>
              <w:snapToGrid w:val="0"/>
              <w:spacing w:line="21" w:lineRule="atLeast"/>
              <w:jc w:val="center"/>
              <w:rPr>
                <w:rFonts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EWM</w:t>
            </w:r>
          </w:p>
        </w:tc>
      </w:tr>
      <w:tr w14:paraId="4E173F4D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12" w:hRule="atLeast"/>
          <w:jc w:val="center"/>
        </w:trPr>
        <w:tc>
          <w:tcPr>
            <w:tcW w:w="2629" w:type="dxa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640A98">
            <w:pPr>
              <w:widowControl/>
              <w:snapToGrid w:val="0"/>
              <w:spacing w:line="21" w:lineRule="atLeast"/>
              <w:jc w:val="center"/>
              <w:rPr>
                <w:rFonts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>Innovation</w:t>
            </w:r>
          </w:p>
          <w:p w14:paraId="70F74873">
            <w:pPr>
              <w:widowControl/>
              <w:snapToGrid w:val="0"/>
              <w:spacing w:line="21" w:lineRule="atLeast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>Development</w:t>
            </w:r>
          </w:p>
        </w:tc>
        <w:tc>
          <w:tcPr>
            <w:tcW w:w="3208" w:type="dxa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A35ECF">
            <w:pPr>
              <w:widowControl/>
              <w:snapToGrid w:val="0"/>
              <w:spacing w:line="21" w:lineRule="atLeast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 xml:space="preserve">Science and Education Input </w:t>
            </w:r>
          </w:p>
        </w:tc>
        <w:tc>
          <w:tcPr>
            <w:tcW w:w="877" w:type="dxa"/>
            <w:vMerge w:val="restart"/>
            <w:tcBorders>
              <w:top w:val="single" w:color="000000" w:sz="4" w:space="0"/>
              <w:left w:val="nil"/>
              <w:bottom w:val="nil"/>
              <w:right w:val="nil"/>
              <w:tl2br w:val="nil"/>
            </w:tcBorders>
            <w:shd w:val="clear" w:color="auto" w:fill="FFFFFF"/>
            <w:vAlign w:val="center"/>
          </w:tcPr>
          <w:p w14:paraId="6B790EED">
            <w:pPr>
              <w:widowControl/>
              <w:snapToGrid w:val="0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>0.0492</w:t>
            </w:r>
          </w:p>
        </w:tc>
        <w:tc>
          <w:tcPr>
            <w:tcW w:w="877" w:type="dxa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3E913C">
            <w:pPr>
              <w:widowControl/>
              <w:snapToGrid w:val="0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>0.0520</w:t>
            </w:r>
          </w:p>
        </w:tc>
        <w:tc>
          <w:tcPr>
            <w:tcW w:w="840" w:type="dxa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567D71">
            <w:pPr>
              <w:widowControl/>
              <w:snapToGrid w:val="0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>0.066</w:t>
            </w:r>
          </w:p>
        </w:tc>
      </w:tr>
      <w:tr w14:paraId="4F968329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12" w:hRule="atLeast"/>
          <w:jc w:val="center"/>
        </w:trPr>
        <w:tc>
          <w:tcPr>
            <w:tcW w:w="262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E45259">
            <w:pPr>
              <w:widowControl/>
              <w:snapToGrid w:val="0"/>
              <w:spacing w:line="21" w:lineRule="atLeast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20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381752">
            <w:pPr>
              <w:widowControl/>
              <w:snapToGrid w:val="0"/>
              <w:spacing w:line="21" w:lineRule="atLeast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7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E3695A">
            <w:pPr>
              <w:widowControl/>
              <w:snapToGrid w:val="0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7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4D5CE3">
            <w:pPr>
              <w:widowControl/>
              <w:snapToGrid w:val="0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F15D57">
            <w:pPr>
              <w:widowControl/>
              <w:snapToGrid w:val="0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14:paraId="6336EA58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jc w:val="center"/>
        </w:trPr>
        <w:tc>
          <w:tcPr>
            <w:tcW w:w="262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328A58">
            <w:pPr>
              <w:widowControl/>
              <w:snapToGrid w:val="0"/>
              <w:spacing w:line="21" w:lineRule="atLeast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F232A1">
            <w:pPr>
              <w:widowControl/>
              <w:snapToGrid w:val="0"/>
              <w:spacing w:line="21" w:lineRule="atLeast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 xml:space="preserve"> Patent level 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8D0A19">
            <w:pPr>
              <w:widowControl/>
              <w:snapToGrid w:val="0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>0.0562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C96973">
            <w:pPr>
              <w:widowControl/>
              <w:snapToGrid w:val="0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>0.0428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DF5119">
            <w:pPr>
              <w:widowControl/>
              <w:snapToGrid w:val="0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>0.189</w:t>
            </w:r>
          </w:p>
        </w:tc>
      </w:tr>
      <w:tr w14:paraId="4205541B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jc w:val="center"/>
        </w:trPr>
        <w:tc>
          <w:tcPr>
            <w:tcW w:w="2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C92FFF">
            <w:pPr>
              <w:widowControl/>
              <w:snapToGrid w:val="0"/>
              <w:spacing w:line="21" w:lineRule="atLeast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>Coordinate</w:t>
            </w:r>
          </w:p>
          <w:p w14:paraId="5D433768">
            <w:pPr>
              <w:widowControl/>
              <w:snapToGrid w:val="0"/>
              <w:spacing w:line="21" w:lineRule="atLeast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>Development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B16E97">
            <w:pPr>
              <w:widowControl/>
              <w:snapToGrid w:val="0"/>
              <w:spacing w:line="21" w:lineRule="atLeast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 xml:space="preserve">Financial Development 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EC8095">
            <w:pPr>
              <w:widowControl/>
              <w:snapToGrid w:val="0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>0.0071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0D92FD">
            <w:pPr>
              <w:widowControl/>
              <w:snapToGrid w:val="0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>0.0093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CD0353">
            <w:pPr>
              <w:widowControl/>
              <w:snapToGrid w:val="0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>0.007</w:t>
            </w:r>
          </w:p>
        </w:tc>
      </w:tr>
      <w:tr w14:paraId="172FA65B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12" w:hRule="atLeast"/>
          <w:jc w:val="center"/>
        </w:trPr>
        <w:tc>
          <w:tcPr>
            <w:tcW w:w="262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785830">
            <w:pPr>
              <w:widowControl/>
              <w:snapToGrid w:val="0"/>
              <w:spacing w:line="21" w:lineRule="atLeast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2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DC151C">
            <w:pPr>
              <w:widowControl/>
              <w:snapToGrid w:val="0"/>
              <w:spacing w:line="21" w:lineRule="atLeast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 xml:space="preserve">People's livelihood </w:t>
            </w:r>
          </w:p>
        </w:tc>
        <w:tc>
          <w:tcPr>
            <w:tcW w:w="8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22ADAF">
            <w:pPr>
              <w:widowControl/>
              <w:snapToGrid w:val="0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>0.0255</w:t>
            </w:r>
          </w:p>
        </w:tc>
        <w:tc>
          <w:tcPr>
            <w:tcW w:w="8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6DFC99">
            <w:pPr>
              <w:widowControl/>
              <w:snapToGrid w:val="0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>0.0276</w:t>
            </w: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805452">
            <w:pPr>
              <w:widowControl/>
              <w:snapToGrid w:val="0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>0.039</w:t>
            </w:r>
          </w:p>
        </w:tc>
      </w:tr>
      <w:tr w14:paraId="5DF18B58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12" w:hRule="atLeast"/>
          <w:jc w:val="center"/>
        </w:trPr>
        <w:tc>
          <w:tcPr>
            <w:tcW w:w="262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0DBF5C">
            <w:pPr>
              <w:widowControl/>
              <w:snapToGrid w:val="0"/>
              <w:spacing w:line="21" w:lineRule="atLeast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20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72FF25">
            <w:pPr>
              <w:widowControl/>
              <w:snapToGrid w:val="0"/>
              <w:spacing w:line="21" w:lineRule="atLeast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7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B2F64D">
            <w:pPr>
              <w:widowControl/>
              <w:snapToGrid w:val="0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7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9FA2DE">
            <w:pPr>
              <w:widowControl/>
              <w:snapToGrid w:val="0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37EFA6">
            <w:pPr>
              <w:widowControl/>
              <w:snapToGrid w:val="0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14:paraId="615EDD26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jc w:val="center"/>
        </w:trPr>
        <w:tc>
          <w:tcPr>
            <w:tcW w:w="262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7B9938">
            <w:pPr>
              <w:widowControl/>
              <w:snapToGrid w:val="0"/>
              <w:spacing w:line="21" w:lineRule="atLeast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B1C28D">
            <w:pPr>
              <w:widowControl/>
              <w:snapToGrid w:val="0"/>
              <w:spacing w:line="21" w:lineRule="atLeast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 xml:space="preserve"> Industrial structure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816075">
            <w:pPr>
              <w:widowControl/>
              <w:snapToGrid w:val="0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>0.0156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5E3C0D">
            <w:pPr>
              <w:widowControl/>
              <w:snapToGrid w:val="0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>0.0168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328681">
            <w:pPr>
              <w:widowControl/>
              <w:snapToGrid w:val="0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>0.005</w:t>
            </w:r>
          </w:p>
        </w:tc>
      </w:tr>
      <w:tr w14:paraId="09203D59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jc w:val="center"/>
        </w:trPr>
        <w:tc>
          <w:tcPr>
            <w:tcW w:w="2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56F64A">
            <w:pPr>
              <w:widowControl/>
              <w:snapToGrid w:val="0"/>
              <w:spacing w:line="21" w:lineRule="atLeast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 xml:space="preserve">Open </w:t>
            </w:r>
          </w:p>
          <w:p w14:paraId="1633358C">
            <w:pPr>
              <w:widowControl/>
              <w:snapToGrid w:val="0"/>
              <w:spacing w:line="21" w:lineRule="atLeast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 xml:space="preserve">Development </w:t>
            </w:r>
          </w:p>
          <w:p w14:paraId="459A0C55">
            <w:pPr>
              <w:widowControl/>
              <w:snapToGrid w:val="0"/>
              <w:spacing w:line="21" w:lineRule="atLeast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D7F5DD">
            <w:pPr>
              <w:widowControl/>
              <w:snapToGrid w:val="0"/>
              <w:spacing w:line="21" w:lineRule="atLeast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 xml:space="preserve"> Foreign Investment </w:t>
            </w:r>
          </w:p>
          <w:p w14:paraId="15000916">
            <w:pPr>
              <w:widowControl/>
              <w:snapToGrid w:val="0"/>
              <w:spacing w:line="21" w:lineRule="atLeast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>Overview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6956C0">
            <w:pPr>
              <w:widowControl/>
              <w:snapToGrid w:val="0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>0.1725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31E1B7">
            <w:pPr>
              <w:widowControl/>
              <w:snapToGrid w:val="0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</w:p>
          <w:p w14:paraId="4DACD46A">
            <w:pPr>
              <w:widowControl/>
              <w:snapToGrid w:val="0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>0.1812</w:t>
            </w:r>
          </w:p>
          <w:p w14:paraId="7A5DC36A">
            <w:pPr>
              <w:widowControl/>
              <w:snapToGrid w:val="0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1EC2B3">
            <w:pPr>
              <w:widowControl/>
              <w:snapToGrid w:val="0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>0.161</w:t>
            </w:r>
          </w:p>
        </w:tc>
      </w:tr>
      <w:tr w14:paraId="740544B3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jc w:val="center"/>
        </w:trPr>
        <w:tc>
          <w:tcPr>
            <w:tcW w:w="262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DE3D99">
            <w:pPr>
              <w:widowControl/>
              <w:snapToGrid w:val="0"/>
              <w:spacing w:line="21" w:lineRule="atLeast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EDEE3F">
            <w:pPr>
              <w:widowControl/>
              <w:snapToGrid w:val="0"/>
              <w:spacing w:line="21" w:lineRule="atLeast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 xml:space="preserve"> Profile of Foreign </w:t>
            </w:r>
          </w:p>
          <w:p w14:paraId="5ED9D4A8">
            <w:pPr>
              <w:widowControl/>
              <w:snapToGrid w:val="0"/>
              <w:spacing w:line="21" w:lineRule="atLeast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>Enterprises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C00ED7">
            <w:pPr>
              <w:widowControl/>
              <w:snapToGrid w:val="0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>0.4213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0637D5">
            <w:pPr>
              <w:widowControl/>
              <w:snapToGrid w:val="0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>0.4312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98A52B">
            <w:pPr>
              <w:widowControl/>
              <w:snapToGrid w:val="0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>0.407</w:t>
            </w:r>
          </w:p>
        </w:tc>
      </w:tr>
      <w:tr w14:paraId="1A96689A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jc w:val="center"/>
        </w:trPr>
        <w:tc>
          <w:tcPr>
            <w:tcW w:w="2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297E51">
            <w:pPr>
              <w:widowControl/>
              <w:snapToGrid w:val="0"/>
              <w:spacing w:line="21" w:lineRule="atLeast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 xml:space="preserve">Green </w:t>
            </w:r>
          </w:p>
          <w:p w14:paraId="17DFA37F">
            <w:pPr>
              <w:widowControl/>
              <w:snapToGrid w:val="0"/>
              <w:spacing w:line="21" w:lineRule="atLeast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>Development</w:t>
            </w:r>
          </w:p>
          <w:p w14:paraId="79901035">
            <w:pPr>
              <w:widowControl/>
              <w:snapToGrid w:val="0"/>
              <w:spacing w:line="21" w:lineRule="atLeast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CAAFA0">
            <w:pPr>
              <w:widowControl/>
              <w:snapToGrid w:val="0"/>
              <w:spacing w:line="21" w:lineRule="atLeast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 xml:space="preserve">Three wastes emission 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C05608">
            <w:pPr>
              <w:widowControl/>
              <w:snapToGrid w:val="0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>0.0306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B140A2">
            <w:pPr>
              <w:widowControl/>
              <w:snapToGrid w:val="0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>0.0334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094484">
            <w:pPr>
              <w:widowControl/>
              <w:snapToGrid w:val="0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>0.007</w:t>
            </w:r>
          </w:p>
        </w:tc>
      </w:tr>
      <w:tr w14:paraId="6E05BFE9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jc w:val="center"/>
        </w:trPr>
        <w:tc>
          <w:tcPr>
            <w:tcW w:w="262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379DF6">
            <w:pPr>
              <w:widowControl/>
              <w:snapToGrid w:val="0"/>
              <w:spacing w:line="21" w:lineRule="atLeast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B39AD1">
            <w:pPr>
              <w:widowControl/>
              <w:snapToGrid w:val="0"/>
              <w:spacing w:line="21" w:lineRule="atLeast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 xml:space="preserve"> Sewage treatment 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472376">
            <w:pPr>
              <w:widowControl/>
              <w:snapToGrid w:val="0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>0.0106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28300B">
            <w:pPr>
              <w:widowControl/>
              <w:snapToGrid w:val="0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>0.0064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C80F75">
            <w:pPr>
              <w:widowControl/>
              <w:snapToGrid w:val="0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>0.026</w:t>
            </w:r>
          </w:p>
        </w:tc>
      </w:tr>
      <w:tr w14:paraId="1C615CDC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jc w:val="center"/>
        </w:trPr>
        <w:tc>
          <w:tcPr>
            <w:tcW w:w="26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A047A0">
            <w:pPr>
              <w:widowControl/>
              <w:snapToGrid w:val="0"/>
              <w:spacing w:line="21" w:lineRule="atLeast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>Shared</w:t>
            </w:r>
          </w:p>
          <w:p w14:paraId="38E8BA3D">
            <w:pPr>
              <w:widowControl/>
              <w:snapToGrid w:val="0"/>
              <w:spacing w:line="21" w:lineRule="atLeast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>Development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3D8C67">
            <w:pPr>
              <w:widowControl/>
              <w:snapToGrid w:val="0"/>
              <w:spacing w:line="21" w:lineRule="atLeast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 xml:space="preserve"> Social Welfare 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4027E0">
            <w:pPr>
              <w:widowControl/>
              <w:snapToGrid w:val="0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>0.0687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46C21F">
            <w:pPr>
              <w:widowControl/>
              <w:snapToGrid w:val="0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>0.0657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9201F2">
            <w:pPr>
              <w:widowControl/>
              <w:snapToGrid w:val="0"/>
              <w:jc w:val="center"/>
              <w:rPr>
                <w:rFonts w:eastAsia="Segoe UI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>0.047</w:t>
            </w:r>
          </w:p>
        </w:tc>
      </w:tr>
      <w:tr w14:paraId="62025777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jc w:val="center"/>
        </w:trPr>
        <w:tc>
          <w:tcPr>
            <w:tcW w:w="262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342362">
            <w:pPr>
              <w:widowControl/>
              <w:snapToGrid w:val="0"/>
              <w:spacing w:line="21" w:lineRule="atLeast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3E610A">
            <w:pPr>
              <w:widowControl/>
              <w:snapToGrid w:val="0"/>
              <w:spacing w:line="21" w:lineRule="atLeast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 xml:space="preserve">Consumption level 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1D6878">
            <w:pPr>
              <w:widowControl/>
              <w:snapToGrid w:val="0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>0.0162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3D810A">
            <w:pPr>
              <w:widowControl/>
              <w:snapToGrid w:val="0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>0.0151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8C0E02">
            <w:pPr>
              <w:widowControl/>
              <w:snapToGrid w:val="0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>0.006</w:t>
            </w:r>
          </w:p>
        </w:tc>
      </w:tr>
      <w:tr w14:paraId="796167E4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jc w:val="center"/>
        </w:trPr>
        <w:tc>
          <w:tcPr>
            <w:tcW w:w="2629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EE2584F">
            <w:pPr>
              <w:widowControl/>
              <w:snapToGrid w:val="0"/>
              <w:spacing w:line="21" w:lineRule="atLeast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C628DA4">
            <w:pPr>
              <w:widowControl/>
              <w:snapToGrid w:val="0"/>
              <w:spacing w:line="21" w:lineRule="atLeast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 xml:space="preserve">Government burden 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BE0963C">
            <w:pPr>
              <w:widowControl/>
              <w:snapToGrid w:val="0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>0.0304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1F0447A">
            <w:pPr>
              <w:widowControl/>
              <w:snapToGrid w:val="0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>0.0260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97FDD81">
            <w:pPr>
              <w:widowControl/>
              <w:snapToGrid w:val="0"/>
              <w:jc w:val="center"/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eastAsia="Segoe UI" w:cs="Times New Roman"/>
                <w:color w:val="000000"/>
                <w:kern w:val="0"/>
                <w:sz w:val="24"/>
                <w:lang w:bidi="ar"/>
              </w:rPr>
              <w:t>0.038</w:t>
            </w:r>
          </w:p>
        </w:tc>
      </w:tr>
    </w:tbl>
    <w:p w14:paraId="3CD788D0">
      <w:pPr>
        <w:jc w:val="left"/>
        <w:rPr>
          <w:rFonts w:cs="Times New Roman"/>
          <w:b/>
          <w:bCs/>
          <w:sz w:val="24"/>
        </w:rPr>
      </w:pPr>
      <w:bookmarkStart w:id="4" w:name="OLE_LINK10"/>
      <w:r>
        <w:rPr>
          <w:rFonts w:cs="Times New Roman"/>
          <w:b/>
          <w:bCs/>
          <w:sz w:val="24"/>
        </w:rPr>
        <w:t>Table 3 provides the evaluation system for regional carrying capacity (RCC), covering three subsystems: economic development, resource bearing, and environmental carrying. Nineteen tertiary indicators are included with their descriptions.</w:t>
      </w:r>
    </w:p>
    <w:p w14:paraId="45F58317">
      <w:pPr>
        <w:jc w:val="left"/>
        <w:rPr>
          <w:rFonts w:cs="Times New Roman"/>
          <w:b/>
          <w:bCs/>
          <w:sz w:val="24"/>
        </w:rPr>
      </w:pPr>
      <w:r>
        <w:rPr>
          <w:rFonts w:cs="Times New Roman"/>
          <w:b/>
          <w:bCs/>
          <w:sz w:val="24"/>
        </w:rPr>
        <w:t>Appendix</w:t>
      </w:r>
      <w:bookmarkEnd w:id="4"/>
      <w:r>
        <w:rPr>
          <w:rFonts w:hint="eastAsia" w:cs="Times New Roman"/>
          <w:b/>
          <w:bCs/>
          <w:sz w:val="24"/>
        </w:rPr>
        <w:t xml:space="preserve"> </w:t>
      </w:r>
      <w:r>
        <w:rPr>
          <w:rFonts w:cs="Times New Roman"/>
          <w:b/>
          <w:bCs/>
          <w:sz w:val="24"/>
        </w:rPr>
        <w:t xml:space="preserve">Table </w:t>
      </w:r>
      <w:r>
        <w:rPr>
          <w:rFonts w:hint="eastAsia" w:cs="Times New Roman"/>
          <w:b/>
          <w:bCs/>
          <w:sz w:val="24"/>
        </w:rPr>
        <w:t xml:space="preserve">3 </w:t>
      </w:r>
      <w:r>
        <w:rPr>
          <w:rFonts w:cs="Times New Roman"/>
          <w:b/>
          <w:bCs/>
          <w:sz w:val="24"/>
        </w:rPr>
        <w:t>Regional Carrying Capacity Evaluation System</w:t>
      </w:r>
    </w:p>
    <w:tbl>
      <w:tblPr>
        <w:tblStyle w:val="16"/>
        <w:tblW w:w="146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9"/>
        <w:gridCol w:w="5814"/>
        <w:gridCol w:w="103"/>
        <w:gridCol w:w="719"/>
        <w:gridCol w:w="6360"/>
      </w:tblGrid>
      <w:tr w14:paraId="1FD90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76B2E930">
            <w:pPr>
              <w:rPr>
                <w:rFonts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Subsystem</w:t>
            </w:r>
          </w:p>
        </w:tc>
        <w:tc>
          <w:tcPr>
            <w:tcW w:w="581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8A8BC7D">
            <w:pPr>
              <w:rPr>
                <w:rFonts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Indicator layer </w:t>
            </w:r>
          </w:p>
        </w:tc>
        <w:tc>
          <w:tcPr>
            <w:tcW w:w="822" w:type="dxa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C53F08A">
            <w:pPr>
              <w:jc w:val="center"/>
              <w:rPr>
                <w:rFonts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b/>
                <w:bCs/>
                <w:color w:val="000000"/>
                <w:kern w:val="0"/>
                <w:sz w:val="15"/>
                <w:szCs w:val="15"/>
              </w:rPr>
              <w:t>Variable</w:t>
            </w:r>
          </w:p>
        </w:tc>
        <w:tc>
          <w:tcPr>
            <w:tcW w:w="636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B3F8B8B">
            <w:pPr>
              <w:rPr>
                <w:rFonts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Indicator Description</w:t>
            </w:r>
          </w:p>
        </w:tc>
      </w:tr>
      <w:tr w14:paraId="6FD23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99" w:type="dxa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5A8B36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Economic development subsystem</w:t>
            </w:r>
          </w:p>
        </w:tc>
        <w:tc>
          <w:tcPr>
            <w:tcW w:w="5917" w:type="dxa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9B933A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 xml:space="preserve">GDP per capital </w:t>
            </w:r>
            <w:bookmarkStart w:id="5" w:name="OLE_LINK22"/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(RMB)</w:t>
            </w:r>
            <w:bookmarkEnd w:id="5"/>
          </w:p>
        </w:tc>
        <w:tc>
          <w:tcPr>
            <w:tcW w:w="71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6BCE2B">
            <w:pPr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C</w:t>
            </w:r>
            <w:r>
              <w:rPr>
                <w:rFonts w:eastAsia="宋体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636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D12702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The ratio of regional GDP to the resident population</w:t>
            </w:r>
          </w:p>
        </w:tc>
      </w:tr>
      <w:tr w14:paraId="2D864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DE1862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5A5F1D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The proportion of manufacture and tertiary industries (%)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FFAA96">
            <w:pPr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C</w:t>
            </w:r>
            <w:r>
              <w:rPr>
                <w:rFonts w:eastAsia="宋体" w:cs="Times New Roman"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6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40082C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The sum of the output value of tertiary and tertiary industries as a proportion of GDP</w:t>
            </w:r>
          </w:p>
        </w:tc>
      </w:tr>
      <w:tr w14:paraId="2E116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11A948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97DCF0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Per capital disposable income of urban residents (RMB)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03BC5B">
            <w:pPr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C</w:t>
            </w:r>
            <w:r>
              <w:rPr>
                <w:rFonts w:eastAsia="宋体" w:cs="Times New Roman"/>
                <w:color w:val="000000"/>
                <w:kern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6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5DA862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Total annual cash income of urban households after deducting income tax and social security expenditure paid by individuals</w:t>
            </w:r>
          </w:p>
        </w:tc>
      </w:tr>
      <w:tr w14:paraId="05139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0392E9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27E018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Level of Urbanization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CCBE7A">
            <w:pPr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C</w:t>
            </w:r>
            <w:r>
              <w:rPr>
                <w:rFonts w:eastAsia="宋体" w:cs="Times New Roman"/>
                <w:color w:val="000000"/>
                <w:kern w:val="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6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B42C47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The ratio of regional resident urban population to total population</w:t>
            </w:r>
          </w:p>
        </w:tc>
      </w:tr>
      <w:tr w14:paraId="416F6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A61A20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45276D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Per capital net income of farmers (RMB)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06465C">
            <w:pPr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C</w:t>
            </w:r>
            <w:r>
              <w:rPr>
                <w:rFonts w:eastAsia="宋体" w:cs="Times New Roman"/>
                <w:color w:val="000000"/>
                <w:kern w:val="0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6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C5EF05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Rural households' total annual income after deducting the expenses incurred in obtaining the income</w:t>
            </w:r>
          </w:p>
        </w:tc>
      </w:tr>
      <w:tr w14:paraId="63611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608972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  <w:p w14:paraId="3785BD3F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</w:p>
          <w:p w14:paraId="20B9E3C5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</w:p>
          <w:p w14:paraId="1663B3CB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</w:p>
          <w:p w14:paraId="09F52135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Resource bearing subsystem</w:t>
            </w:r>
          </w:p>
        </w:tc>
        <w:tc>
          <w:tcPr>
            <w:tcW w:w="5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07930C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Per capital Cultivated land area (mu-person-¹)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A0EDF3">
            <w:pPr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C</w:t>
            </w:r>
            <w:r>
              <w:rPr>
                <w:rFonts w:eastAsia="宋体" w:cs="Times New Roman"/>
                <w:color w:val="000000"/>
                <w:kern w:val="0"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6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D58520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Cultivated land area per capital in the region</w:t>
            </w:r>
          </w:p>
        </w:tc>
      </w:tr>
      <w:tr w14:paraId="37305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5CB10C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00C976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Per capital Water resources (m</w:t>
            </w:r>
            <w:r>
              <w:rPr>
                <w:rFonts w:eastAsia="宋体" w:cs="Times New Roman"/>
                <w:color w:val="000000"/>
                <w:kern w:val="0"/>
                <w:sz w:val="18"/>
                <w:szCs w:val="18"/>
                <w:vertAlign w:val="superscript"/>
              </w:rPr>
              <w:t>(3) -k-1</w:t>
            </w: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 xml:space="preserve">)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3DA53B">
            <w:pPr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C</w:t>
            </w:r>
            <w:r>
              <w:rPr>
                <w:rFonts w:eastAsia="宋体" w:cs="Times New Roman"/>
                <w:color w:val="000000"/>
                <w:kern w:val="0"/>
                <w:sz w:val="18"/>
                <w:szCs w:val="18"/>
                <w:vertAlign w:val="subscript"/>
              </w:rPr>
              <w:t>7</w:t>
            </w:r>
          </w:p>
        </w:tc>
        <w:tc>
          <w:tcPr>
            <w:tcW w:w="6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F8C1D1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Water resources per person in the region</w:t>
            </w:r>
          </w:p>
        </w:tc>
      </w:tr>
      <w:tr w14:paraId="7871C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DFC7CE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00FC55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Population density (person-km</w:t>
            </w:r>
            <w:r>
              <w:rPr>
                <w:rFonts w:eastAsia="宋体" w:cs="Times New Roman"/>
                <w:color w:val="000000"/>
                <w:kern w:val="0"/>
                <w:sz w:val="18"/>
                <w:szCs w:val="18"/>
                <w:vertAlign w:val="superscript"/>
              </w:rPr>
              <w:t>-2</w:t>
            </w: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 xml:space="preserve">)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DD2231">
            <w:pPr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C</w:t>
            </w:r>
            <w:r>
              <w:rPr>
                <w:rFonts w:eastAsia="宋体" w:cs="Times New Roman"/>
                <w:color w:val="000000"/>
                <w:kern w:val="0"/>
                <w:sz w:val="18"/>
                <w:szCs w:val="18"/>
                <w:vertAlign w:val="subscript"/>
              </w:rPr>
              <w:t>8</w:t>
            </w:r>
          </w:p>
        </w:tc>
        <w:tc>
          <w:tcPr>
            <w:tcW w:w="6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759F6B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The ratio of the total population to total land area in the region</w:t>
            </w:r>
          </w:p>
        </w:tc>
      </w:tr>
      <w:tr w14:paraId="252FE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3357A5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B63560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Energy consumption per unit of regional GDP</w:t>
            </w:r>
          </w:p>
          <w:p w14:paraId="7C2A74F2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(t (standard coal</w:t>
            </w:r>
            <w:r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>)</w:t>
            </w: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 xml:space="preserve">-million yuan-¹)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D5564A">
            <w:pPr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C</w:t>
            </w:r>
            <w:r>
              <w:rPr>
                <w:rFonts w:eastAsia="宋体" w:cs="Times New Roman"/>
                <w:color w:val="000000"/>
                <w:kern w:val="0"/>
                <w:sz w:val="18"/>
                <w:szCs w:val="18"/>
                <w:vertAlign w:val="subscript"/>
              </w:rPr>
              <w:t>9</w:t>
            </w:r>
          </w:p>
        </w:tc>
        <w:tc>
          <w:tcPr>
            <w:tcW w:w="6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5BF76D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Regional GDP energy consumption</w:t>
            </w:r>
          </w:p>
        </w:tc>
      </w:tr>
      <w:tr w14:paraId="603A9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BD8DD2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F67792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Water consumption per 10,000 Yuan of industrial added value</w:t>
            </w:r>
          </w:p>
          <w:p w14:paraId="3C56046A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 xml:space="preserve"> (m</w:t>
            </w:r>
            <w:r>
              <w:rPr>
                <w:rFonts w:eastAsia="宋体" w:cs="Times New Roman"/>
                <w:color w:val="000000"/>
                <w:kern w:val="0"/>
                <w:sz w:val="18"/>
                <w:szCs w:val="18"/>
                <w:vertAlign w:val="superscript"/>
              </w:rPr>
              <w:t>3</w:t>
            </w:r>
            <w:r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 xml:space="preserve">- </w:t>
            </w: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10,000 Yuan</w:t>
            </w:r>
            <w:r>
              <w:rPr>
                <w:rFonts w:eastAsia="宋体" w:cs="Times New Roman"/>
                <w:color w:val="000000"/>
                <w:kern w:val="0"/>
                <w:sz w:val="18"/>
                <w:szCs w:val="18"/>
                <w:vertAlign w:val="superscript"/>
              </w:rPr>
              <w:t>-1</w:t>
            </w: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 xml:space="preserve">)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F43152">
            <w:pPr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C</w:t>
            </w:r>
            <w:r>
              <w:rPr>
                <w:rFonts w:eastAsia="宋体" w:cs="Times New Roman"/>
                <w:color w:val="000000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6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14F653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Water consumption per I million Yuan of industrial value added.</w:t>
            </w:r>
          </w:p>
        </w:tc>
      </w:tr>
      <w:tr w14:paraId="18324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F2C7F9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EE8627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Electricity consumption per 10,000 Yuan GDP (10</w:t>
            </w:r>
            <w:r>
              <w:rPr>
                <w:rFonts w:eastAsia="宋体" w:cs="Times New Roman"/>
                <w:color w:val="000000"/>
                <w:kern w:val="0"/>
                <w:sz w:val="18"/>
                <w:szCs w:val="18"/>
                <w:vertAlign w:val="superscript"/>
              </w:rPr>
              <w:t>4</w:t>
            </w: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 xml:space="preserve">kW-h </w:t>
            </w:r>
            <w:r>
              <w:rPr>
                <w:rFonts w:eastAsia="微软雅黑" w:cs="Times New Roman"/>
                <w:color w:val="000000"/>
                <w:kern w:val="0"/>
                <w:sz w:val="18"/>
                <w:szCs w:val="18"/>
              </w:rPr>
              <w:t xml:space="preserve">- </w:t>
            </w: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10,000 Yuan</w:t>
            </w:r>
            <w:r>
              <w:rPr>
                <w:rFonts w:eastAsia="宋体" w:cs="Times New Roman"/>
                <w:color w:val="000000"/>
                <w:kern w:val="0"/>
                <w:sz w:val="18"/>
                <w:szCs w:val="18"/>
                <w:vertAlign w:val="superscript"/>
              </w:rPr>
              <w:t>-1</w:t>
            </w: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 xml:space="preserve">)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9D792F">
            <w:pPr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C</w:t>
            </w:r>
            <w:r>
              <w:rPr>
                <w:rFonts w:eastAsia="宋体" w:cs="Times New Roman"/>
                <w:color w:val="000000"/>
                <w:kern w:val="0"/>
                <w:sz w:val="18"/>
                <w:szCs w:val="18"/>
                <w:vertAlign w:val="subscript"/>
              </w:rPr>
              <w:t>11</w:t>
            </w:r>
          </w:p>
        </w:tc>
        <w:tc>
          <w:tcPr>
            <w:tcW w:w="6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3ED305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Electricity consumption per 10,000 Yuan of industrial value-added</w:t>
            </w:r>
          </w:p>
        </w:tc>
      </w:tr>
      <w:tr w14:paraId="4D216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5759A8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177A84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Number of beds in hospitals per 10,000 people (10,000 people-¹)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C3F6CA">
            <w:pPr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C</w:t>
            </w:r>
            <w:r>
              <w:rPr>
                <w:rFonts w:eastAsia="宋体" w:cs="Times New Roman"/>
                <w:color w:val="000000"/>
                <w:kern w:val="0"/>
                <w:sz w:val="18"/>
                <w:szCs w:val="18"/>
                <w:vertAlign w:val="subscript"/>
              </w:rPr>
              <w:t>12</w:t>
            </w:r>
          </w:p>
        </w:tc>
        <w:tc>
          <w:tcPr>
            <w:tcW w:w="6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DF7F3F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Number of health institution beds per 10,000 people in the region</w:t>
            </w:r>
          </w:p>
        </w:tc>
      </w:tr>
      <w:tr w14:paraId="7131D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B51EAE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 xml:space="preserve"> Environmental Carrying Subsystem</w:t>
            </w:r>
          </w:p>
        </w:tc>
        <w:tc>
          <w:tcPr>
            <w:tcW w:w="5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66AB31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 xml:space="preserve">Sulfur dioxide emissions (tons)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C23033">
            <w:pPr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C</w:t>
            </w:r>
            <w:r>
              <w:rPr>
                <w:rFonts w:eastAsia="宋体" w:cs="Times New Roman"/>
                <w:color w:val="000000"/>
                <w:kern w:val="0"/>
                <w:sz w:val="18"/>
                <w:szCs w:val="18"/>
                <w:vertAlign w:val="subscript"/>
              </w:rPr>
              <w:t>13</w:t>
            </w:r>
          </w:p>
        </w:tc>
        <w:tc>
          <w:tcPr>
            <w:tcW w:w="6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BFCD3F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Sulfur dioxide emissions per unit of industrial-added value</w:t>
            </w:r>
          </w:p>
        </w:tc>
      </w:tr>
      <w:tr w14:paraId="288C3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114702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DDD9E3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 xml:space="preserve">Emission of </w:t>
            </w:r>
            <w:bookmarkStart w:id="6" w:name="OLE_LINK21"/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nitrogen oxides</w:t>
            </w:r>
            <w:bookmarkEnd w:id="6"/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 xml:space="preserve"> (tons)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FCC237">
            <w:pPr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C</w:t>
            </w:r>
            <w:r>
              <w:rPr>
                <w:rFonts w:eastAsia="宋体" w:cs="Times New Roman"/>
                <w:color w:val="000000"/>
                <w:kern w:val="0"/>
                <w:sz w:val="18"/>
                <w:szCs w:val="18"/>
                <w:vertAlign w:val="subscript"/>
              </w:rPr>
              <w:t>14</w:t>
            </w:r>
          </w:p>
        </w:tc>
        <w:tc>
          <w:tcPr>
            <w:tcW w:w="6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B38F45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NOx emissions per 10,000 Yuan of industrial-added value</w:t>
            </w:r>
          </w:p>
        </w:tc>
      </w:tr>
      <w:tr w14:paraId="262F6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CE047A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8E7DCF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 xml:space="preserve">Smoke (dust) emissions (tons)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7D3E9A">
            <w:pPr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C</w:t>
            </w:r>
            <w:r>
              <w:rPr>
                <w:rFonts w:eastAsia="宋体" w:cs="Times New Roman"/>
                <w:color w:val="000000"/>
                <w:kern w:val="0"/>
                <w:sz w:val="18"/>
                <w:szCs w:val="18"/>
                <w:vertAlign w:val="subscript"/>
              </w:rPr>
              <w:t>15</w:t>
            </w:r>
          </w:p>
        </w:tc>
        <w:tc>
          <w:tcPr>
            <w:tcW w:w="6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D74999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Smoke (powder) dust emissions per unit of industrial-added value</w:t>
            </w:r>
          </w:p>
        </w:tc>
      </w:tr>
      <w:tr w14:paraId="1F2D8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95FA40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AE245E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 xml:space="preserve">Amount of investment in industrial pollution control (10,000 tons)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B6100F">
            <w:pPr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C</w:t>
            </w:r>
            <w:r>
              <w:rPr>
                <w:rFonts w:eastAsia="宋体" w:cs="Times New Roman"/>
                <w:color w:val="000000"/>
                <w:kern w:val="0"/>
                <w:sz w:val="18"/>
                <w:szCs w:val="18"/>
                <w:vertAlign w:val="subscript"/>
              </w:rPr>
              <w:t>16</w:t>
            </w:r>
          </w:p>
        </w:tc>
        <w:tc>
          <w:tcPr>
            <w:tcW w:w="6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92B4C4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Amount of Funds Used for Industrial Pollution Control</w:t>
            </w:r>
          </w:p>
        </w:tc>
      </w:tr>
      <w:tr w14:paraId="2357C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CF649F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53FBE9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Completed Investment in Solid Waste Treatment Projects (10,000 Yuan)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F3CC71">
            <w:pPr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C</w:t>
            </w:r>
            <w:r>
              <w:rPr>
                <w:rFonts w:eastAsia="宋体" w:cs="Times New Roman"/>
                <w:color w:val="000000"/>
                <w:kern w:val="0"/>
                <w:sz w:val="18"/>
                <w:szCs w:val="18"/>
                <w:vertAlign w:val="subscript"/>
              </w:rPr>
              <w:t>17</w:t>
            </w:r>
          </w:p>
        </w:tc>
        <w:tc>
          <w:tcPr>
            <w:tcW w:w="6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F71118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Amount of funds used for solid waste treatment</w:t>
            </w:r>
          </w:p>
        </w:tc>
      </w:tr>
      <w:tr w14:paraId="4B369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118353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E7F573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Forest cover rate</w:t>
            </w: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</w:rPr>
              <w:t xml:space="preserve"> (%)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BFFEA3">
            <w:pPr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C</w:t>
            </w:r>
            <w:r>
              <w:rPr>
                <w:rFonts w:eastAsia="宋体" w:cs="Times New Roman"/>
                <w:color w:val="000000"/>
                <w:kern w:val="0"/>
                <w:sz w:val="18"/>
                <w:szCs w:val="18"/>
                <w:vertAlign w:val="subscript"/>
              </w:rPr>
              <w:t>18</w:t>
            </w:r>
          </w:p>
        </w:tc>
        <w:tc>
          <w:tcPr>
            <w:tcW w:w="6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98A675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The ratio of forest area to total land area in the region</w:t>
            </w:r>
          </w:p>
        </w:tc>
      </w:tr>
      <w:tr w14:paraId="3AE12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9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8749B8C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17" w:type="dxa"/>
            <w:gridSpan w:val="2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C7FF564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Total wastewater discharge (tons)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3F5EB9F">
            <w:pPr>
              <w:jc w:val="center"/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C</w:t>
            </w:r>
            <w:r>
              <w:rPr>
                <w:rFonts w:eastAsia="宋体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>
              <w:rPr>
                <w:rFonts w:hint="eastAsia" w:eastAsia="宋体" w:cs="Times New Roman"/>
                <w:color w:val="000000"/>
                <w:kern w:val="0"/>
                <w:sz w:val="18"/>
                <w:szCs w:val="18"/>
                <w:vertAlign w:val="subscript"/>
              </w:rPr>
              <w:t>9</w:t>
            </w:r>
          </w:p>
        </w:tc>
        <w:tc>
          <w:tcPr>
            <w:tcW w:w="636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C5D1AFD">
            <w:pP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kern w:val="0"/>
                <w:sz w:val="18"/>
                <w:szCs w:val="18"/>
              </w:rPr>
              <w:t>Wastewater discharge per unit of industrial increase</w:t>
            </w:r>
          </w:p>
        </w:tc>
      </w:tr>
    </w:tbl>
    <w:p w14:paraId="6AE68ECB">
      <w:pPr>
        <w:numPr>
          <w:ilvl w:val="255"/>
          <w:numId w:val="0"/>
        </w:numPr>
        <w:ind w:left="709" w:hanging="709"/>
        <w:rPr>
          <w:rFonts w:cs="Times New Roman"/>
          <w:sz w:val="24"/>
        </w:rPr>
        <w:sectPr>
          <w:pgSz w:w="16838" w:h="11906" w:orient="landscape"/>
          <w:pgMar w:top="1797" w:right="1440" w:bottom="1797" w:left="1440" w:header="851" w:footer="992" w:gutter="0"/>
          <w:lnNumType w:countBy="1" w:restart="continuous"/>
          <w:cols w:space="425" w:num="1"/>
          <w:docGrid w:type="lines" w:linePitch="312" w:charSpace="0"/>
        </w:sectPr>
      </w:pPr>
    </w:p>
    <w:p w14:paraId="61FD1AAE">
      <w:pPr>
        <w:jc w:val="left"/>
        <w:rPr>
          <w:rFonts w:cs="Times New Roman"/>
          <w:b/>
          <w:bCs/>
          <w:sz w:val="24"/>
        </w:rPr>
      </w:pPr>
      <w:r>
        <w:rPr>
          <w:rFonts w:cs="Times New Roman"/>
          <w:b/>
          <w:bCs/>
          <w:sz w:val="24"/>
        </w:rPr>
        <w:t>This appendix provides the mathematical formulations of the spatial weight matrices and spatial econometric models used in the main analysis.</w:t>
      </w:r>
    </w:p>
    <w:p w14:paraId="1AEF6D76">
      <w:pPr>
        <w:ind w:firstLine="420"/>
        <w:rPr>
          <w:rFonts w:cs="Times New Roman"/>
          <w:sz w:val="24"/>
        </w:rPr>
      </w:pPr>
      <w:r>
        <w:rPr>
          <w:rFonts w:cs="Times New Roman"/>
          <w:sz w:val="24"/>
        </w:rPr>
        <w:t>The Rook contiguity rule defines a spatial weights matrix as follows:</w:t>
      </w:r>
    </w:p>
    <w:p w14:paraId="6E46FA97">
      <w:pPr>
        <w:pStyle w:val="19"/>
      </w:pPr>
      <w:r>
        <w:rPr>
          <w:rFonts w:hint="eastAsia"/>
          <w:position w:val="-30"/>
        </w:rPr>
        <w:tab/>
      </w:r>
      <w:r>
        <w:rPr>
          <w:position w:val="-30"/>
        </w:rPr>
        <w:object>
          <v:shape id="_x0000_i1025" o:spt="75" type="#_x0000_t75" style="height:37.3pt;width:295.75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KSEE3" ShapeID="_x0000_i1025" DrawAspect="Content" ObjectID="_1468075725" r:id="rId4">
            <o:LockedField>false</o:LockedField>
          </o:OLEObject>
        </w:object>
      </w:r>
      <w:r>
        <w:rPr>
          <w:rFonts w:hint="eastAsia"/>
          <w:position w:val="-30"/>
        </w:rPr>
        <w:tab/>
      </w:r>
      <w:r>
        <w:t>（</w:t>
      </w:r>
      <w:r>
        <w:rPr>
          <w:rFonts w:hint="eastAsia"/>
        </w:rPr>
        <w:t>1</w:t>
      </w:r>
      <w:r>
        <w:t>）</w:t>
      </w:r>
    </w:p>
    <w:p w14:paraId="340871EF">
      <w:pPr>
        <w:ind w:firstLine="420"/>
        <w:rPr>
          <w:rFonts w:cs="Times New Roman"/>
          <w:sz w:val="24"/>
        </w:rPr>
      </w:pPr>
      <w:r>
        <w:rPr>
          <w:rFonts w:cs="Times New Roman"/>
          <w:sz w:val="24"/>
        </w:rPr>
        <w:t>Where:</w:t>
      </w:r>
    </w:p>
    <w:p w14:paraId="4307BA10">
      <w:pPr>
        <w:rPr>
          <w:rFonts w:cs="Times New Roman"/>
          <w:sz w:val="24"/>
        </w:rPr>
      </w:pPr>
      <m:oMath>
        <m:r>
          <m:rPr/>
          <w:rPr>
            <w:rFonts w:ascii="Cambria Math" w:hAnsi="Cambria Math" w:cs="Times New Roman"/>
            <w:sz w:val="24"/>
          </w:rPr>
          <m:t>i</m:t>
        </m:r>
        <m:r>
          <m:rPr/>
          <w:rPr>
            <w:rFonts w:hint="eastAsia" w:ascii="Cambria Math" w:hAnsi="Cambria Math" w:cs="Times New Roman"/>
            <w:sz w:val="24"/>
          </w:rPr>
          <m:t>，</m:t>
        </m:r>
        <m:r>
          <m:rPr/>
          <w:rPr>
            <w:rFonts w:ascii="Cambria Math" w:hAnsi="Cambria Math" w:cs="Times New Roman"/>
            <w:sz w:val="24"/>
          </w:rPr>
          <m:t>j</m:t>
        </m:r>
      </m:oMath>
      <w:r>
        <w:rPr>
          <w:rFonts w:cs="Times New Roman"/>
          <w:sz w:val="24"/>
        </w:rPr>
        <w:t>= indices of spatial units (</w:t>
      </w:r>
      <m:oMath>
        <m:r>
          <m:rPr/>
          <w:rPr>
            <w:rFonts w:ascii="Cambria Math" w:hAnsi="Cambria Math" w:cs="Times New Roman"/>
            <w:sz w:val="24"/>
          </w:rPr>
          <m:t>j</m:t>
        </m:r>
        <m:r>
          <m:rPr/>
          <w:rPr>
            <w:rFonts w:ascii="Cambria Math" w:hAnsi="Cambria Math" w:cs="Cambria Math"/>
            <w:sz w:val="24"/>
          </w:rPr>
          <m:t>∈</m:t>
        </m:r>
        <m:d>
          <m:dPr>
            <m:begChr m:val="["/>
            <m:endChr m:val="]"/>
            <m:ctrlPr>
              <w:rPr>
                <w:rFonts w:ascii="Cambria Math" w:hAnsi="Cambria Math" w:cs="Cambria Math"/>
                <w:i/>
                <w:sz w:val="24"/>
              </w:rPr>
            </m:ctrlPr>
          </m:dPr>
          <m:e>
            <m:r>
              <m:rPr/>
              <w:rPr>
                <w:rFonts w:ascii="Cambria Math" w:hAnsi="Cambria Math" w:cs="Cambria Math"/>
                <w:sz w:val="24"/>
              </w:rPr>
              <m:t>1</m:t>
            </m:r>
            <m:r>
              <m:rPr/>
              <w:rPr>
                <w:rFonts w:hint="eastAsia" w:ascii="Cambria Math" w:hAnsi="Cambria Math" w:cs="Cambria Math"/>
                <w:sz w:val="24"/>
              </w:rPr>
              <m:t>，</m:t>
            </m:r>
            <m:r>
              <m:rPr/>
              <w:rPr>
                <w:rFonts w:ascii="Cambria Math" w:hAnsi="Cambria Math" w:cs="Cambria Math"/>
                <w:sz w:val="24"/>
              </w:rPr>
              <m:t>n</m:t>
            </m:r>
            <m:ctrlPr>
              <w:rPr>
                <w:rFonts w:ascii="Cambria Math" w:hAnsi="Cambria Math" w:cs="Cambria Math"/>
                <w:i/>
                <w:sz w:val="24"/>
              </w:rPr>
            </m:ctrlPr>
          </m:e>
        </m:d>
      </m:oMath>
      <w:r>
        <w:rPr>
          <w:rFonts w:cs="Times New Roman"/>
          <w:sz w:val="24"/>
        </w:rPr>
        <w:t xml:space="preserve">, </w:t>
      </w:r>
      <m:oMath>
        <m:r>
          <m:rPr/>
          <w:rPr>
            <w:rFonts w:ascii="Cambria Math" w:hAnsi="Cambria Math" w:cs="Times New Roman"/>
            <w:sz w:val="24"/>
          </w:rPr>
          <m:t>n</m:t>
        </m:r>
      </m:oMath>
      <w:r>
        <w:rPr>
          <w:rFonts w:cs="Times New Roman"/>
          <w:sz w:val="24"/>
        </w:rPr>
        <w:t xml:space="preserve"> = total number of spatial units).</w:t>
      </w:r>
    </w:p>
    <w:p w14:paraId="1A79C24B">
      <w:pPr>
        <w:ind w:firstLine="420"/>
        <w:rPr>
          <w:rFonts w:cs="Times New Roman"/>
          <w:sz w:val="24"/>
        </w:rPr>
      </w:pPr>
      <w:r>
        <w:rPr>
          <w:rFonts w:cs="Times New Roman"/>
          <w:sz w:val="24"/>
        </w:rPr>
        <w:t>Common boundary = non-zero length border where units physically connect.</w:t>
      </w:r>
    </w:p>
    <w:p w14:paraId="4C1F7FDA">
      <w:pPr>
        <w:rPr>
          <w:rFonts w:cs="Times New Roman"/>
          <w:sz w:val="24"/>
        </w:rPr>
      </w:pPr>
      <w:r>
        <w:rPr>
          <w:rFonts w:cs="Times New Roman"/>
          <w:sz w:val="24"/>
        </w:rPr>
        <w:t xml:space="preserve">Diagonal elements: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</w:rPr>
              <m:t>W</m:t>
            </m:r>
            <m:ctrlPr>
              <w:rPr>
                <w:rFonts w:ascii="Cambria Math" w:hAnsi="Cambria Math" w:cs="Times New Roman"/>
                <w:i/>
                <w:sz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</w:rPr>
              <m:t>ii</m:t>
            </m:r>
            <m:ctrlPr>
              <w:rPr>
                <w:rFonts w:ascii="Cambria Math" w:hAnsi="Cambria Math" w:cs="Times New Roman"/>
                <w:i/>
                <w:sz w:val="24"/>
              </w:rPr>
            </m:ctrlPr>
          </m:sub>
        </m:sSub>
      </m:oMath>
      <w:r>
        <w:rPr>
          <w:rFonts w:cs="Times New Roman"/>
          <w:sz w:val="24"/>
        </w:rPr>
        <w:t>=0 (no self-connection).</w:t>
      </w:r>
      <w:r>
        <w:rPr>
          <w:rFonts w:hint="eastAsia" w:cs="Times New Roman"/>
          <w:sz w:val="24"/>
        </w:rPr>
        <w:t xml:space="preserve"> </w:t>
      </w:r>
      <w:r>
        <w:rPr>
          <w:rFonts w:cs="Times New Roman"/>
          <w:sz w:val="24"/>
        </w:rPr>
        <w:t>Binary weighting: All adjacent units receive equal weight.</w:t>
      </w:r>
    </w:p>
    <w:p w14:paraId="6F78A868">
      <w:pPr>
        <w:ind w:firstLine="420"/>
        <w:rPr>
          <w:rFonts w:cs="Times New Roman"/>
          <w:sz w:val="24"/>
        </w:rPr>
      </w:pPr>
      <w:r>
        <w:rPr>
          <w:rFonts w:cs="Times New Roman"/>
          <w:sz w:val="24"/>
        </w:rPr>
        <w:t>The inverse-distance spatial weights matrix assumes that the strength of spatial interaction decays with increasing distance between spatial units. Its generalized form is expressed as:</w:t>
      </w:r>
    </w:p>
    <w:p w14:paraId="02E1924C">
      <w:pPr>
        <w:pStyle w:val="19"/>
      </w:pPr>
      <w:r>
        <w:rPr>
          <w:rFonts w:hint="eastAsia"/>
          <w:position w:val="-32"/>
        </w:rPr>
        <w:tab/>
      </w:r>
      <w:r>
        <w:rPr>
          <w:position w:val="-32"/>
        </w:rPr>
        <w:object>
          <v:shape id="_x0000_i1026" o:spt="75" type="#_x0000_t75" style="height:37.8pt;width:110.35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Equation.KSEE3" ShapeID="_x0000_i1026" DrawAspect="Content" ObjectID="_1468075726" r:id="rId6">
            <o:LockedField>false</o:LockedField>
          </o:OLEObject>
        </w:object>
      </w:r>
      <w:r>
        <w:rPr>
          <w:rFonts w:hint="eastAsia"/>
          <w:position w:val="-32"/>
        </w:rPr>
        <w:tab/>
      </w:r>
      <w:r>
        <w:t>（</w:t>
      </w:r>
      <w:r>
        <w:rPr>
          <w:rFonts w:hint="eastAsia"/>
        </w:rPr>
        <w:t>2</w:t>
      </w:r>
      <w:r>
        <w:t>）</w:t>
      </w:r>
    </w:p>
    <w:p w14:paraId="22B63278">
      <w:pPr>
        <w:ind w:firstLine="420"/>
        <w:rPr>
          <w:rFonts w:cs="Times New Roman"/>
          <w:sz w:val="24"/>
        </w:rPr>
      </w:pPr>
      <w:r>
        <w:rPr>
          <w:rFonts w:cs="Times New Roman"/>
          <w:sz w:val="24"/>
        </w:rPr>
        <w:t>Where: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m:rPr/>
              <w:rPr>
                <w:rFonts w:ascii="Cambria Math" w:hAnsi="Cambria Math" w:cs="Times New Roman"/>
                <w:sz w:val="22"/>
                <w:szCs w:val="22"/>
              </w:rPr>
              <m:t>d</m:t>
            </m: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e>
          <m:sub>
            <m:r>
              <m:rPr/>
              <w:rPr>
                <w:rFonts w:ascii="Cambria Math" w:hAnsi="Cambria Math" w:cs="Times New Roman"/>
                <w:sz w:val="22"/>
                <w:szCs w:val="22"/>
              </w:rPr>
              <m:t>ij</m:t>
            </m: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ub>
        </m:sSub>
      </m:oMath>
      <w:r>
        <w:rPr>
          <w:rFonts w:cs="Times New Roman"/>
          <w:sz w:val="22"/>
          <w:szCs w:val="22"/>
        </w:rPr>
        <w:t>:</w:t>
      </w:r>
      <w:r>
        <w:rPr>
          <w:rFonts w:cs="Times New Roman"/>
          <w:sz w:val="24"/>
        </w:rPr>
        <w:t xml:space="preserve"> Distance between spatial units </w:t>
      </w:r>
      <m:oMath>
        <m:r>
          <m:rPr/>
          <w:rPr>
            <w:rFonts w:ascii="Cambria Math" w:hAnsi="Cambria Math" w:cs="Times New Roman"/>
            <w:sz w:val="24"/>
          </w:rPr>
          <m:t>i</m:t>
        </m:r>
      </m:oMath>
      <w:r>
        <w:rPr>
          <w:rFonts w:hint="eastAsia" w:hAnsi="Cambria Math" w:cs="Times New Roman"/>
          <w:sz w:val="24"/>
        </w:rPr>
        <w:t xml:space="preserve"> </w:t>
      </w:r>
      <w:r>
        <w:rPr>
          <w:rFonts w:cs="Times New Roman"/>
          <w:sz w:val="24"/>
        </w:rPr>
        <w:t>and </w:t>
      </w:r>
      <m:oMath>
        <m:r>
          <m:rPr/>
          <w:rPr>
            <w:rFonts w:ascii="Cambria Math" w:hAnsi="Cambria Math" w:cs="Times New Roman"/>
            <w:sz w:val="24"/>
          </w:rPr>
          <m:t>j</m:t>
        </m:r>
      </m:oMath>
      <w:r>
        <w:rPr>
          <w:rFonts w:cs="Times New Roman"/>
          <w:sz w:val="24"/>
        </w:rPr>
        <w:t> (e.g., Euclidean, road network, or travel time)</w:t>
      </w:r>
      <w:r>
        <w:rPr>
          <w:rFonts w:hint="eastAsia" w:cs="Times New Roman"/>
          <w:sz w:val="24"/>
        </w:rPr>
        <w:t>;</w:t>
      </w:r>
      <m:oMath>
        <m:r>
          <m:rPr>
            <m:sty m:val="p"/>
          </m:rPr>
          <w:rPr>
            <w:rFonts w:ascii="Cambria Math" w:hAnsi="Cambria Math" w:cs="Times New Roman"/>
            <w:sz w:val="24"/>
          </w:rPr>
          <m:t>α</m:t>
        </m:r>
      </m:oMath>
      <w:r>
        <w:rPr>
          <w:rFonts w:cs="Times New Roman"/>
          <w:sz w:val="24"/>
        </w:rPr>
        <w:t>: Distance decay parameter (exogenous friction coefficient, typically </w:t>
      </w:r>
      <m:oMath>
        <m:r>
          <m:rPr/>
          <w:rPr>
            <w:rFonts w:ascii="Cambria Math" w:hAnsi="Cambria Math" w:cs="Times New Roman"/>
            <w:sz w:val="24"/>
          </w:rPr>
          <m:t>α</m:t>
        </m:r>
        <m:r>
          <m:rPr/>
          <w:rPr>
            <w:rFonts w:ascii="Cambria Math" w:hAnsi="Cambria Math" w:cs="Cambria Math"/>
            <w:sz w:val="24"/>
          </w:rPr>
          <m:t>≥</m:t>
        </m:r>
        <m:r>
          <m:rPr/>
          <w:rPr>
            <w:rFonts w:ascii="Cambria Math" w:hAnsi="Cambria Math" w:cs="Times New Roman"/>
            <w:sz w:val="24"/>
          </w:rPr>
          <m:t>1</m:t>
        </m:r>
      </m:oMath>
      <w:r>
        <w:rPr>
          <w:rFonts w:cs="Times New Roman"/>
          <w:sz w:val="24"/>
        </w:rPr>
        <w:t>)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</w:rPr>
              <m:t>β</m:t>
            </m:r>
            <m:ctrlPr>
              <w:rPr>
                <w:rFonts w:ascii="Cambria Math" w:hAnsi="Cambria Math" w:cs="Times New Roman"/>
                <w:i/>
                <w:sz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</w:rPr>
              <m:t>ij</m:t>
            </m:r>
            <m:ctrlPr>
              <w:rPr>
                <w:rFonts w:ascii="Cambria Math" w:hAnsi="Cambria Math" w:cs="Times New Roman"/>
                <w:i/>
                <w:sz w:val="24"/>
              </w:rPr>
            </m:ctrlPr>
          </m:sub>
        </m:sSub>
      </m:oMath>
      <w:r>
        <w:rPr>
          <w:rFonts w:cs="Times New Roman"/>
          <w:sz w:val="24"/>
        </w:rPr>
        <w:t>: Ratio of shared boundary length between units</w:t>
      </w:r>
      <m:oMath>
        <m:r>
          <m:rPr/>
          <w:rPr>
            <w:rFonts w:ascii="Cambria Math" w:cs="Times New Roman"/>
            <w:sz w:val="24"/>
          </w:rPr>
          <m:t xml:space="preserve"> </m:t>
        </m:r>
        <m:r>
          <m:rPr/>
          <w:rPr>
            <w:rFonts w:ascii="Cambria Math" w:hAnsi="Cambria Math" w:cs="Times New Roman"/>
            <w:sz w:val="24"/>
          </w:rPr>
          <m:t>i</m:t>
        </m:r>
      </m:oMath>
      <w:r>
        <w:rPr>
          <w:rFonts w:hint="eastAsia" w:hAnsi="Cambria Math" w:cs="Times New Roman"/>
          <w:sz w:val="24"/>
        </w:rPr>
        <w:t xml:space="preserve"> </w:t>
      </w:r>
      <w:r>
        <w:rPr>
          <w:rFonts w:cs="Times New Roman"/>
          <w:sz w:val="24"/>
        </w:rPr>
        <w:t>and </w:t>
      </w:r>
      <m:oMath>
        <m:r>
          <m:rPr/>
          <w:rPr>
            <w:rFonts w:ascii="Cambria Math" w:hAnsi="Cambria Math" w:cs="Times New Roman"/>
            <w:sz w:val="24"/>
          </w:rPr>
          <m:t>j</m:t>
        </m:r>
      </m:oMath>
      <w:r>
        <w:rPr>
          <w:rFonts w:cs="Times New Roman"/>
          <w:sz w:val="24"/>
        </w:rPr>
        <w:t> to the total boundary length of unit </w:t>
      </w:r>
      <m:oMath>
        <m:r>
          <m:rPr/>
          <w:rPr>
            <w:rFonts w:ascii="Cambria Math" w:hAnsi="Cambria Math" w:cs="Times New Roman"/>
            <w:sz w:val="24"/>
          </w:rPr>
          <m:t>ij; δ</m:t>
        </m:r>
      </m:oMath>
      <w:r>
        <w:rPr>
          <w:rFonts w:cs="Times New Roman"/>
          <w:sz w:val="24"/>
        </w:rPr>
        <w:t>: Boundary effect coefficient (often set to </w:t>
      </w:r>
      <m:oMath>
        <m:r>
          <m:rPr/>
          <w:rPr>
            <w:rFonts w:ascii="Cambria Math" w:hAnsi="Cambria Math" w:cs="Times New Roman"/>
            <w:sz w:val="24"/>
          </w:rPr>
          <m:t>δ</m:t>
        </m:r>
      </m:oMath>
      <w:r>
        <w:rPr>
          <w:rFonts w:cs="Times New Roman"/>
          <w:sz w:val="24"/>
        </w:rPr>
        <w:t>=0 in practice)</w:t>
      </w:r>
      <w:r>
        <w:rPr>
          <w:rFonts w:hint="eastAsia" w:cs="Times New Roman"/>
          <w:sz w:val="24"/>
        </w:rPr>
        <w:t>.</w:t>
      </w:r>
    </w:p>
    <w:p w14:paraId="42BAFCAA">
      <w:pPr>
        <w:ind w:firstLine="240" w:firstLineChars="100"/>
        <w:rPr>
          <w:rFonts w:cs="Times New Roman"/>
          <w:sz w:val="24"/>
        </w:rPr>
      </w:pPr>
      <w:r>
        <w:rPr>
          <w:rFonts w:cs="Times New Roman"/>
          <w:sz w:val="24"/>
        </w:rPr>
        <w:t>The economic weight matrix constructs spatial interactions based on the relative economic differences between neighboring units rather than absolute differences. The specific</w:t>
      </w:r>
      <w:r>
        <w:rPr>
          <w:rFonts w:hint="eastAsia" w:cs="Times New Roman"/>
          <w:sz w:val="24"/>
        </w:rPr>
        <w:t xml:space="preserve"> </w:t>
      </w:r>
      <w:r>
        <w:rPr>
          <w:rFonts w:cs="Times New Roman"/>
          <w:sz w:val="24"/>
        </w:rPr>
        <w:t>formal is:</w:t>
      </w:r>
    </w:p>
    <w:p w14:paraId="1A7BD2C9">
      <w:pPr>
        <w:pStyle w:val="19"/>
      </w:pPr>
      <w:r>
        <w:rPr>
          <w:rFonts w:hint="eastAsia"/>
          <w:position w:val="-46"/>
        </w:rPr>
        <w:tab/>
      </w:r>
      <w:r>
        <w:rPr>
          <w:position w:val="-46"/>
        </w:rPr>
        <w:object>
          <v:shape id="_x0000_i1027" o:spt="75" type="#_x0000_t75" style="height:52.3pt;width:292.65pt;" o:ole="t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  <o:OLEObject Type="Embed" ProgID="Equation.KSEE3" ShapeID="_x0000_i1027" DrawAspect="Content" ObjectID="_1468075727" r:id="rId8">
            <o:LockedField>false</o:LockedField>
          </o:OLEObject>
        </w:object>
      </w:r>
      <w:r>
        <w:rPr>
          <w:rFonts w:hint="eastAsia"/>
          <w:position w:val="-46"/>
        </w:rPr>
        <w:tab/>
      </w:r>
      <w:r>
        <w:t>（</w:t>
      </w:r>
      <w:r>
        <w:rPr>
          <w:rFonts w:hint="eastAsia"/>
        </w:rPr>
        <w:t>3</w:t>
      </w:r>
      <w:r>
        <w:t>）</w:t>
      </w:r>
    </w:p>
    <w:p w14:paraId="1B52385F">
      <w:pPr>
        <w:ind w:firstLine="420"/>
        <w:rPr>
          <w:rFonts w:cs="Times New Roman"/>
          <w:sz w:val="24"/>
        </w:rPr>
      </w:pPr>
      <w:r>
        <w:rPr>
          <w:rFonts w:cs="Times New Roman"/>
          <w:sz w:val="24"/>
        </w:rPr>
        <w:t>Where:</w:t>
      </w:r>
      <w:r>
        <w:rPr>
          <w:rFonts w:hint="eastAsia" w:cs="Times New Roman"/>
          <w:sz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</w:rPr>
              <m:t>X</m:t>
            </m:r>
            <m:ctrlPr>
              <w:rPr>
                <w:rFonts w:ascii="Cambria Math" w:hAnsi="Cambria Math" w:cs="Times New Roman"/>
                <w:i/>
                <w:sz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</w:rPr>
              <m:t>i</m:t>
            </m:r>
            <m:ctrlPr>
              <w:rPr>
                <w:rFonts w:ascii="Cambria Math" w:hAnsi="Cambria Math" w:cs="Times New Roman"/>
                <w:i/>
                <w:sz w:val="24"/>
              </w:rPr>
            </m:ctrlPr>
          </m:sub>
        </m:sSub>
      </m:oMath>
      <w:r>
        <w:rPr>
          <w:rFonts w:cs="Times New Roman"/>
          <w:sz w:val="24"/>
        </w:rPr>
        <w:t>: Economic variable (e.g., GDP, industrial output) of spatial unit</w:t>
      </w:r>
      <m:oMath>
        <m:r>
          <m:rPr/>
          <w:rPr>
            <w:rFonts w:ascii="Cambria Math" w:cs="Times New Roman"/>
            <w:sz w:val="24"/>
          </w:rPr>
          <m:t xml:space="preserve"> </m:t>
        </m:r>
        <m:r>
          <m:rPr/>
          <w:rPr>
            <w:rFonts w:ascii="Cambria Math" w:hAnsi="Cambria Math" w:cs="Times New Roman"/>
            <w:sz w:val="24"/>
          </w:rPr>
          <m:t>i</m:t>
        </m:r>
      </m:oMath>
      <w:r>
        <w:rPr>
          <w:rFonts w:cs="Times New Roman"/>
          <w:sz w:val="24"/>
        </w:rPr>
        <w:t>.</w:t>
      </w:r>
      <w:r>
        <w:rPr>
          <w:rFonts w:hint="eastAsia" w:cs="Times New Roman"/>
          <w:sz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</w:rPr>
              <m:t>J</m:t>
            </m:r>
            <m:ctrlPr>
              <w:rPr>
                <w:rFonts w:ascii="Cambria Math" w:hAnsi="Cambria Math" w:cs="Times New Roman"/>
                <w:i/>
                <w:sz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</w:rPr>
              <m:t>i</m:t>
            </m:r>
            <m:ctrlPr>
              <w:rPr>
                <w:rFonts w:ascii="Cambria Math" w:hAnsi="Cambria Math" w:cs="Times New Roman"/>
                <w:i/>
                <w:sz w:val="24"/>
              </w:rPr>
            </m:ctrlPr>
          </m:sub>
        </m:sSub>
      </m:oMath>
      <w:r>
        <w:rPr>
          <w:rFonts w:cs="Times New Roman"/>
          <w:sz w:val="24"/>
        </w:rPr>
        <w:t>: Set of all spatial units that share a boundary with unit</w:t>
      </w:r>
      <w:r>
        <w:rPr>
          <w:rFonts w:hint="eastAsia" w:cs="Times New Roman"/>
          <w:sz w:val="24"/>
        </w:rPr>
        <w:t xml:space="preserve"> </w:t>
      </w:r>
      <m:oMath>
        <m:r>
          <m:rPr/>
          <w:rPr>
            <w:rFonts w:ascii="Cambria Math" w:cs="Times New Roman"/>
            <w:sz w:val="24"/>
          </w:rPr>
          <m:t xml:space="preserve"> </m:t>
        </m:r>
        <m:r>
          <m:rPr/>
          <w:rPr>
            <w:rFonts w:ascii="Cambria Math" w:hAnsi="Cambria Math" w:cs="Times New Roman"/>
            <w:sz w:val="24"/>
          </w:rPr>
          <m:t>i</m:t>
        </m:r>
      </m:oMath>
      <w:r>
        <w:rPr>
          <w:rFonts w:cs="Times New Roman"/>
          <w:sz w:val="24"/>
        </w:rPr>
        <w:t>.</w:t>
      </w:r>
      <w:r>
        <w:rPr>
          <w:rFonts w:hint="eastAsia" w:cs="Times New Roman"/>
          <w:sz w:val="24"/>
        </w:rPr>
        <w:t xml:space="preserve"> </w:t>
      </w:r>
      <w:r>
        <w:rPr>
          <w:rFonts w:cs="Times New Roman"/>
          <w:sz w:val="24"/>
        </w:rPr>
        <w:t>Key Feature: Row-standardization is inherently satisfied since 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4"/>
              </w:rPr>
            </m:ctrlPr>
          </m:naryPr>
          <m:sub>
            <m:ctrlPr>
              <w:rPr>
                <w:rFonts w:ascii="Cambria Math" w:hAnsi="Cambria Math" w:cs="Times New Roman"/>
                <w:i/>
                <w:sz w:val="24"/>
              </w:rPr>
            </m:ctrlPr>
          </m:sub>
          <m:sup>
            <m:ctrlPr>
              <w:rPr>
                <w:rFonts w:ascii="Cambria Math" w:hAnsi="Cambria Math" w:cs="Times New Roman"/>
                <w:i/>
                <w:sz w:val="24"/>
              </w:rPr>
            </m:ctrlPr>
          </m:sup>
          <m:e>
            <m:r>
              <m:rPr/>
              <w:rPr>
                <w:rFonts w:ascii="Cambria Math" w:hAnsi="Cambria Math" w:cs="Times New Roman"/>
                <w:sz w:val="24"/>
              </w:rPr>
              <m:t>j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</w:rPr>
                </m:ctrlPr>
              </m:sSubPr>
              <m:e>
                <m:r>
                  <m:rPr/>
                  <w:rPr>
                    <w:rFonts w:ascii="Cambria Math" w:hAnsi="Cambria Math" w:cs="Times New Roman"/>
                    <w:sz w:val="24"/>
                  </w:rPr>
                  <m:t>W</m:t>
                </m:r>
                <m:ctrlPr>
                  <w:rPr>
                    <w:rFonts w:ascii="Cambria Math" w:hAnsi="Cambria Math" w:cs="Times New Roman"/>
                    <w:i/>
                    <w:sz w:val="24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sz w:val="24"/>
                  </w:rPr>
                  <m:t>ij</m:t>
                </m:r>
                <m:ctrlPr>
                  <w:rPr>
                    <w:rFonts w:ascii="Cambria Math" w:hAnsi="Cambria Math" w:cs="Times New Roman"/>
                    <w:i/>
                    <w:sz w:val="24"/>
                  </w:rPr>
                </m:ctrlPr>
              </m:sub>
            </m:sSub>
            <m:ctrlPr>
              <w:rPr>
                <w:rFonts w:ascii="Cambria Math" w:hAnsi="Cambria Math" w:cs="Times New Roman"/>
                <w:i/>
                <w:sz w:val="24"/>
              </w:rPr>
            </m:ctrlPr>
          </m:e>
        </m:nary>
      </m:oMath>
      <w:r>
        <w:rPr>
          <w:rFonts w:cs="Times New Roman"/>
          <w:sz w:val="24"/>
        </w:rPr>
        <w:t> for each </w:t>
      </w:r>
      <m:oMath>
        <m:r>
          <m:rPr/>
          <w:rPr>
            <w:rFonts w:ascii="Cambria Math" w:hAnsi="Cambria Math" w:cs="Times New Roman"/>
            <w:sz w:val="24"/>
          </w:rPr>
          <m:t>i</m:t>
        </m:r>
      </m:oMath>
    </w:p>
    <w:p w14:paraId="3C4955B3">
      <w:pPr>
        <w:widowControl/>
        <w:ind w:firstLine="420"/>
        <w:rPr>
          <w:rFonts w:cs="Times New Roman"/>
          <w:sz w:val="24"/>
        </w:rPr>
      </w:pPr>
      <w:r>
        <w:rPr>
          <w:rFonts w:cs="Times New Roman"/>
          <w:sz w:val="24"/>
        </w:rPr>
        <w:t>The economic-geographical nested weight matrix, which is defined as follows:</w:t>
      </w:r>
      <w:r>
        <w:rPr>
          <w:rFonts w:hint="eastAsia" w:cs="Times New Roman"/>
          <w:sz w:val="24"/>
        </w:rPr>
        <w:t xml:space="preserve"> </w:t>
      </w:r>
      <w:r>
        <w:rPr>
          <w:rFonts w:cs="Times New Roman"/>
          <w:sz w:val="24"/>
        </w:rPr>
        <w:t>the connection strength between spatial units i and j is determined by a double decay mechanism:</w:t>
      </w:r>
    </w:p>
    <w:p w14:paraId="64698EEA">
      <w:pPr>
        <w:pStyle w:val="19"/>
        <w:widowControl/>
      </w:pPr>
      <w:r>
        <w:rPr>
          <w:position w:val="-14"/>
        </w:rPr>
        <w:t xml:space="preserve"> </w:t>
      </w:r>
      <w:r>
        <w:rPr>
          <w:rFonts w:hint="eastAsia"/>
          <w:position w:val="-14"/>
        </w:rPr>
        <w:tab/>
      </w:r>
      <w:r>
        <w:rPr>
          <w:position w:val="-14"/>
        </w:rPr>
        <w:object>
          <v:shape id="_x0000_i1028" o:spt="75" type="#_x0000_t75" style="height:19.7pt;width:131.55pt;" o:ole="t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  <w10:wrap type="none"/>
            <w10:anchorlock/>
          </v:shape>
          <o:OLEObject Type="Embed" ProgID="Equation.KSEE3" ShapeID="_x0000_i1028" DrawAspect="Content" ObjectID="_1468075728" r:id="rId10">
            <o:LockedField>false</o:LockedField>
          </o:OLEObject>
        </w:object>
      </w:r>
      <w:r>
        <w:rPr>
          <w:rFonts w:hint="eastAsia"/>
          <w:position w:val="-14"/>
        </w:rPr>
        <w:tab/>
      </w:r>
      <w:r>
        <w:t>（</w:t>
      </w:r>
      <w:r>
        <w:rPr>
          <w:rFonts w:hint="eastAsia"/>
        </w:rPr>
        <w:t>4</w:t>
      </w:r>
      <w:r>
        <w:t>）</w:t>
      </w:r>
    </w:p>
    <w:p w14:paraId="409C8D83">
      <w:pPr>
        <w:pStyle w:val="19"/>
        <w:widowControl/>
        <w:ind w:firstLine="480" w:firstLineChars="200"/>
        <w:jc w:val="both"/>
      </w:pPr>
      <w:r>
        <w:t xml:space="preserve">Among them: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/>
              <w:rPr>
                <w:rFonts w:ascii="Cambria Math" w:hAnsi="Cambria Math"/>
              </w:rPr>
              <m:t>d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m:rPr/>
              <w:rPr>
                <w:rFonts w:ascii="Cambria Math" w:hAnsi="Cambria Math"/>
              </w:rPr>
              <m:t>ij</m:t>
            </m:r>
            <m:ctrlPr>
              <w:rPr>
                <w:rFonts w:ascii="Cambria Math" w:hAnsi="Cambria Math"/>
                <w:i/>
              </w:rPr>
            </m:ctrlPr>
          </m:sub>
        </m:sSub>
        <m:r>
          <m:rPr/>
          <w:rPr>
            <w:rFonts w:ascii="Cambria Math" w:hAnsi="Cambria Math"/>
          </w:rPr>
          <m:t xml:space="preserve"> </m:t>
        </m:r>
      </m:oMath>
      <w:r>
        <w:t>represents the geographic Euclidean distance, and</w:t>
      </w:r>
      <m:oMath>
        <m:sSub>
          <m:sSubPr>
            <m:ctrlPr>
              <w:rPr>
                <w:rFonts w:ascii="Cambria Math" w:hAnsi="Cambria Math"/>
                <w:i/>
                <w:sz w:val="21"/>
                <w:szCs w:val="22"/>
              </w:rPr>
            </m:ctrlPr>
          </m:sSubPr>
          <m:e>
            <m:r>
              <m:rPr/>
              <w:rPr>
                <w:rFonts w:ascii="Cambria Math" w:hAnsi="Cambria Math"/>
                <w:sz w:val="21"/>
                <w:szCs w:val="22"/>
              </w:rPr>
              <m:t>y</m:t>
            </m:r>
            <m:ctrlPr>
              <w:rPr>
                <w:rFonts w:ascii="Cambria Math" w:hAnsi="Cambria Math"/>
                <w:i/>
                <w:sz w:val="21"/>
                <w:szCs w:val="22"/>
              </w:rPr>
            </m:ctrlPr>
          </m:e>
          <m:sub>
            <m:r>
              <m:rPr/>
              <w:rPr>
                <w:rFonts w:ascii="Cambria Math" w:hAnsi="Cambria Math"/>
                <w:sz w:val="21"/>
                <w:szCs w:val="22"/>
              </w:rPr>
              <m:t>i</m:t>
            </m:r>
            <m:ctrlPr>
              <w:rPr>
                <w:rFonts w:ascii="Cambria Math" w:hAnsi="Cambria Math"/>
                <w:i/>
                <w:sz w:val="21"/>
                <w:szCs w:val="22"/>
              </w:rPr>
            </m:ctrlPr>
          </m:sub>
        </m:sSub>
        <m:r>
          <m:rPr/>
          <w:rPr>
            <w:rFonts w:ascii="Cambria Math" w:hAnsi="Cambria Math"/>
            <w:sz w:val="21"/>
            <w:szCs w:val="22"/>
          </w:rPr>
          <m:t>=ln</m:t>
        </m:r>
        <m:d>
          <m:dPr>
            <m:ctrlPr>
              <w:rPr>
                <w:rFonts w:ascii="Cambria Math" w:hAnsi="Cambria Math"/>
                <w:i/>
                <w:sz w:val="21"/>
                <w:szCs w:val="22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1"/>
                    <w:szCs w:val="22"/>
                  </w:rPr>
                </m:ctrlPr>
              </m:sSubPr>
              <m:e>
                <m:r>
                  <m:rPr/>
                  <w:rPr>
                    <w:rFonts w:ascii="Cambria Math" w:hAnsi="Cambria Math"/>
                    <w:sz w:val="21"/>
                    <w:szCs w:val="22"/>
                  </w:rPr>
                  <m:t>GDP</m:t>
                </m:r>
                <m:ctrlPr>
                  <w:rPr>
                    <w:rFonts w:ascii="Cambria Math" w:hAnsi="Cambria Math"/>
                    <w:i/>
                    <w:sz w:val="21"/>
                    <w:szCs w:val="22"/>
                  </w:rPr>
                </m:ctrlPr>
              </m:e>
              <m:sub>
                <m:r>
                  <m:rPr/>
                  <w:rPr>
                    <w:rFonts w:ascii="Cambria Math" w:hAnsi="Cambria Math"/>
                    <w:sz w:val="21"/>
                    <w:szCs w:val="22"/>
                  </w:rPr>
                  <m:t>i</m:t>
                </m:r>
                <m:ctrlPr>
                  <w:rPr>
                    <w:rFonts w:ascii="Cambria Math" w:hAnsi="Cambria Math"/>
                    <w:i/>
                    <w:sz w:val="21"/>
                    <w:szCs w:val="22"/>
                  </w:rPr>
                </m:ctrlPr>
              </m:sub>
            </m:sSub>
            <m:r>
              <m:rPr/>
              <w:rPr>
                <w:rFonts w:ascii="Cambria Math" w:hAnsi="Cambria Math"/>
                <w:sz w:val="21"/>
                <w:szCs w:val="22"/>
              </w:rPr>
              <m:t>/</m:t>
            </m:r>
            <m:sSub>
              <m:sSubPr>
                <m:ctrlPr>
                  <w:rPr>
                    <w:rFonts w:ascii="Cambria Math" w:hAnsi="Cambria Math"/>
                    <w:i/>
                    <w:sz w:val="21"/>
                    <w:szCs w:val="22"/>
                  </w:rPr>
                </m:ctrlPr>
              </m:sSubPr>
              <m:e>
                <m:r>
                  <m:rPr/>
                  <w:rPr>
                    <w:rFonts w:ascii="Cambria Math" w:hAnsi="Cambria Math"/>
                    <w:sz w:val="21"/>
                    <w:szCs w:val="22"/>
                  </w:rPr>
                  <m:t>Pop</m:t>
                </m:r>
                <m:ctrlPr>
                  <w:rPr>
                    <w:rFonts w:ascii="Cambria Math" w:hAnsi="Cambria Math"/>
                    <w:i/>
                    <w:sz w:val="21"/>
                    <w:szCs w:val="22"/>
                  </w:rPr>
                </m:ctrlPr>
              </m:e>
              <m:sub>
                <m:r>
                  <m:rPr/>
                  <w:rPr>
                    <w:rFonts w:ascii="Cambria Math" w:hAnsi="Cambria Math"/>
                    <w:sz w:val="21"/>
                    <w:szCs w:val="22"/>
                  </w:rPr>
                  <m:t>i</m:t>
                </m:r>
                <m:ctrlPr>
                  <w:rPr>
                    <w:rFonts w:ascii="Cambria Math" w:hAnsi="Cambria Math"/>
                    <w:i/>
                    <w:sz w:val="21"/>
                    <w:szCs w:val="22"/>
                  </w:rPr>
                </m:ctrlPr>
              </m:sub>
            </m:sSub>
            <m:ctrlPr>
              <w:rPr>
                <w:rFonts w:ascii="Cambria Math" w:hAnsi="Cambria Math"/>
                <w:i/>
                <w:sz w:val="21"/>
                <w:szCs w:val="22"/>
              </w:rPr>
            </m:ctrlPr>
          </m:e>
        </m:d>
      </m:oMath>
      <w:r>
        <w:t>is the proxy variable for economic distance (logarithm of per capital GDP). The negative exponential form ensures that geographic proximity and economic similarity have a positive impact on spatial interaction</w:t>
      </w:r>
      <w:r>
        <w:rPr>
          <w:rFonts w:hint="eastAsia"/>
        </w:rPr>
        <w:t xml:space="preserve"> </w:t>
      </w:r>
      <w:r>
        <w:fldChar w:fldCharType="begin">
          <w:fldData xml:space="preserve">PEVuZE5vdGU+PENpdGU+PEF1dGhvcj5aaGVuZzwvQXV0aG9yPjxZZWFyPjIwMjQ8L1llYXI+PFJl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</w:fldData>
        </w:fldChar>
      </w:r>
      <w:r>
        <w:instrText xml:space="preserve"> ADDIN EN.JS.CITE </w:instrText>
      </w:r>
      <w:r>
        <w:fldChar w:fldCharType="separate"/>
      </w:r>
      <w:r>
        <w:t>(Zheng et al., 2024)</w:t>
      </w:r>
      <w:r>
        <w:fldChar w:fldCharType="end"/>
      </w:r>
      <w:r>
        <w:t>.</w:t>
      </w:r>
    </w:p>
    <w:p w14:paraId="50EDA0A6">
      <w:pPr>
        <w:widowControl/>
        <w:rPr>
          <w:rFonts w:cs="Times New Roman"/>
          <w:sz w:val="24"/>
        </w:rPr>
      </w:pPr>
      <w:r>
        <w:rPr>
          <w:rFonts w:cs="Times New Roman"/>
          <w:sz w:val="24"/>
        </w:rPr>
        <w:t>To avoid scale bias, the original weight matrix is row-standardized:</w:t>
      </w:r>
    </w:p>
    <w:p w14:paraId="4738D3C6">
      <w:pPr>
        <w:pStyle w:val="19"/>
        <w:widowControl/>
      </w:pPr>
      <w:r>
        <w:rPr>
          <w:rFonts w:hint="eastAsia"/>
          <w:position w:val="-38"/>
        </w:rPr>
        <w:tab/>
      </w:r>
      <w:r>
        <w:rPr>
          <w:position w:val="-38"/>
        </w:rPr>
        <w:object>
          <v:shape id="_x0000_i1029" o:spt="75" type="#_x0000_t75" style="height:40.9pt;width:181.8pt;" o:ole="t" filled="f" o:preferrelative="t" stroked="f" coordsize="21600,21600">
            <v:path/>
            <v:fill on="f" focussize="0,0"/>
            <v:stroke on="f" joinstyle="miter"/>
            <v:imagedata r:id="rId13" o:title=""/>
            <o:lock v:ext="edit" aspectratio="t"/>
            <w10:wrap type="none"/>
            <w10:anchorlock/>
          </v:shape>
          <o:OLEObject Type="Embed" ProgID="Equation.KSEE3" ShapeID="_x0000_i1029" DrawAspect="Content" ObjectID="_1468075729" r:id="rId12">
            <o:LockedField>false</o:LockedField>
          </o:OLEObject>
        </w:object>
      </w:r>
      <w:r>
        <w:rPr>
          <w:rFonts w:hint="eastAsia"/>
          <w:position w:val="-38"/>
        </w:rPr>
        <w:tab/>
      </w:r>
      <w:r>
        <w:t>（</w:t>
      </w:r>
      <w:r>
        <w:rPr>
          <w:rFonts w:hint="eastAsia"/>
        </w:rPr>
        <w:t>5</w:t>
      </w:r>
      <w:r>
        <w:t>）</w:t>
      </w:r>
    </w:p>
    <w:p w14:paraId="6A213A1B">
      <w:pPr>
        <w:widowControl/>
        <w:ind w:firstLine="480" w:firstLineChars="200"/>
        <w:rPr>
          <w:rFonts w:cs="Times New Roman"/>
          <w:sz w:val="24"/>
        </w:rPr>
      </w:pPr>
      <w:r>
        <w:rPr>
          <w:rFonts w:cs="Times New Roman"/>
          <w:sz w:val="24"/>
        </w:rPr>
        <w:t>The standardized</w:t>
      </w:r>
      <m:oMath>
        <m:r>
          <m:rPr/>
          <w:rPr>
            <w:rFonts w:ascii="Cambria Math" w:cs="Times New Roman"/>
            <w:sz w:val="24"/>
          </w:rPr>
          <m:t xml:space="preserve"> </m:t>
        </m:r>
        <m:r>
          <m:rPr/>
          <w:rPr>
            <w:rFonts w:ascii="Cambria Math" w:hAnsi="Cambria Math" w:cs="Times New Roman"/>
            <w:sz w:val="24"/>
          </w:rPr>
          <m:t>n</m:t>
        </m:r>
        <m:r>
          <m:rPr/>
          <w:rPr>
            <w:rFonts w:ascii="Cambria Math" w:hAnsi="Cambria Math" w:cs="Cambria Math"/>
            <w:sz w:val="24"/>
          </w:rPr>
          <m:t>×</m:t>
        </m:r>
        <m:r>
          <m:rPr/>
          <w:rPr>
            <w:rFonts w:ascii="Cambria Math" w:hAnsi="Cambria Math" w:cs="Times New Roman"/>
            <w:sz w:val="24"/>
          </w:rPr>
          <m:t xml:space="preserve">n </m:t>
        </m:r>
      </m:oMath>
      <w:r>
        <w:rPr>
          <w:rFonts w:cs="Times New Roman"/>
          <w:sz w:val="24"/>
        </w:rPr>
        <w:t>weight matrix form is:</w:t>
      </w:r>
    </w:p>
    <w:p w14:paraId="17BEFC39">
      <w:pPr>
        <w:pStyle w:val="19"/>
        <w:widowControl/>
      </w:pPr>
      <w:r>
        <w:rPr>
          <w:rFonts w:hint="eastAsia"/>
          <w:position w:val="-108"/>
        </w:rPr>
        <w:tab/>
      </w:r>
      <w:r>
        <w:rPr>
          <w:position w:val="-108"/>
        </w:rPr>
        <w:object>
          <v:shape id="_x0000_i1030" o:spt="75" type="#_x0000_t75" style="height:113.95pt;width:292.65pt;" o:ole="t" filled="f" o:preferrelative="t" stroked="f" coordsize="21600,21600">
            <v:path/>
            <v:fill on="f" focussize="0,0"/>
            <v:stroke on="f" joinstyle="miter"/>
            <v:imagedata r:id="rId15" o:title=""/>
            <o:lock v:ext="edit" aspectratio="t"/>
            <w10:wrap type="none"/>
            <w10:anchorlock/>
          </v:shape>
          <o:OLEObject Type="Embed" ProgID="Equation.KSEE3" ShapeID="_x0000_i1030" DrawAspect="Content" ObjectID="_1468075730" r:id="rId14">
            <o:LockedField>false</o:LockedField>
          </o:OLEObject>
        </w:object>
      </w:r>
      <w:r>
        <w:rPr>
          <w:rFonts w:hint="eastAsia"/>
          <w:position w:val="-108"/>
        </w:rPr>
        <w:tab/>
      </w:r>
      <w:r>
        <w:t>（</w:t>
      </w:r>
      <w:r>
        <w:rPr>
          <w:rFonts w:hint="eastAsia"/>
        </w:rPr>
        <w:t>6</w:t>
      </w:r>
      <w:r>
        <w:t>）</w:t>
      </w:r>
    </w:p>
    <w:p w14:paraId="14DEC517">
      <w:pPr>
        <w:ind w:firstLine="420"/>
        <w:rPr>
          <w:rFonts w:cs="Times New Roman"/>
          <w:sz w:val="24"/>
        </w:rPr>
      </w:pPr>
      <w:r>
        <w:rPr>
          <w:rFonts w:cs="Times New Roman"/>
          <w:sz w:val="24"/>
        </w:rPr>
        <w:t xml:space="preserve">Among </w:t>
      </w:r>
      <m:oMath>
        <m:sSub>
          <m:sSubPr>
            <m:ctrlPr>
              <w:rPr>
                <w:rFonts w:ascii="Cambria Math" w:hAnsi="Cambria Math" w:cs="Cambria Math"/>
                <w:i/>
                <w:sz w:val="22"/>
                <w:szCs w:val="22"/>
              </w:rPr>
            </m:ctrlPr>
          </m:sSubPr>
          <m:e>
            <m:r>
              <m:rPr/>
              <w:rPr>
                <w:rFonts w:ascii="Cambria Math" w:hAnsi="Cambria Math" w:cs="Cambria Math"/>
                <w:sz w:val="22"/>
                <w:szCs w:val="22"/>
              </w:rPr>
              <m:t>S</m:t>
            </m:r>
            <m:ctrlPr>
              <w:rPr>
                <w:rFonts w:ascii="Cambria Math" w:hAnsi="Cambria Math" w:cs="Cambria Math"/>
                <w:i/>
                <w:sz w:val="22"/>
                <w:szCs w:val="22"/>
              </w:rPr>
            </m:ctrlPr>
          </m:e>
          <m:sub>
            <m:r>
              <m:rPr/>
              <w:rPr>
                <w:rFonts w:ascii="Cambria Math" w:hAnsi="Cambria Math" w:cs="Cambria Math"/>
                <w:sz w:val="22"/>
                <w:szCs w:val="22"/>
              </w:rPr>
              <m:t>i</m:t>
            </m:r>
            <m:ctrlPr>
              <w:rPr>
                <w:rFonts w:ascii="Cambria Math" w:hAnsi="Cambria Math" w:cs="Cambria Math"/>
                <w:i/>
                <w:sz w:val="22"/>
                <w:szCs w:val="22"/>
              </w:rPr>
            </m:ctrlPr>
          </m:sub>
        </m:sSub>
        <m:r>
          <m:rPr/>
          <w:rPr>
            <w:rFonts w:ascii="Cambria Math" w:hAnsi="Cambria Math" w:cs="Cambria Math"/>
            <w:sz w:val="22"/>
            <w:szCs w:val="22"/>
          </w:rPr>
          <m:t>=</m:t>
        </m:r>
        <m:nary>
          <m:naryPr>
            <m:chr m:val="∑"/>
            <m:limLoc m:val="subSup"/>
            <m:supHide m:val="1"/>
            <m:ctrlPr>
              <w:rPr>
                <w:rFonts w:ascii="Cambria Math" w:hAnsi="Cambria Math" w:cs="Cambria Math"/>
                <w:i/>
                <w:sz w:val="22"/>
                <w:szCs w:val="22"/>
              </w:rPr>
            </m:ctrlPr>
          </m:naryPr>
          <m:sub>
            <m:r>
              <m:rPr/>
              <w:rPr>
                <w:rFonts w:ascii="Cambria Math" w:hAnsi="Cambria Math" w:cs="Cambria Math"/>
                <w:sz w:val="22"/>
                <w:szCs w:val="22"/>
              </w:rPr>
              <m:t>j</m:t>
            </m:r>
            <m:ctrlPr>
              <w:rPr>
                <w:rFonts w:ascii="Cambria Math" w:hAnsi="Cambria Math" w:cs="Cambria Math"/>
                <w:i/>
                <w:sz w:val="22"/>
                <w:szCs w:val="22"/>
              </w:rPr>
            </m:ctrlPr>
          </m:sub>
          <m:sup>
            <m:ctrlPr>
              <w:rPr>
                <w:rFonts w:ascii="Cambria Math" w:hAnsi="Cambria Math" w:cs="Cambria Math"/>
                <w:i/>
                <w:sz w:val="22"/>
                <w:szCs w:val="22"/>
              </w:rPr>
            </m:ctrlPr>
          </m:sup>
          <m:e>
            <m:sSub>
              <m:sSubPr>
                <m:ctrlPr>
                  <w:rPr>
                    <w:rFonts w:ascii="Cambria Math" w:hAnsi="Cambria Math" w:cs="Cambria Math"/>
                    <w:i/>
                    <w:sz w:val="22"/>
                    <w:szCs w:val="22"/>
                  </w:rPr>
                </m:ctrlPr>
              </m:sSubPr>
              <m:e>
                <m:r>
                  <m:rPr/>
                  <w:rPr>
                    <w:rFonts w:ascii="Cambria Math" w:hAnsi="Cambria Math" w:cs="Cambria Math"/>
                    <w:sz w:val="22"/>
                    <w:szCs w:val="22"/>
                  </w:rPr>
                  <m:t>d</m:t>
                </m:r>
                <m:ctrlPr>
                  <w:rPr>
                    <w:rFonts w:ascii="Cambria Math" w:hAnsi="Cambria Math" w:cs="Cambria Math"/>
                    <w:i/>
                    <w:sz w:val="22"/>
                    <w:szCs w:val="22"/>
                  </w:rPr>
                </m:ctrlPr>
              </m:e>
              <m:sub>
                <m:r>
                  <m:rPr/>
                  <w:rPr>
                    <w:rFonts w:ascii="Cambria Math" w:hAnsi="Cambria Math" w:cs="Cambria Math"/>
                    <w:sz w:val="22"/>
                    <w:szCs w:val="22"/>
                  </w:rPr>
                  <m:t>ij</m:t>
                </m:r>
                <m:ctrlPr>
                  <w:rPr>
                    <w:rFonts w:ascii="Cambria Math" w:hAnsi="Cambria Math" w:cs="Cambria Math"/>
                    <w:i/>
                    <w:sz w:val="22"/>
                    <w:szCs w:val="22"/>
                  </w:rPr>
                </m:ctrlPr>
              </m:sub>
            </m:sSub>
            <m:r>
              <m:rPr/>
              <w:rPr>
                <w:rFonts w:ascii="Cambria Math" w:hAnsi="Cambria Math" w:cs="Cambria Math"/>
                <w:sz w:val="22"/>
                <w:szCs w:val="22"/>
              </w:rPr>
              <m:t>−2</m:t>
            </m:r>
            <m:d>
              <m:dPr>
                <m:begChr m:val="|"/>
                <m:endChr m:val="|"/>
                <m:ctrlPr>
                  <w:rPr>
                    <w:rFonts w:ascii="Cambria Math" w:hAnsi="Cambria Math" w:cs="Cambria Math"/>
                    <w:i/>
                    <w:sz w:val="22"/>
                    <w:szCs w:val="22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cs="Cambria Math"/>
                        <w:sz w:val="22"/>
                        <w:szCs w:val="22"/>
                      </w:rPr>
                      <m:t>y</m:t>
                    </m:r>
                    <m:ctrlPr>
                      <w:rPr>
                        <w:rFonts w:ascii="Cambria Math" w:hAnsi="Cambria Math" w:cs="Cambria Math"/>
                        <w:i/>
                        <w:sz w:val="22"/>
                        <w:szCs w:val="22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cs="Cambria Math"/>
                        <w:sz w:val="22"/>
                        <w:szCs w:val="22"/>
                      </w:rPr>
                      <m:t>i</m:t>
                    </m:r>
                    <m:ctrlPr>
                      <w:rPr>
                        <w:rFonts w:ascii="Cambria Math" w:hAnsi="Cambria Math" w:cs="Cambria Math"/>
                        <w:i/>
                        <w:sz w:val="22"/>
                        <w:szCs w:val="22"/>
                      </w:rPr>
                    </m:ctrlPr>
                  </m:sub>
                </m:sSub>
                <m:r>
                  <m:rPr/>
                  <w:rPr>
                    <w:rFonts w:ascii="Cambria Math" w:hAnsi="Cambria Math" w:cs="Cambria Math"/>
                    <w:sz w:val="22"/>
                    <w:szCs w:val="22"/>
                  </w:rPr>
                  <m:t>−</m:t>
                </m:r>
                <m:sSub>
                  <m:sSubPr>
                    <m:ctrlPr>
                      <w:rPr>
                        <w:rFonts w:ascii="Cambria Math" w:hAnsi="Cambria Math" w:cs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cs="Cambria Math"/>
                        <w:sz w:val="22"/>
                        <w:szCs w:val="22"/>
                      </w:rPr>
                      <m:t>y</m:t>
                    </m:r>
                    <m:ctrlPr>
                      <w:rPr>
                        <w:rFonts w:ascii="Cambria Math" w:hAnsi="Cambria Math" w:cs="Cambria Math"/>
                        <w:i/>
                        <w:sz w:val="22"/>
                        <w:szCs w:val="22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cs="Cambria Math"/>
                        <w:sz w:val="22"/>
                        <w:szCs w:val="22"/>
                      </w:rPr>
                      <m:t>j</m:t>
                    </m:r>
                    <m:ctrlPr>
                      <w:rPr>
                        <w:rFonts w:ascii="Cambria Math" w:hAnsi="Cambria Math" w:cs="Cambria Math"/>
                        <w:i/>
                        <w:sz w:val="22"/>
                        <w:szCs w:val="22"/>
                      </w:rPr>
                    </m:ctrlPr>
                  </m:sub>
                </m:sSub>
                <m:ctrlPr>
                  <w:rPr>
                    <w:rFonts w:ascii="Cambria Math" w:hAnsi="Cambria Math" w:cs="Cambria Math"/>
                    <w:i/>
                    <w:sz w:val="22"/>
                    <w:szCs w:val="22"/>
                  </w:rPr>
                </m:ctrlPr>
              </m:e>
            </m:d>
            <m:r>
              <m:rPr/>
              <w:rPr>
                <w:rFonts w:ascii="Cambria Math" w:hAnsi="Cambria Math" w:cs="Cambria Math"/>
                <w:sz w:val="22"/>
                <w:szCs w:val="22"/>
              </w:rPr>
              <m:t>−I</m:t>
            </m:r>
            <m:ctrlPr>
              <w:rPr>
                <w:rFonts w:ascii="Cambria Math" w:hAnsi="Cambria Math" w:cs="Cambria Math"/>
                <w:i/>
                <w:sz w:val="22"/>
                <w:szCs w:val="22"/>
              </w:rPr>
            </m:ctrlPr>
          </m:e>
        </m:nary>
      </m:oMath>
      <w:r>
        <w:rPr>
          <w:rFonts w:cs="Times New Roman"/>
          <w:sz w:val="24"/>
        </w:rPr>
        <w:t>, the denominator terms are standardized, and the main diagonal elements are always zero.</w:t>
      </w:r>
      <w:r>
        <w:rPr>
          <w:rFonts w:hint="eastAsia" w:cs="Times New Roman"/>
          <w:sz w:val="24"/>
        </w:rPr>
        <w:t xml:space="preserve"> </w:t>
      </w:r>
      <w:r>
        <w:rPr>
          <w:rFonts w:cs="Times New Roman"/>
          <w:sz w:val="24"/>
        </w:rPr>
        <w:t>Where</w:t>
      </w:r>
      <w:r>
        <w:rPr>
          <w:rFonts w:hint="eastAsia" w:cs="Times New Roman"/>
          <w:sz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m:rPr/>
              <w:rPr>
                <w:rFonts w:ascii="Cambria Math" w:hAnsi="Cambria Math" w:cs="Times New Roman"/>
                <w:sz w:val="22"/>
                <w:szCs w:val="22"/>
              </w:rPr>
              <m:t>W</m:t>
            </m: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e>
          <m:sub>
            <m:r>
              <m:rPr/>
              <w:rPr>
                <w:rFonts w:ascii="Cambria Math" w:hAnsi="Cambria Math" w:cs="Times New Roman"/>
                <w:sz w:val="22"/>
                <w:szCs w:val="22"/>
              </w:rPr>
              <m:t xml:space="preserve">ij </m:t>
            </m: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ub>
        </m:sSub>
      </m:oMath>
      <w:r>
        <w:rPr>
          <w:rFonts w:cs="Times New Roman"/>
          <w:sz w:val="24"/>
        </w:rPr>
        <w:t xml:space="preserve">is is the spatial weight, n is the number of provinces, </w:t>
      </w:r>
      <m:oMath>
        <m:r>
          <m:rPr/>
          <w:rPr>
            <w:rFonts w:ascii="Cambria Math" w:hAnsi="Cambria Math" w:cs="Times New Roman"/>
            <w:sz w:val="24"/>
          </w:rPr>
          <m:t>X</m:t>
        </m:r>
      </m:oMath>
      <w:r>
        <w:rPr>
          <w:rFonts w:cs="Times New Roman"/>
          <w:sz w:val="24"/>
        </w:rPr>
        <w:t xml:space="preserve"> denotes the observed values of </w:t>
      </w:r>
      <w:r>
        <w:rPr>
          <w:rFonts w:hint="eastAsia" w:cs="Times New Roman"/>
          <w:sz w:val="24"/>
        </w:rPr>
        <w:t>city</w:t>
      </w:r>
      <w:r>
        <w:rPr>
          <w:rFonts w:cs="Times New Roman"/>
          <w:sz w:val="24"/>
        </w:rPr>
        <w:t xml:space="preserve"> </w:t>
      </w:r>
      <m:oMath>
        <m:r>
          <m:rPr/>
          <w:rPr>
            <w:rFonts w:ascii="Cambria Math" w:hAnsi="Cambria Math" w:cs="Times New Roman"/>
            <w:sz w:val="24"/>
          </w:rPr>
          <m:t xml:space="preserve">i </m:t>
        </m:r>
      </m:oMath>
      <w:r>
        <w:rPr>
          <w:rFonts w:cs="Times New Roman"/>
          <w:sz w:val="24"/>
        </w:rPr>
        <w:t xml:space="preserve">and </w:t>
      </w:r>
      <w:r>
        <w:rPr>
          <w:rFonts w:hint="eastAsia" w:cs="Times New Roman"/>
          <w:sz w:val="24"/>
        </w:rPr>
        <w:t>city</w:t>
      </w:r>
      <w:r>
        <w:rPr>
          <w:rFonts w:cs="Times New Roman"/>
          <w:sz w:val="24"/>
        </w:rPr>
        <w:t xml:space="preserve"> </w:t>
      </w:r>
      <m:oMath>
        <m:r>
          <m:rPr/>
          <w:rPr>
            <w:rFonts w:ascii="Cambria Math" w:hAnsi="Cambria Math" w:cs="Times New Roman"/>
            <w:sz w:val="24"/>
          </w:rPr>
          <m:t>j</m:t>
        </m:r>
      </m:oMath>
      <w:r>
        <w:rPr>
          <w:rFonts w:cs="Times New Roman"/>
          <w:sz w:val="24"/>
        </w:rPr>
        <w:t xml:space="preserve">, respectively,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</w:rPr>
              <m:t>S</m:t>
            </m:r>
            <m:ctrlPr>
              <w:rPr>
                <w:rFonts w:ascii="Cambria Math" w:hAnsi="Cambria Math" w:cs="Times New Roman"/>
                <w:i/>
                <w:sz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</w:rPr>
              <m:t>n</m:t>
            </m:r>
            <m:ctrlPr>
              <w:rPr>
                <w:rFonts w:ascii="Cambria Math" w:hAnsi="Cambria Math" w:cs="Times New Roman"/>
                <w:i/>
                <w:sz w:val="24"/>
              </w:rPr>
            </m:ctrlPr>
          </m:sub>
        </m:sSub>
      </m:oMath>
      <w:r>
        <w:rPr>
          <w:rFonts w:cs="Times New Roman"/>
          <w:sz w:val="24"/>
        </w:rPr>
        <w:t xml:space="preserve"> is the variance, and </w:t>
      </w:r>
      <m:oMath>
        <m:r>
          <m:rPr/>
          <w:rPr>
            <w:rFonts w:ascii="Cambria Math" w:hAnsi="Cambria Math" w:cs="Times New Roman"/>
            <w:sz w:val="24"/>
          </w:rPr>
          <m:t>x</m:t>
        </m:r>
      </m:oMath>
      <w:r>
        <w:rPr>
          <w:rFonts w:cs="Times New Roman"/>
          <w:sz w:val="24"/>
        </w:rPr>
        <w:t xml:space="preserve"> is the mean</w:t>
      </w:r>
      <w:r>
        <w:rPr>
          <w:rFonts w:hint="eastAsia" w:cs="Times New Roman"/>
          <w:sz w:val="24"/>
        </w:rPr>
        <w:t xml:space="preserve"> </w:t>
      </w:r>
      <w:r>
        <w:rPr>
          <w:rFonts w:cs="Times New Roman"/>
          <w:sz w:val="24"/>
        </w:rPr>
        <w:fldChar w:fldCharType="begin">
          <w:fldData xml:space="preserve">PEVuZE5vdGU+PENpdGU+PEF1dGhvcj5MYW48L0F1dGhvcj48WWVhcj4yMDIwPC9ZZWFyPjxSZWNO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</w:fldData>
        </w:fldChar>
      </w:r>
      <w:r>
        <w:rPr>
          <w:rFonts w:cs="Times New Roman"/>
          <w:sz w:val="24"/>
        </w:rPr>
        <w:instrText xml:space="preserve"> ADDIN EN.JS.CITE </w:instrText>
      </w:r>
      <w:r>
        <w:rPr>
          <w:rFonts w:cs="Times New Roman"/>
          <w:sz w:val="24"/>
        </w:rPr>
        <w:fldChar w:fldCharType="separate"/>
      </w:r>
      <w:r>
        <w:rPr>
          <w:rFonts w:hint="eastAsia" w:cs="Times New Roman"/>
          <w:sz w:val="24"/>
        </w:rPr>
        <w:t>(Lan et al., 2020, Li et al., 2020, Li et al., 2022b)</w:t>
      </w:r>
      <w:r>
        <w:rPr>
          <w:rFonts w:cs="Times New Roman"/>
          <w:sz w:val="24"/>
        </w:rPr>
        <w:fldChar w:fldCharType="end"/>
      </w:r>
      <w:r>
        <w:rPr>
          <w:rFonts w:cs="Times New Roman"/>
          <w:sz w:val="24"/>
        </w:rPr>
        <w:t>.</w:t>
      </w:r>
    </w:p>
    <w:p w14:paraId="413BC78A">
      <w:pPr>
        <w:widowControl/>
        <w:rPr>
          <w:rFonts w:cs="Times New Roman"/>
          <w:sz w:val="24"/>
        </w:rPr>
      </w:pPr>
      <w:r>
        <w:rPr>
          <w:rFonts w:cs="Times New Roman"/>
          <w:sz w:val="24"/>
        </w:rPr>
        <w:t>(2) Spatial econometric modeling</w:t>
      </w:r>
    </w:p>
    <w:p w14:paraId="2D62DE36">
      <w:pPr>
        <w:ind w:firstLine="420"/>
        <w:rPr>
          <w:rFonts w:cs="Times New Roman"/>
          <w:sz w:val="24"/>
        </w:rPr>
      </w:pPr>
      <w:r>
        <w:rPr>
          <w:rFonts w:cs="Times New Roman"/>
          <w:sz w:val="24"/>
        </w:rPr>
        <w:t>In this study, the spatial lag model (SLM), spatial Durbin model (SDM), and spatial error model were compared using a likelihood ratio test (LR Test) and information criteria (AIC</w:t>
      </w:r>
      <w:r>
        <w:rPr>
          <w:rFonts w:hint="eastAsia" w:cs="Times New Roman"/>
          <w:sz w:val="24"/>
        </w:rPr>
        <w:t xml:space="preserve"> </w:t>
      </w:r>
      <w:r>
        <w:rPr>
          <w:rFonts w:cs="Times New Roman"/>
          <w:sz w:val="24"/>
        </w:rPr>
        <w:t>/</w:t>
      </w:r>
      <w:r>
        <w:rPr>
          <w:rFonts w:hint="eastAsia" w:cs="Times New Roman"/>
          <w:sz w:val="24"/>
        </w:rPr>
        <w:t xml:space="preserve"> </w:t>
      </w:r>
      <w:r>
        <w:rPr>
          <w:rFonts w:cs="Times New Roman"/>
          <w:sz w:val="24"/>
        </w:rPr>
        <w:t>BIC).</w:t>
      </w:r>
    </w:p>
    <w:p w14:paraId="44F398BB">
      <w:pPr>
        <w:pStyle w:val="19"/>
        <w:jc w:val="both"/>
        <w:rPr>
          <w:position w:val="-66"/>
        </w:rPr>
      </w:pPr>
      <w:r>
        <w:rPr>
          <w:position w:val="-12"/>
        </w:rPr>
        <w:object>
          <v:shape id="_x0000_i1031" o:spt="75" type="#_x0000_t75" style="height:18.65pt;width:370.9pt;" o:ole="t" filled="f" o:preferrelative="t" stroked="f" coordsize="21600,21600">
            <v:path/>
            <v:fill on="f" focussize="0,0"/>
            <v:stroke on="f" joinstyle="miter"/>
            <v:imagedata r:id="rId17" o:title=""/>
            <o:lock v:ext="edit" aspectratio="t"/>
            <w10:wrap type="none"/>
            <w10:anchorlock/>
          </v:shape>
          <o:OLEObject Type="Embed" ProgID="Equation.KSEE3" ShapeID="_x0000_i1031" DrawAspect="Content" ObjectID="_1468075731" r:id="rId16">
            <o:LockedField>false</o:LockedField>
          </o:OLEObject>
        </w:object>
      </w:r>
      <w:r>
        <w:rPr>
          <w:rFonts w:hint="eastAsia"/>
        </w:rPr>
        <w:t xml:space="preserve">  </w:t>
      </w:r>
      <w:r>
        <w:t>（</w:t>
      </w:r>
      <w:r>
        <w:rPr>
          <w:rFonts w:hint="eastAsia"/>
        </w:rPr>
        <w:t>7</w:t>
      </w:r>
      <w:r>
        <w:t>）</w:t>
      </w:r>
    </w:p>
    <w:p w14:paraId="503712FA">
      <w:pPr>
        <w:pStyle w:val="19"/>
        <w:jc w:val="both"/>
        <w:rPr>
          <w:position w:val="-66"/>
        </w:rPr>
      </w:pPr>
      <w:r>
        <w:rPr>
          <w:position w:val="-12"/>
        </w:rPr>
        <w:object>
          <v:shape id="_x0000_i1032" o:spt="75" type="#_x0000_t75" style="height:18.65pt;width:360pt;" o:ole="t" filled="f" o:preferrelative="t" stroked="f" coordsize="21600,21600">
            <v:path/>
            <v:fill on="f" focussize="0,0"/>
            <v:stroke on="f" joinstyle="miter"/>
            <v:imagedata r:id="rId19" o:title=""/>
            <o:lock v:ext="edit" aspectratio="t"/>
            <w10:wrap type="none"/>
            <w10:anchorlock/>
          </v:shape>
          <o:OLEObject Type="Embed" ProgID="Equation.KSEE3" ShapeID="_x0000_i1032" DrawAspect="Content" ObjectID="_1468075732" r:id="rId18">
            <o:LockedField>false</o:LockedField>
          </o:OLEObject>
        </w:object>
      </w:r>
      <w:r>
        <w:rPr>
          <w:rFonts w:hint="eastAsia"/>
          <w:position w:val="-12"/>
        </w:rPr>
        <w:tab/>
      </w:r>
      <w:r>
        <w:rPr>
          <w:rFonts w:hint="eastAsia"/>
        </w:rPr>
        <w:t>（8</w:t>
      </w:r>
      <w:r>
        <w:t>）</w:t>
      </w:r>
    </w:p>
    <w:p w14:paraId="6BDFE0E0">
      <w:pPr>
        <w:pStyle w:val="19"/>
        <w:ind w:firstLine="480" w:firstLineChars="200"/>
        <w:rPr>
          <w:position w:val="-66"/>
        </w:rPr>
      </w:pPr>
      <w:r>
        <w:rPr>
          <w:rFonts w:hint="eastAsia"/>
          <w:position w:val="-12"/>
        </w:rPr>
        <w:tab/>
      </w:r>
      <w:r>
        <w:rPr>
          <w:position w:val="-12"/>
        </w:rPr>
        <w:object>
          <v:shape id="_x0000_i1033" o:spt="75" type="#_x0000_t75" style="height:18.65pt;width:238.8pt;" o:ole="t" filled="f" o:preferrelative="t" stroked="f" coordsize="21600,21600">
            <v:path/>
            <v:fill on="f" focussize="0,0"/>
            <v:stroke on="f" joinstyle="miter"/>
            <v:imagedata r:id="rId21" o:title=""/>
            <o:lock v:ext="edit" aspectratio="t"/>
            <w10:wrap type="none"/>
            <w10:anchorlock/>
          </v:shape>
          <o:OLEObject Type="Embed" ProgID="Equation.KSEE3" ShapeID="_x0000_i1033" DrawAspect="Content" ObjectID="_1468075733" r:id="rId20">
            <o:LockedField>false</o:LockedField>
          </o:OLEObject>
        </w:object>
      </w:r>
      <w:r>
        <w:rPr>
          <w:rFonts w:hint="eastAsia"/>
          <w:position w:val="-12"/>
        </w:rPr>
        <w:tab/>
      </w:r>
      <w:r>
        <w:rPr>
          <w:rFonts w:hint="eastAsia"/>
          <w:position w:val="-12"/>
        </w:rPr>
        <w:t xml:space="preserve">     </w:t>
      </w:r>
      <w:r>
        <w:t>（</w:t>
      </w:r>
      <w:r>
        <w:rPr>
          <w:rFonts w:hint="eastAsia"/>
        </w:rPr>
        <w:t>9</w:t>
      </w:r>
      <w:r>
        <w:t>）</w:t>
      </w:r>
    </w:p>
    <w:p w14:paraId="06C2EC56">
      <w:pPr>
        <w:pStyle w:val="19"/>
        <w:ind w:firstLine="480" w:firstLineChars="200"/>
      </w:pPr>
      <w:r>
        <w:rPr>
          <w:rFonts w:hint="eastAsia"/>
          <w:position w:val="-12"/>
        </w:rPr>
        <w:tab/>
      </w:r>
      <w:r>
        <w:rPr>
          <w:position w:val="-12"/>
        </w:rPr>
        <w:object>
          <v:shape id="_x0000_i1034" o:spt="75" type="#_x0000_t75" style="height:18.65pt;width:82.9pt;" o:ole="t" filled="f" o:preferrelative="t" stroked="f" coordsize="21600,21600">
            <v:path/>
            <v:fill on="f" focussize="0,0"/>
            <v:stroke on="f" joinstyle="miter"/>
            <v:imagedata r:id="rId23" o:title=""/>
            <o:lock v:ext="edit" aspectratio="t"/>
            <w10:wrap type="none"/>
            <w10:anchorlock/>
          </v:shape>
          <o:OLEObject Type="Embed" ProgID="Equation.KSEE3" ShapeID="_x0000_i1034" DrawAspect="Content" ObjectID="_1468075734" r:id="rId22">
            <o:LockedField>false</o:LockedField>
          </o:OLEObject>
        </w:object>
      </w:r>
      <w:r>
        <w:rPr>
          <w:rFonts w:hint="eastAsia"/>
          <w:position w:val="-12"/>
        </w:rPr>
        <w:tab/>
      </w:r>
      <w:r>
        <w:t>（</w:t>
      </w:r>
      <w:r>
        <w:rPr>
          <w:rFonts w:hint="eastAsia"/>
        </w:rPr>
        <w:t>10</w:t>
      </w:r>
      <w:r>
        <w:t>）</w:t>
      </w:r>
    </w:p>
    <w:p w14:paraId="7EF15590">
      <w:pPr>
        <w:ind w:firstLine="420"/>
        <w:rPr>
          <w:rFonts w:cs="Times New Roman"/>
          <w:sz w:val="24"/>
        </w:rPr>
      </w:pPr>
      <w:r>
        <w:rPr>
          <w:rFonts w:cs="Times New Roman"/>
          <w:sz w:val="24"/>
        </w:rPr>
        <w:t>Where</w:t>
      </w:r>
      <m:oMath>
        <m:r>
          <m:rPr/>
          <w:rPr>
            <w:rFonts w:ascii="Cambria Math" w:hAnsi="Cambria Math" w:cs="Cambria Math"/>
            <w:sz w:val="24"/>
          </w:rPr>
          <m:t>i</m:t>
        </m:r>
      </m:oMath>
      <w:r>
        <w:rPr>
          <w:rFonts w:cs="Times New Roman"/>
          <w:sz w:val="24"/>
        </w:rPr>
        <w:t xml:space="preserve">denotes </w:t>
      </w:r>
      <w:r>
        <w:rPr>
          <w:rFonts w:hint="eastAsia" w:cs="Times New Roman"/>
          <w:sz w:val="24"/>
        </w:rPr>
        <w:t>city</w:t>
      </w:r>
      <w:r>
        <w:rPr>
          <w:rFonts w:cs="Times New Roman"/>
          <w:sz w:val="24"/>
        </w:rPr>
        <w:t>,</w:t>
      </w:r>
      <w:r>
        <w:rPr>
          <w:rFonts w:hint="eastAsia" w:cs="Times New Roman"/>
          <w:sz w:val="24"/>
        </w:rPr>
        <w:t xml:space="preserve"> </w:t>
      </w:r>
      <m:oMath>
        <m:r>
          <m:rPr/>
          <w:rPr>
            <w:rFonts w:ascii="Cambria Math" w:hAnsi="Cambria Math" w:cs="Cambria Math"/>
            <w:sz w:val="24"/>
          </w:rPr>
          <m:t>t</m:t>
        </m:r>
      </m:oMath>
      <w:r>
        <w:rPr>
          <w:rFonts w:cs="Times New Roman"/>
          <w:sz w:val="24"/>
        </w:rPr>
        <w:t xml:space="preserve">denotes year,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m:rPr/>
              <w:rPr>
                <w:rFonts w:ascii="Cambria Math" w:hAnsi="Cambria Math" w:cs="Times New Roman"/>
                <w:sz w:val="24"/>
              </w:rPr>
              <m:t>HQ</m:t>
            </m:r>
            <m:ctrlPr>
              <w:rPr>
                <w:rFonts w:ascii="Cambria Math" w:hAnsi="Cambria Math" w:cs="Times New Roman"/>
                <w:i/>
                <w:sz w:val="24"/>
              </w:rPr>
            </m:ctrlPr>
          </m:e>
          <m:sub>
            <m:r>
              <m:rPr/>
              <w:rPr>
                <w:rFonts w:ascii="Cambria Math" w:hAnsi="Cambria Math" w:cs="Times New Roman"/>
                <w:sz w:val="24"/>
              </w:rPr>
              <m:t>it</m:t>
            </m:r>
            <m:ctrlPr>
              <w:rPr>
                <w:rFonts w:ascii="Cambria Math" w:hAnsi="Cambria Math" w:cs="Times New Roman"/>
                <w:i/>
                <w:sz w:val="24"/>
              </w:rPr>
            </m:ctrlPr>
          </m:sub>
        </m:sSub>
      </m:oMath>
      <w:r>
        <w:rPr>
          <w:rFonts w:cs="Times New Roman"/>
          <w:sz w:val="24"/>
        </w:rPr>
        <w:t>is the level of high-quality economic development,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m:rPr/>
              <w:rPr>
                <w:rFonts w:ascii="Cambria Math" w:hAnsi="Cambria Math" w:cs="Times New Roman"/>
                <w:sz w:val="22"/>
                <w:szCs w:val="22"/>
              </w:rPr>
              <m:t>HQ</m:t>
            </m: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e>
          <m:sub>
            <m:d>
              <m:dPr>
                <m:shp m:val="match"/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dPr>
              <m:e>
                <m:r>
                  <m:rPr/>
                  <w:rPr>
                    <w:rFonts w:ascii="Cambria Math" w:hAnsi="Cambria Math" w:cs="Times New Roman"/>
                    <w:sz w:val="22"/>
                    <w:szCs w:val="22"/>
                  </w:rPr>
                  <m:t>i，t−1</m:t>
                </m: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e>
            </m:d>
            <m:r>
              <m:rPr/>
              <w:rPr>
                <w:rFonts w:ascii="Cambria Math" w:hAnsi="Cambria Math" w:cs="Times New Roman"/>
                <w:sz w:val="22"/>
                <w:szCs w:val="22"/>
              </w:rPr>
              <m:t xml:space="preserve"> </m:t>
            </m: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ub>
        </m:sSub>
      </m:oMath>
      <w:r>
        <w:rPr>
          <w:rFonts w:cs="Times New Roman"/>
          <w:sz w:val="24"/>
        </w:rPr>
        <w:t>the time lag term of the explanatory variables,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m:rPr/>
              <w:rPr>
                <w:rFonts w:ascii="Cambria Math" w:hAnsi="Cambria Math" w:cs="Times New Roman"/>
                <w:sz w:val="22"/>
                <w:szCs w:val="22"/>
              </w:rPr>
              <m:t>RCC</m:t>
            </m: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e>
          <m:sub>
            <m:r>
              <m:rPr/>
              <w:rPr>
                <w:rFonts w:ascii="Cambria Math" w:hAnsi="Cambria Math" w:cs="Times New Roman"/>
                <w:sz w:val="22"/>
                <w:szCs w:val="22"/>
              </w:rPr>
              <m:t>it</m:t>
            </m: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ub>
        </m:sSub>
      </m:oMath>
      <w:r>
        <w:rPr>
          <w:rFonts w:ascii="Cambria Math" w:hAnsi="Cambria Math" w:cs="Times New Roman"/>
          <w:i/>
          <w:sz w:val="24"/>
        </w:rPr>
        <w:t xml:space="preserve"> </w:t>
      </w:r>
      <w:r>
        <w:rPr>
          <w:rFonts w:cs="Times New Roman"/>
          <w:sz w:val="24"/>
        </w:rPr>
        <w:t xml:space="preserve">denotes the carrying capacity of the system, </w:t>
      </w:r>
      <m:oMath>
        <m:sSub>
          <m:sSubPr>
            <m:ctrlPr>
              <w:rPr>
                <w:rFonts w:ascii="Cambria Math" w:hAnsi="Cambria Math" w:cs="Cambria Math"/>
                <w:i/>
                <w:iCs/>
                <w:sz w:val="22"/>
                <w:szCs w:val="22"/>
              </w:rPr>
            </m:ctrlPr>
          </m:sSubPr>
          <m:e>
            <m:r>
              <m:rPr/>
              <w:rPr>
                <w:rFonts w:ascii="Cambria Math" w:hAnsi="Cambria Math" w:cs="Cambria Math"/>
                <w:sz w:val="22"/>
                <w:szCs w:val="22"/>
              </w:rPr>
              <m:t>Ctrl</m:t>
            </m:r>
            <m:ctrlPr>
              <w:rPr>
                <w:rFonts w:ascii="Cambria Math" w:hAnsi="Cambria Math" w:cs="Cambria Math"/>
                <w:i/>
                <w:iCs/>
                <w:sz w:val="22"/>
                <w:szCs w:val="22"/>
              </w:rPr>
            </m:ctrlPr>
          </m:e>
          <m:sub>
            <m:r>
              <m:rPr/>
              <w:rPr>
                <w:rFonts w:ascii="Cambria Math" w:hAnsi="Cambria Math" w:cs="Cambria Math"/>
                <w:sz w:val="22"/>
                <w:szCs w:val="22"/>
              </w:rPr>
              <m:t>it</m:t>
            </m:r>
            <m:ctrlPr>
              <w:rPr>
                <w:rFonts w:ascii="Cambria Math" w:hAnsi="Cambria Math" w:cs="Cambria Math"/>
                <w:i/>
                <w:iCs/>
                <w:sz w:val="22"/>
                <w:szCs w:val="22"/>
              </w:rPr>
            </m:ctrlPr>
          </m:sub>
        </m:sSub>
      </m:oMath>
      <w:r>
        <w:rPr>
          <w:rFonts w:hint="eastAsia" w:cs="Times New Roman"/>
          <w:sz w:val="24"/>
        </w:rPr>
        <w:t xml:space="preserve"> </w:t>
      </w:r>
      <w:r>
        <w:rPr>
          <w:rFonts w:cs="Times New Roman"/>
          <w:sz w:val="24"/>
        </w:rPr>
        <w:t>denotes the control variables,</w:t>
      </w:r>
      <m:oMath>
        <m:sSub>
          <m:sSubPr>
            <m:ctrlPr>
              <w:rPr>
                <w:rFonts w:ascii="Cambria Math" w:hAnsi="Cambria Math" w:cs="Cambria Math"/>
                <w:i/>
                <w:iCs/>
                <w:sz w:val="22"/>
                <w:szCs w:val="22"/>
              </w:rPr>
            </m:ctrlPr>
          </m:sSubPr>
          <m:e>
            <m:r>
              <m:rPr/>
              <w:rPr>
                <w:rFonts w:ascii="Cambria Math" w:hAnsi="Cambria Math" w:cs="Cambria Math"/>
                <w:sz w:val="22"/>
                <w:szCs w:val="22"/>
              </w:rPr>
              <m:t>λ</m:t>
            </m:r>
            <m:ctrlPr>
              <w:rPr>
                <w:rFonts w:ascii="Cambria Math" w:hAnsi="Cambria Math" w:cs="Cambria Math"/>
                <w:i/>
                <w:iCs/>
                <w:sz w:val="22"/>
                <w:szCs w:val="22"/>
              </w:rPr>
            </m:ctrlPr>
          </m:e>
          <m:sub>
            <m:r>
              <m:rPr/>
              <w:rPr>
                <w:rFonts w:ascii="Cambria Math" w:hAnsi="Cambria Math" w:cs="Cambria Math"/>
                <w:sz w:val="22"/>
                <w:szCs w:val="22"/>
              </w:rPr>
              <m:t>it</m:t>
            </m:r>
            <m:ctrlPr>
              <w:rPr>
                <w:rFonts w:ascii="Cambria Math" w:hAnsi="Cambria Math" w:cs="Cambria Math"/>
                <w:i/>
                <w:iCs/>
                <w:sz w:val="22"/>
                <w:szCs w:val="22"/>
              </w:rPr>
            </m:ctrlPr>
          </m:sub>
        </m:sSub>
      </m:oMath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4"/>
        </w:rPr>
        <w:t xml:space="preserve"> and </w:t>
      </w:r>
      <m:oMath>
        <m:sSub>
          <m:sSubPr>
            <m:ctrlPr>
              <w:rPr>
                <w:rFonts w:ascii="Cambria Math" w:hAnsi="Cambria Math" w:cs="Cambria Math"/>
                <w:i/>
                <w:iCs/>
                <w:sz w:val="24"/>
              </w:rPr>
            </m:ctrlPr>
          </m:sSubPr>
          <m:e>
            <m:r>
              <m:rPr/>
              <w:rPr>
                <w:rFonts w:ascii="Cambria Math" w:hAnsi="Cambria Math" w:cs="Cambria Math"/>
                <w:sz w:val="24"/>
              </w:rPr>
              <m:t>μ</m:t>
            </m:r>
            <m:ctrlPr>
              <w:rPr>
                <w:rFonts w:ascii="Cambria Math" w:hAnsi="Cambria Math" w:cs="Cambria Math"/>
                <w:i/>
                <w:iCs/>
                <w:sz w:val="24"/>
              </w:rPr>
            </m:ctrlPr>
          </m:e>
          <m:sub>
            <m:r>
              <m:rPr/>
              <w:rPr>
                <w:rFonts w:ascii="Cambria Math" w:hAnsi="Cambria Math" w:cs="Cambria Math"/>
                <w:sz w:val="24"/>
              </w:rPr>
              <m:t>i</m:t>
            </m:r>
            <m:ctrlPr>
              <w:rPr>
                <w:rFonts w:ascii="Cambria Math" w:hAnsi="Cambria Math" w:cs="Cambria Math"/>
                <w:i/>
                <w:iCs/>
                <w:sz w:val="24"/>
              </w:rPr>
            </m:ctrlPr>
          </m:sub>
        </m:sSub>
      </m:oMath>
      <w:r>
        <w:rPr>
          <w:rFonts w:hint="eastAsia" w:cs="Times New Roman"/>
          <w:sz w:val="24"/>
        </w:rPr>
        <w:t xml:space="preserve"> </w:t>
      </w:r>
      <w:r>
        <w:rPr>
          <w:rFonts w:cs="Times New Roman"/>
          <w:sz w:val="24"/>
        </w:rPr>
        <w:t xml:space="preserve">are the time and province fixed effects, respectively, respectively, </w:t>
      </w:r>
      <m:oMath>
        <m:sSub>
          <m:sSubPr>
            <m:ctrlPr>
              <w:rPr>
                <w:rFonts w:ascii="Cambria Math" w:hAnsi="Cambria Math" w:cs="Cambria Math"/>
                <w:i/>
                <w:iCs/>
                <w:sz w:val="24"/>
              </w:rPr>
            </m:ctrlPr>
          </m:sSubPr>
          <m:e>
            <m:r>
              <m:rPr/>
              <w:rPr>
                <w:rFonts w:ascii="Cambria Math" w:hAnsi="Cambria Math" w:cs="Cambria Math"/>
                <w:sz w:val="24"/>
              </w:rPr>
              <m:t>ε</m:t>
            </m:r>
            <m:ctrlPr>
              <w:rPr>
                <w:rFonts w:ascii="Cambria Math" w:hAnsi="Cambria Math" w:cs="Cambria Math"/>
                <w:i/>
                <w:iCs/>
                <w:sz w:val="24"/>
              </w:rPr>
            </m:ctrlPr>
          </m:e>
          <m:sub>
            <m:r>
              <m:rPr/>
              <w:rPr>
                <w:rFonts w:ascii="Cambria Math" w:hAnsi="Cambria Math" w:cs="Cambria Math"/>
                <w:sz w:val="24"/>
              </w:rPr>
              <m:t>it</m:t>
            </m:r>
            <m:ctrlPr>
              <w:rPr>
                <w:rFonts w:ascii="Cambria Math" w:hAnsi="Cambria Math" w:cs="Cambria Math"/>
                <w:i/>
                <w:iCs/>
                <w:sz w:val="24"/>
              </w:rPr>
            </m:ctrlPr>
          </m:sub>
        </m:sSub>
      </m:oMath>
      <w:r>
        <w:rPr>
          <w:rFonts w:cs="Times New Roman"/>
          <w:sz w:val="24"/>
        </w:rPr>
        <w:t xml:space="preserve"> is a random perturbation term, and </w:t>
      </w:r>
      <m:oMath>
        <m:sSub>
          <m:sSubPr>
            <m:ctrlPr>
              <w:rPr>
                <w:rFonts w:ascii="Cambria Math" w:hAnsi="Cambria Math" w:cs="Cambria Math"/>
                <w:i/>
                <w:iCs/>
                <w:sz w:val="24"/>
              </w:rPr>
            </m:ctrlPr>
          </m:sSubPr>
          <m:e>
            <m:r>
              <m:rPr/>
              <w:rPr>
                <w:rFonts w:ascii="Cambria Math" w:hAnsi="Cambria Math" w:cs="Cambria Math"/>
                <w:sz w:val="24"/>
              </w:rPr>
              <m:t>ν</m:t>
            </m:r>
            <m:ctrlPr>
              <w:rPr>
                <w:rFonts w:ascii="Cambria Math" w:hAnsi="Cambria Math" w:cs="Cambria Math"/>
                <w:i/>
                <w:iCs/>
                <w:sz w:val="24"/>
              </w:rPr>
            </m:ctrlPr>
          </m:e>
          <m:sub>
            <m:r>
              <m:rPr/>
              <w:rPr>
                <w:rFonts w:ascii="Cambria Math" w:hAnsi="Cambria Math" w:cs="Cambria Math"/>
                <w:sz w:val="24"/>
              </w:rPr>
              <m:t>it</m:t>
            </m:r>
            <m:ctrlPr>
              <w:rPr>
                <w:rFonts w:ascii="Cambria Math" w:hAnsi="Cambria Math" w:cs="Cambria Math"/>
                <w:i/>
                <w:iCs/>
                <w:sz w:val="24"/>
              </w:rPr>
            </m:ctrlPr>
          </m:sub>
        </m:sSub>
      </m:oMath>
      <w:r>
        <w:rPr>
          <w:rFonts w:hint="eastAsia" w:cs="Times New Roman"/>
          <w:sz w:val="24"/>
        </w:rPr>
        <w:t xml:space="preserve"> </w:t>
      </w:r>
      <w:r>
        <w:rPr>
          <w:rFonts w:cs="Times New Roman"/>
          <w:sz w:val="24"/>
        </w:rPr>
        <w:t xml:space="preserve">is the spatial autocorrelation error term. The correlated error terms </w:t>
      </w:r>
      <m:oMath>
        <m:sSub>
          <m:sSubPr>
            <m:ctrlPr>
              <w:rPr>
                <w:rFonts w:ascii="Cambria Math" w:hAnsi="Cambria Math" w:cs="Cambria Math"/>
                <w:i/>
                <w:iCs/>
                <w:sz w:val="24"/>
              </w:rPr>
            </m:ctrlPr>
          </m:sSubPr>
          <m:e>
            <m:r>
              <m:rPr/>
              <w:rPr>
                <w:rFonts w:ascii="Cambria Math" w:hAnsi="Cambria Math" w:cs="Cambria Math"/>
                <w:sz w:val="24"/>
              </w:rPr>
              <m:t>α</m:t>
            </m:r>
            <m:ctrlPr>
              <w:rPr>
                <w:rFonts w:ascii="Cambria Math" w:hAnsi="Cambria Math" w:cs="Cambria Math"/>
                <w:i/>
                <w:iCs/>
                <w:sz w:val="24"/>
              </w:rPr>
            </m:ctrlPr>
          </m:e>
          <m:sub>
            <m:d>
              <m:dPr>
                <m:ctrlPr>
                  <w:rPr>
                    <w:rFonts w:ascii="Cambria Math" w:hAnsi="Cambria Math" w:cs="Cambria Math"/>
                    <w:i/>
                    <w:iCs/>
                    <w:sz w:val="24"/>
                  </w:rPr>
                </m:ctrlPr>
              </m:dPr>
              <m:e>
                <m:r>
                  <m:rPr/>
                  <w:rPr>
                    <w:rFonts w:ascii="Cambria Math" w:hAnsi="Cambria Math" w:cs="Cambria Math"/>
                    <w:sz w:val="24"/>
                  </w:rPr>
                  <m:t>0−3</m:t>
                </m:r>
                <m:ctrlPr>
                  <w:rPr>
                    <w:rFonts w:ascii="Cambria Math" w:hAnsi="Cambria Math" w:cs="Cambria Math"/>
                    <w:i/>
                    <w:iCs/>
                    <w:sz w:val="24"/>
                  </w:rPr>
                </m:ctrlPr>
              </m:e>
            </m:d>
            <m:ctrlPr>
              <w:rPr>
                <w:rFonts w:ascii="Cambria Math" w:hAnsi="Cambria Math" w:cs="Cambria Math"/>
                <w:i/>
                <w:iCs/>
                <w:sz w:val="24"/>
              </w:rPr>
            </m:ctrlPr>
          </m:sub>
        </m:sSub>
      </m:oMath>
      <w:r>
        <w:rPr>
          <w:rFonts w:ascii="Cambria Math" w:hAnsi="Cambria Math" w:cs="Cambria Math"/>
          <w:i/>
          <w:iCs/>
          <w:sz w:val="24"/>
        </w:rPr>
        <w:t xml:space="preserve">, </w:t>
      </w:r>
      <m:oMath>
        <m:sSub>
          <m:sSubPr>
            <m:ctrlPr>
              <w:rPr>
                <w:rFonts w:ascii="Cambria Math" w:hAnsi="Cambria Math" w:cs="Cambria Math"/>
                <w:i/>
                <w:iCs/>
                <w:sz w:val="24"/>
              </w:rPr>
            </m:ctrlPr>
          </m:sSubPr>
          <m:e>
            <m:r>
              <m:rPr/>
              <w:rPr>
                <w:rFonts w:ascii="Cambria Math" w:hAnsi="Cambria Math" w:cs="Cambria Math"/>
                <w:sz w:val="24"/>
              </w:rPr>
              <m:t>γ</m:t>
            </m:r>
            <m:ctrlPr>
              <w:rPr>
                <w:rFonts w:ascii="Cambria Math" w:hAnsi="Cambria Math" w:cs="Cambria Math"/>
                <w:i/>
                <w:iCs/>
                <w:sz w:val="24"/>
              </w:rPr>
            </m:ctrlPr>
          </m:e>
          <m:sub>
            <m:d>
              <m:dPr>
                <m:ctrlPr>
                  <w:rPr>
                    <w:rFonts w:ascii="Cambria Math" w:hAnsi="Cambria Math" w:cs="Cambria Math"/>
                    <w:i/>
                    <w:iCs/>
                    <w:sz w:val="24"/>
                  </w:rPr>
                </m:ctrlPr>
              </m:dPr>
              <m:e>
                <m:r>
                  <m:rPr/>
                  <w:rPr>
                    <w:rFonts w:ascii="Cambria Math" w:hAnsi="Cambria Math" w:cs="Cambria Math"/>
                    <w:sz w:val="24"/>
                  </w:rPr>
                  <m:t>0−3</m:t>
                </m:r>
                <m:ctrlPr>
                  <w:rPr>
                    <w:rFonts w:ascii="Cambria Math" w:hAnsi="Cambria Math" w:cs="Cambria Math"/>
                    <w:i/>
                    <w:iCs/>
                    <w:sz w:val="24"/>
                  </w:rPr>
                </m:ctrlPr>
              </m:e>
            </m:d>
            <m:ctrlPr>
              <w:rPr>
                <w:rFonts w:ascii="Cambria Math" w:hAnsi="Cambria Math" w:cs="Cambria Math"/>
                <w:i/>
                <w:iCs/>
                <w:sz w:val="24"/>
              </w:rPr>
            </m:ctrlPr>
          </m:sub>
        </m:sSub>
      </m:oMath>
      <w:r>
        <w:rPr>
          <w:rFonts w:cs="Times New Roman"/>
          <w:sz w:val="24"/>
        </w:rPr>
        <w:t xml:space="preserve">, and </w:t>
      </w:r>
      <m:oMath>
        <m:sSub>
          <m:sSubPr>
            <m:ctrlPr>
              <w:rPr>
                <w:rFonts w:ascii="Cambria Math" w:hAnsi="Cambria Math" w:cs="Cambria Math"/>
                <w:i/>
                <w:iCs/>
                <w:sz w:val="24"/>
              </w:rPr>
            </m:ctrlPr>
          </m:sSubPr>
          <m:e>
            <m:r>
              <m:rPr/>
              <w:rPr>
                <w:rFonts w:ascii="Cambria Math" w:hAnsi="Cambria Math" w:cs="Cambria Math"/>
                <w:sz w:val="24"/>
              </w:rPr>
              <m:t>η</m:t>
            </m:r>
            <m:ctrlPr>
              <w:rPr>
                <w:rFonts w:ascii="Cambria Math" w:hAnsi="Cambria Math" w:cs="Cambria Math"/>
                <w:i/>
                <w:iCs/>
                <w:sz w:val="24"/>
              </w:rPr>
            </m:ctrlPr>
          </m:e>
          <m:sub>
            <m:d>
              <m:dPr>
                <m:ctrlPr>
                  <w:rPr>
                    <w:rFonts w:ascii="Cambria Math" w:hAnsi="Cambria Math" w:cs="Cambria Math"/>
                    <w:i/>
                    <w:iCs/>
                    <w:sz w:val="24"/>
                  </w:rPr>
                </m:ctrlPr>
              </m:dPr>
              <m:e>
                <m:r>
                  <m:rPr/>
                  <w:rPr>
                    <w:rFonts w:ascii="Cambria Math" w:hAnsi="Cambria Math" w:cs="Cambria Math"/>
                    <w:sz w:val="24"/>
                  </w:rPr>
                  <m:t>0−3</m:t>
                </m:r>
                <m:ctrlPr>
                  <w:rPr>
                    <w:rFonts w:ascii="Cambria Math" w:hAnsi="Cambria Math" w:cs="Cambria Math"/>
                    <w:i/>
                    <w:iCs/>
                    <w:sz w:val="24"/>
                  </w:rPr>
                </m:ctrlPr>
              </m:e>
            </m:d>
            <m:ctrlPr>
              <w:rPr>
                <w:rFonts w:ascii="Cambria Math" w:hAnsi="Cambria Math" w:cs="Cambria Math"/>
                <w:i/>
                <w:iCs/>
                <w:sz w:val="24"/>
              </w:rPr>
            </m:ctrlPr>
          </m:sub>
        </m:sSub>
      </m:oMath>
      <w:r>
        <w:rPr>
          <w:rFonts w:cs="Times New Roman"/>
          <w:sz w:val="24"/>
        </w:rPr>
        <w:t xml:space="preserve"> are the model parameters to be estimated.</w:t>
      </w:r>
    </w:p>
    <w:p w14:paraId="0B6C699B">
      <w:pPr>
        <w:rPr>
          <w:rFonts w:cs="Times New Roman"/>
          <w:sz w:val="24"/>
        </w:rPr>
      </w:pPr>
      <w:r>
        <w:rPr>
          <w:rFonts w:cs="Times New Roman"/>
          <w:sz w:val="24"/>
        </w:rPr>
        <w:t>The LR test statistic is calculated as:</w:t>
      </w:r>
    </w:p>
    <w:p w14:paraId="591C0F30">
      <w:pPr>
        <w:pStyle w:val="19"/>
      </w:pPr>
      <w:r>
        <w:rPr>
          <w:rFonts w:hint="eastAsia" w:eastAsiaTheme="minorEastAsia"/>
          <w:position w:val="-12"/>
        </w:rPr>
        <w:tab/>
      </w:r>
      <w:r>
        <w:rPr>
          <w:rFonts w:eastAsiaTheme="minorEastAsia"/>
          <w:position w:val="-12"/>
        </w:rPr>
        <w:object>
          <v:shape id="_x0000_i1035" o:spt="75" type="#_x0000_t75" style="height:18.65pt;width:110.35pt;" o:ole="t" filled="f" o:preferrelative="t" stroked="f" coordsize="21600,21600">
            <v:path/>
            <v:fill on="f" focussize="0,0"/>
            <v:stroke on="f" joinstyle="miter"/>
            <v:imagedata r:id="rId25" o:title=""/>
            <o:lock v:ext="edit" aspectratio="t"/>
            <w10:wrap type="none"/>
            <w10:anchorlock/>
          </v:shape>
          <o:OLEObject Type="Embed" ProgID="Equation.KSEE3" ShapeID="_x0000_i1035" DrawAspect="Content" ObjectID="_1468075735" r:id="rId24">
            <o:LockedField>false</o:LockedField>
          </o:OLEObject>
        </w:object>
      </w:r>
      <w:r>
        <w:rPr>
          <w:rFonts w:hint="eastAsia" w:eastAsiaTheme="minorEastAsia"/>
          <w:position w:val="-12"/>
        </w:rPr>
        <w:tab/>
      </w:r>
      <w:r>
        <w:t>（</w:t>
      </w:r>
      <w:r>
        <w:rPr>
          <w:rFonts w:hint="eastAsia"/>
        </w:rPr>
        <w:t>11</w:t>
      </w:r>
      <w:r>
        <w:t>）</w:t>
      </w:r>
    </w:p>
    <w:p w14:paraId="7E682F63">
      <w:pPr>
        <w:jc w:val="left"/>
        <w:rPr>
          <w:rFonts w:cs="Times New Roman"/>
          <w:sz w:val="24"/>
        </w:rPr>
      </w:pPr>
      <w:r>
        <w:rPr>
          <w:rFonts w:cs="Times New Roman"/>
          <w:sz w:val="24"/>
        </w:rPr>
        <w:t xml:space="preserve">Where ll </w:t>
      </w:r>
      <w:r>
        <w:rPr>
          <w:rFonts w:cs="Times New Roman"/>
          <w:sz w:val="24"/>
          <w:vertAlign w:val="subscript"/>
        </w:rPr>
        <w:t xml:space="preserve">SDM </w:t>
      </w:r>
      <w:r>
        <w:rPr>
          <w:rFonts w:cs="Times New Roman"/>
          <w:sz w:val="24"/>
        </w:rPr>
        <w:t xml:space="preserve">and ll </w:t>
      </w:r>
      <w:r>
        <w:rPr>
          <w:rFonts w:cs="Times New Roman"/>
          <w:sz w:val="24"/>
          <w:vertAlign w:val="subscript"/>
        </w:rPr>
        <w:t xml:space="preserve">SLM </w:t>
      </w:r>
      <w:r>
        <w:rPr>
          <w:rFonts w:cs="Times New Roman"/>
          <w:sz w:val="24"/>
        </w:rPr>
        <w:t>are the log-likelihood values of the SDM and SLM.</w:t>
      </w:r>
    </w:p>
    <w:p w14:paraId="61C690BC">
      <w:pPr>
        <w:jc w:val="left"/>
        <w:rPr>
          <w:rFonts w:cs="Times New Roman"/>
          <w:sz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8" w:name="_GoBack"/>
      <w:bookmarkEnd w:id="8"/>
    </w:p>
    <w:p w14:paraId="30D31FEB">
      <w:pPr>
        <w:jc w:val="left"/>
        <w:rPr>
          <w:rFonts w:cs="Times New Roman"/>
          <w:sz w:val="24"/>
        </w:rPr>
      </w:pPr>
      <w:r>
        <w:rPr>
          <w:rFonts w:cs="Times New Roman"/>
          <w:b/>
          <w:bCs/>
          <w:sz w:val="24"/>
        </w:rPr>
        <w:t>Appendix Table</w:t>
      </w:r>
      <w:r>
        <w:rPr>
          <w:rFonts w:hint="eastAsia" w:cs="Times New Roman"/>
          <w:b/>
          <w:bCs/>
          <w:sz w:val="24"/>
        </w:rPr>
        <w:t xml:space="preserve"> 4  </w:t>
      </w:r>
      <w:r>
        <w:rPr>
          <w:rFonts w:cs="Times New Roman"/>
          <w:b/>
          <w:bCs/>
          <w:sz w:val="24"/>
        </w:rPr>
        <w:t>Spatial autocorrelation test results</w:t>
      </w:r>
    </w:p>
    <w:tbl>
      <w:tblPr>
        <w:tblStyle w:val="15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2702"/>
        <w:gridCol w:w="1840"/>
        <w:gridCol w:w="2282"/>
      </w:tblGrid>
      <w:tr w14:paraId="78DA00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95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2E7C34E4">
            <w:pPr>
              <w:widowControl/>
              <w:spacing w:line="21" w:lineRule="atLeast"/>
              <w:jc w:val="center"/>
              <w:rPr>
                <w:rFonts w:cs="Times New Roman"/>
                <w:b/>
                <w:bCs/>
                <w:sz w:val="24"/>
              </w:rPr>
            </w:pPr>
            <w:bookmarkStart w:id="7" w:name="OLE_LINK27"/>
            <w:r>
              <w:rPr>
                <w:rFonts w:cs="Times New Roman"/>
                <w:b/>
                <w:bCs/>
                <w:sz w:val="24"/>
              </w:rPr>
              <w:t>year</w:t>
            </w:r>
          </w:p>
        </w:tc>
        <w:tc>
          <w:tcPr>
            <w:tcW w:w="158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bottom"/>
          </w:tcPr>
          <w:p w14:paraId="6E05E358">
            <w:pPr>
              <w:widowControl/>
              <w:spacing w:line="21" w:lineRule="atLeast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Variables</w:t>
            </w:r>
          </w:p>
        </w:tc>
        <w:tc>
          <w:tcPr>
            <w:tcW w:w="108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bottom"/>
          </w:tcPr>
          <w:p w14:paraId="72EFA2F9">
            <w:pPr>
              <w:widowControl/>
              <w:spacing w:line="21" w:lineRule="atLeast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I</w:t>
            </w:r>
          </w:p>
        </w:tc>
        <w:tc>
          <w:tcPr>
            <w:tcW w:w="1339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bottom"/>
          </w:tcPr>
          <w:p w14:paraId="6E4C1BF9">
            <w:pPr>
              <w:widowControl/>
              <w:spacing w:line="21" w:lineRule="atLeast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p-value</w:t>
            </w:r>
          </w:p>
        </w:tc>
      </w:tr>
      <w:tr w14:paraId="402F8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995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E519DF0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2003</w:t>
            </w:r>
          </w:p>
        </w:tc>
        <w:tc>
          <w:tcPr>
            <w:tcW w:w="1586" w:type="pct"/>
            <w:vMerge w:val="restart"/>
            <w:tcBorders>
              <w:top w:val="single" w:color="000000" w:sz="4" w:space="0"/>
              <w:left w:val="nil"/>
              <w:right w:val="nil"/>
            </w:tcBorders>
            <w:shd w:val="clear" w:color="auto" w:fill="FFFFFF"/>
            <w:vAlign w:val="center"/>
          </w:tcPr>
          <w:p w14:paraId="7C24FAFE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y</w:t>
            </w:r>
          </w:p>
        </w:tc>
        <w:tc>
          <w:tcPr>
            <w:tcW w:w="108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1BDD750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0.226</w:t>
            </w:r>
          </w:p>
        </w:tc>
        <w:tc>
          <w:tcPr>
            <w:tcW w:w="133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AF9E769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0.009</w:t>
            </w:r>
          </w:p>
        </w:tc>
      </w:tr>
      <w:tr w14:paraId="14714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B821D8C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2004</w:t>
            </w:r>
          </w:p>
        </w:tc>
        <w:tc>
          <w:tcPr>
            <w:tcW w:w="1586" w:type="pct"/>
            <w:vMerge w:val="continue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9B490B9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F20F5A1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0.231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E7BF4F6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0.008</w:t>
            </w:r>
          </w:p>
        </w:tc>
      </w:tr>
      <w:tr w14:paraId="06E306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804BD1F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2005</w:t>
            </w:r>
          </w:p>
        </w:tc>
        <w:tc>
          <w:tcPr>
            <w:tcW w:w="1586" w:type="pct"/>
            <w:vMerge w:val="continue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8D82301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6C3C7EA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0.243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FD91AB9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0.006</w:t>
            </w:r>
          </w:p>
        </w:tc>
      </w:tr>
      <w:tr w14:paraId="3E2EE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E764CD5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2006</w:t>
            </w:r>
          </w:p>
        </w:tc>
        <w:tc>
          <w:tcPr>
            <w:tcW w:w="1586" w:type="pct"/>
            <w:vMerge w:val="continue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B6E6770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5830848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0.235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EE18EC4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0.007</w:t>
            </w:r>
          </w:p>
        </w:tc>
      </w:tr>
      <w:tr w14:paraId="5B13A9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7B5090C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2007</w:t>
            </w:r>
          </w:p>
        </w:tc>
        <w:tc>
          <w:tcPr>
            <w:tcW w:w="1586" w:type="pct"/>
            <w:vMerge w:val="continue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728C715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26A5389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0.241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4137F9E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0.006</w:t>
            </w:r>
          </w:p>
        </w:tc>
      </w:tr>
      <w:tr w14:paraId="680C0C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C68587B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2008</w:t>
            </w:r>
          </w:p>
        </w:tc>
        <w:tc>
          <w:tcPr>
            <w:tcW w:w="1586" w:type="pct"/>
            <w:vMerge w:val="continue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A172E50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658A5C8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0.239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1DCA0A7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0.006</w:t>
            </w:r>
          </w:p>
        </w:tc>
      </w:tr>
      <w:tr w14:paraId="4D8347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159776E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2009</w:t>
            </w:r>
          </w:p>
        </w:tc>
        <w:tc>
          <w:tcPr>
            <w:tcW w:w="1586" w:type="pct"/>
            <w:vMerge w:val="continue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04796CB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570CFCC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0.232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3E0AE16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0.006</w:t>
            </w:r>
          </w:p>
        </w:tc>
      </w:tr>
      <w:tr w14:paraId="14869D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0674E95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2010</w:t>
            </w:r>
          </w:p>
        </w:tc>
        <w:tc>
          <w:tcPr>
            <w:tcW w:w="1586" w:type="pct"/>
            <w:vMerge w:val="continue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63E774E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573C89F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0.229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5E45B12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0.006</w:t>
            </w:r>
          </w:p>
        </w:tc>
      </w:tr>
      <w:tr w14:paraId="3E994F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B48A6CF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2011</w:t>
            </w:r>
          </w:p>
        </w:tc>
        <w:tc>
          <w:tcPr>
            <w:tcW w:w="1586" w:type="pct"/>
            <w:vMerge w:val="continue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D341668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24C915C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0.236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E7160BE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0.005</w:t>
            </w:r>
          </w:p>
        </w:tc>
      </w:tr>
      <w:tr w14:paraId="52BE70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A8E086E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2012</w:t>
            </w:r>
          </w:p>
        </w:tc>
        <w:tc>
          <w:tcPr>
            <w:tcW w:w="1586" w:type="pct"/>
            <w:vMerge w:val="continue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5E61184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63ADF93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0.24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B9FF673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0.004</w:t>
            </w:r>
          </w:p>
        </w:tc>
      </w:tr>
      <w:tr w14:paraId="47DE07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EFECAB9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2013</w:t>
            </w:r>
          </w:p>
        </w:tc>
        <w:tc>
          <w:tcPr>
            <w:tcW w:w="1586" w:type="pct"/>
            <w:vMerge w:val="continue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FB415DD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AB7A675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0.233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279DB46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0.005</w:t>
            </w:r>
          </w:p>
        </w:tc>
      </w:tr>
      <w:tr w14:paraId="7ACA90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BD3FD65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2014</w:t>
            </w:r>
          </w:p>
        </w:tc>
        <w:tc>
          <w:tcPr>
            <w:tcW w:w="1586" w:type="pct"/>
            <w:vMerge w:val="continue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EACD15F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6E926DE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0.23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984E823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0.006</w:t>
            </w:r>
          </w:p>
        </w:tc>
      </w:tr>
      <w:tr w14:paraId="237D77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819865C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2015</w:t>
            </w:r>
          </w:p>
        </w:tc>
        <w:tc>
          <w:tcPr>
            <w:tcW w:w="1586" w:type="pct"/>
            <w:vMerge w:val="continue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644565C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6B1C037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0.23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C27F20B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0.007</w:t>
            </w:r>
          </w:p>
        </w:tc>
      </w:tr>
      <w:tr w14:paraId="698A71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F65D07E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2016</w:t>
            </w:r>
          </w:p>
        </w:tc>
        <w:tc>
          <w:tcPr>
            <w:tcW w:w="1586" w:type="pct"/>
            <w:vMerge w:val="continue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FFC29AC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7D7724B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0.244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F4873AD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0.005</w:t>
            </w:r>
          </w:p>
        </w:tc>
      </w:tr>
      <w:tr w14:paraId="09FB91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F3D1AB7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2017</w:t>
            </w:r>
          </w:p>
        </w:tc>
        <w:tc>
          <w:tcPr>
            <w:tcW w:w="1586" w:type="pct"/>
            <w:vMerge w:val="continue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636DCBC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1BEF4AF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0.213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5BDB5FD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0.005</w:t>
            </w:r>
          </w:p>
        </w:tc>
      </w:tr>
      <w:tr w14:paraId="7688A6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30EF541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2018</w:t>
            </w:r>
          </w:p>
        </w:tc>
        <w:tc>
          <w:tcPr>
            <w:tcW w:w="1586" w:type="pct"/>
            <w:vMerge w:val="continue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FE38CB0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799201F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0.21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871F31E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0.004</w:t>
            </w:r>
          </w:p>
        </w:tc>
      </w:tr>
      <w:tr w14:paraId="3509A1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3565C77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2019</w:t>
            </w:r>
          </w:p>
        </w:tc>
        <w:tc>
          <w:tcPr>
            <w:tcW w:w="1586" w:type="pct"/>
            <w:vMerge w:val="continue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326403C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D7B1323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0.211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59A21A5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0.003</w:t>
            </w:r>
          </w:p>
        </w:tc>
      </w:tr>
      <w:tr w14:paraId="0D9820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D87FD6F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2020</w:t>
            </w:r>
          </w:p>
        </w:tc>
        <w:tc>
          <w:tcPr>
            <w:tcW w:w="1586" w:type="pct"/>
            <w:vMerge w:val="continue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5126948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E5DE6D1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0.21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36CBCE9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0.003</w:t>
            </w:r>
          </w:p>
        </w:tc>
      </w:tr>
      <w:tr w14:paraId="0C9BF2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0217B2D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2021</w:t>
            </w:r>
          </w:p>
        </w:tc>
        <w:tc>
          <w:tcPr>
            <w:tcW w:w="1586" w:type="pct"/>
            <w:vMerge w:val="continue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F7F24F2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BB92937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0.199</w:t>
            </w:r>
          </w:p>
        </w:tc>
        <w:tc>
          <w:tcPr>
            <w:tcW w:w="1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96ED987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0.003</w:t>
            </w:r>
          </w:p>
        </w:tc>
      </w:tr>
      <w:tr w14:paraId="5300D0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99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bottom"/>
          </w:tcPr>
          <w:p w14:paraId="55C14541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2022</w:t>
            </w:r>
          </w:p>
        </w:tc>
        <w:tc>
          <w:tcPr>
            <w:tcW w:w="1586" w:type="pct"/>
            <w:vMerge w:val="continue"/>
            <w:tcBorders>
              <w:left w:val="nil"/>
              <w:bottom w:val="single" w:color="000000" w:sz="12" w:space="0"/>
              <w:right w:val="nil"/>
            </w:tcBorders>
            <w:shd w:val="clear" w:color="auto" w:fill="FFFFFF"/>
            <w:vAlign w:val="bottom"/>
          </w:tcPr>
          <w:p w14:paraId="728AAC32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bottom"/>
          </w:tcPr>
          <w:p w14:paraId="4CFCF559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0.18</w:t>
            </w:r>
          </w:p>
        </w:tc>
        <w:tc>
          <w:tcPr>
            <w:tcW w:w="133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bottom"/>
          </w:tcPr>
          <w:p w14:paraId="1F5D227D">
            <w:pPr>
              <w:widowControl/>
              <w:spacing w:line="21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0.003</w:t>
            </w:r>
          </w:p>
        </w:tc>
      </w:tr>
      <w:bookmarkEnd w:id="7"/>
    </w:tbl>
    <w:p w14:paraId="71A0924A">
      <w:pPr>
        <w:rPr>
          <w:i/>
          <w:iCs/>
        </w:rPr>
      </w:pPr>
      <w:r>
        <w:rPr>
          <w:i/>
          <w:iCs/>
        </w:rPr>
        <w:t>Note: All Moran's I values are positive and statistically significant at the 5% level, indicating positive spatial autocorrelation of HQD across BTH cities.</w:t>
      </w:r>
    </w:p>
    <w:p w14:paraId="58A655EB">
      <w:r>
        <w:rPr>
          <w:b/>
          <w:bCs/>
        </w:rPr>
        <w:t>All tables and equations in this appendix are referenced in the main text as "Appendix Table X" or "Appendix Eq. (X)".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281"/>
    <w:rsid w:val="000C4306"/>
    <w:rsid w:val="001F4140"/>
    <w:rsid w:val="003E628A"/>
    <w:rsid w:val="00491EBC"/>
    <w:rsid w:val="004D639F"/>
    <w:rsid w:val="00555C24"/>
    <w:rsid w:val="00690F93"/>
    <w:rsid w:val="006926A5"/>
    <w:rsid w:val="007C43A0"/>
    <w:rsid w:val="00A67C86"/>
    <w:rsid w:val="00AD1B47"/>
    <w:rsid w:val="00AD2E98"/>
    <w:rsid w:val="00E05DB2"/>
    <w:rsid w:val="00ED2281"/>
    <w:rsid w:val="00FA6AA8"/>
    <w:rsid w:val="10D64993"/>
    <w:rsid w:val="692E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30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9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line number"/>
    <w:basedOn w:val="17"/>
    <w:semiHidden/>
    <w:unhideWhenUsed/>
    <w:qFormat/>
    <w:uiPriority w:val="99"/>
  </w:style>
  <w:style w:type="paragraph" w:customStyle="1" w:styleId="19">
    <w:name w:val="公式编号"/>
    <w:basedOn w:val="1"/>
    <w:link w:val="38"/>
    <w:qFormat/>
    <w:uiPriority w:val="0"/>
    <w:pPr>
      <w:tabs>
        <w:tab w:val="center" w:pos="3990"/>
        <w:tab w:val="right" w:pos="8295"/>
      </w:tabs>
      <w:jc w:val="center"/>
    </w:pPr>
    <w:rPr>
      <w:rFonts w:eastAsia="宋体" w:cs="Times New Roman"/>
      <w:bCs/>
      <w:sz w:val="24"/>
      <w:szCs w:val="28"/>
      <w:shd w:val="clear" w:color="auto" w:fill="FFFFFF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2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3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4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5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6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7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6">
    <w:name w:val="明显引用 字符"/>
    <w:basedOn w:val="17"/>
    <w:link w:val="35"/>
    <w:qFormat/>
    <w:uiPriority w:val="30"/>
    <w:rPr>
      <w:i/>
      <w:iCs/>
      <w:color w:val="2F5597" w:themeColor="accent1" w:themeShade="BF"/>
    </w:rPr>
  </w:style>
  <w:style w:type="character" w:customStyle="1" w:styleId="37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8">
    <w:name w:val="公式编号 Char"/>
    <w:link w:val="19"/>
    <w:qFormat/>
    <w:uiPriority w:val="0"/>
    <w:rPr>
      <w:rFonts w:ascii="Times New Roman" w:hAnsi="Times New Roman" w:eastAsia="宋体" w:cs="Times New Roman"/>
      <w:bCs/>
      <w:sz w:val="24"/>
      <w:szCs w:val="28"/>
      <w14:ligatures w14:val="none"/>
    </w:rPr>
  </w:style>
  <w:style w:type="character" w:customStyle="1" w:styleId="39">
    <w:name w:val="页眉 字符"/>
    <w:basedOn w:val="17"/>
    <w:link w:val="12"/>
    <w:qFormat/>
    <w:uiPriority w:val="99"/>
    <w:rPr>
      <w:rFonts w:ascii="Times New Roman" w:hAnsi="Times New Roman"/>
      <w:sz w:val="18"/>
      <w:szCs w:val="18"/>
      <w14:ligatures w14:val="none"/>
    </w:rPr>
  </w:style>
  <w:style w:type="character" w:customStyle="1" w:styleId="40">
    <w:name w:val="页脚 字符"/>
    <w:basedOn w:val="17"/>
    <w:link w:val="11"/>
    <w:qFormat/>
    <w:uiPriority w:val="99"/>
    <w:rPr>
      <w:rFonts w:ascii="Times New Roman" w:hAnsi="Times New Roman"/>
      <w:sz w:val="18"/>
      <w:szCs w:val="1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wmf"/><Relationship Id="rId8" Type="http://schemas.openxmlformats.org/officeDocument/2006/relationships/oleObject" Target="embeddings/oleObject3.bin"/><Relationship Id="rId7" Type="http://schemas.openxmlformats.org/officeDocument/2006/relationships/image" Target="media/image2.wmf"/><Relationship Id="rId6" Type="http://schemas.openxmlformats.org/officeDocument/2006/relationships/oleObject" Target="embeddings/oleObject2.bin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6" Type="http://schemas.openxmlformats.org/officeDocument/2006/relationships/fontTable" Target="fontTable.xml"/><Relationship Id="rId25" Type="http://schemas.openxmlformats.org/officeDocument/2006/relationships/image" Target="media/image11.wmf"/><Relationship Id="rId24" Type="http://schemas.openxmlformats.org/officeDocument/2006/relationships/oleObject" Target="embeddings/oleObject11.bin"/><Relationship Id="rId23" Type="http://schemas.openxmlformats.org/officeDocument/2006/relationships/image" Target="media/image10.wmf"/><Relationship Id="rId22" Type="http://schemas.openxmlformats.org/officeDocument/2006/relationships/oleObject" Target="embeddings/oleObject10.bin"/><Relationship Id="rId21" Type="http://schemas.openxmlformats.org/officeDocument/2006/relationships/image" Target="media/image9.wmf"/><Relationship Id="rId20" Type="http://schemas.openxmlformats.org/officeDocument/2006/relationships/oleObject" Target="embeddings/oleObject9.bin"/><Relationship Id="rId2" Type="http://schemas.openxmlformats.org/officeDocument/2006/relationships/settings" Target="settings.xml"/><Relationship Id="rId19" Type="http://schemas.openxmlformats.org/officeDocument/2006/relationships/image" Target="media/image8.wmf"/><Relationship Id="rId18" Type="http://schemas.openxmlformats.org/officeDocument/2006/relationships/oleObject" Target="embeddings/oleObject8.bin"/><Relationship Id="rId17" Type="http://schemas.openxmlformats.org/officeDocument/2006/relationships/image" Target="media/image7.wmf"/><Relationship Id="rId16" Type="http://schemas.openxmlformats.org/officeDocument/2006/relationships/oleObject" Target="embeddings/oleObject7.bin"/><Relationship Id="rId15" Type="http://schemas.openxmlformats.org/officeDocument/2006/relationships/image" Target="media/image6.wmf"/><Relationship Id="rId14" Type="http://schemas.openxmlformats.org/officeDocument/2006/relationships/oleObject" Target="embeddings/oleObject6.bin"/><Relationship Id="rId13" Type="http://schemas.openxmlformats.org/officeDocument/2006/relationships/image" Target="media/image5.wmf"/><Relationship Id="rId12" Type="http://schemas.openxmlformats.org/officeDocument/2006/relationships/oleObject" Target="embeddings/oleObject5.bin"/><Relationship Id="rId11" Type="http://schemas.openxmlformats.org/officeDocument/2006/relationships/image" Target="media/image4.w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631</Words>
  <Characters>3845</Characters>
  <Lines>508</Lines>
  <Paragraphs>406</Paragraphs>
  <TotalTime>197</TotalTime>
  <ScaleCrop>false</ScaleCrop>
  <LinksUpToDate>false</LinksUpToDate>
  <CharactersWithSpaces>4300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2026-03-24T09:13:00Z</dcterms:created>
  <dc:creator>巍 常</dc:creator>
  <cp:lastModifiedBy>常巍</cp:lastModifiedBy>
  <dcterms:modified xsi:type="dcterms:W3CDTF">2026-04-30T16:11:43Z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A241651422394F4EB61C96FB1B8E792D_13</vt:lpwstr>
  </property>
  <property fmtid="{D5CDD505-2E9C-101B-9397-08002B2CF9AE}" pid="4" name="KSOTemplateDocerSaveRecord">
    <vt:lpwstr>eyJoZGlkIjoiMTdlNDgyMjg2YWY4YjVkYTNkMGIxMGM1YTEzZGJjZDkiLCJ1c2VySWQiOiIxNjU5NTM5OTk0In0=</vt:lpwstr>
  </property>
</Properties>
</file>