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0DBE47">
      <w:pPr>
        <w:rPr>
          <w:rFonts w:hint="eastAsia"/>
          <w:b w:val="0"/>
          <w:bCs w:val="0"/>
          <w:i/>
          <w:iCs/>
          <w:color w:val="auto"/>
          <w:sz w:val="20"/>
          <w:szCs w:val="20"/>
        </w:rPr>
      </w:pPr>
      <w:r>
        <w:rPr>
          <w:rFonts w:hint="eastAsia"/>
          <w:b w:val="0"/>
          <w:bCs w:val="0"/>
          <w:i/>
          <w:iCs/>
          <w:color w:val="auto"/>
          <w:sz w:val="20"/>
          <w:szCs w:val="20"/>
        </w:rPr>
        <w:t>Brain Topography</w:t>
      </w:r>
    </w:p>
    <w:p w14:paraId="4262AF16">
      <w:pPr>
        <w:rPr>
          <w:rFonts w:hint="eastAsia"/>
          <w:b w:val="0"/>
          <w:bCs w:val="0"/>
          <w:i/>
          <w:iCs/>
          <w:color w:val="auto"/>
          <w:sz w:val="20"/>
          <w:szCs w:val="20"/>
        </w:rPr>
      </w:pPr>
      <w:bookmarkStart w:id="0" w:name="_GoBack"/>
      <w:bookmarkEnd w:id="0"/>
    </w:p>
    <w:p w14:paraId="42A30DFA">
      <w:pPr>
        <w:rPr>
          <w:rFonts w:hint="eastAsia"/>
          <w:b/>
          <w:bCs/>
          <w:color w:val="auto"/>
          <w:sz w:val="20"/>
          <w:szCs w:val="20"/>
        </w:rPr>
      </w:pPr>
    </w:p>
    <w:p w14:paraId="2AE1EE05">
      <w:pPr>
        <w:spacing w:after="80" w:line="360" w:lineRule="auto"/>
        <w:jc w:val="center"/>
        <w:rPr>
          <w:color w:val="auto"/>
          <w:sz w:val="20"/>
          <w:szCs w:val="20"/>
        </w:rPr>
      </w:pPr>
      <w:r>
        <w:rPr>
          <w:rFonts w:ascii="Times New Roman" w:hAnsi="Times New Roman" w:eastAsia="Times New Roman" w:cs="Times New Roman"/>
          <w:b/>
          <w:bCs/>
          <w:color w:val="auto"/>
          <w:sz w:val="20"/>
          <w:szCs w:val="20"/>
        </w:rPr>
        <w:t>Neural Complexity Signatures of Visual Mental Imagery:</w:t>
      </w:r>
      <w:r>
        <w:rPr>
          <w:rFonts w:hint="eastAsia" w:eastAsia="宋体" w:cs="Times New Roman"/>
          <w:b/>
          <w:bCs/>
          <w:color w:val="auto"/>
          <w:sz w:val="20"/>
          <w:szCs w:val="20"/>
          <w:lang w:val="en-US" w:eastAsia="zh-CN"/>
        </w:rPr>
        <w:t xml:space="preserve"> </w:t>
      </w:r>
      <w:r>
        <w:rPr>
          <w:rFonts w:ascii="Times New Roman" w:hAnsi="Times New Roman" w:eastAsia="Times New Roman" w:cs="Times New Roman"/>
          <w:b/>
          <w:bCs/>
          <w:color w:val="auto"/>
          <w:sz w:val="20"/>
          <w:szCs w:val="20"/>
        </w:rPr>
        <w:t>Lempel-Ziv Complexity and Higuchi Fractal Dimension</w:t>
      </w:r>
      <w:r>
        <w:rPr>
          <w:rFonts w:hint="eastAsia" w:eastAsia="宋体" w:cs="Times New Roman"/>
          <w:b/>
          <w:bCs/>
          <w:color w:val="auto"/>
          <w:sz w:val="20"/>
          <w:szCs w:val="20"/>
          <w:lang w:val="en-US" w:eastAsia="zh-CN"/>
        </w:rPr>
        <w:t xml:space="preserve"> </w:t>
      </w:r>
      <w:r>
        <w:rPr>
          <w:rFonts w:ascii="Times New Roman" w:hAnsi="Times New Roman" w:eastAsia="Times New Roman" w:cs="Times New Roman"/>
          <w:b/>
          <w:bCs/>
          <w:color w:val="auto"/>
          <w:sz w:val="20"/>
          <w:szCs w:val="20"/>
        </w:rPr>
        <w:t>Reveal Topographic Reorganization in High-Density EEG</w:t>
      </w:r>
    </w:p>
    <w:p w14:paraId="2284CE46">
      <w:pPr>
        <w:spacing w:line="360" w:lineRule="auto"/>
        <w:jc w:val="center"/>
        <w:rPr>
          <w:rFonts w:hint="default" w:ascii="Times New Roman" w:hAnsi="Times New Roman" w:eastAsia="宋体" w:cs="Times New Roman"/>
          <w:color w:val="auto"/>
          <w:sz w:val="20"/>
          <w:szCs w:val="20"/>
          <w:highlight w:val="none"/>
          <w:vertAlign w:val="superscript"/>
          <w:lang w:val="en-US" w:eastAsia="zh-CN"/>
        </w:rPr>
      </w:pPr>
      <w:r>
        <w:rPr>
          <w:rFonts w:hint="default" w:ascii="Times New Roman" w:hAnsi="Times New Roman" w:eastAsia="宋体" w:cs="Times New Roman"/>
          <w:color w:val="auto"/>
          <w:sz w:val="20"/>
          <w:szCs w:val="20"/>
          <w:highlight w:val="none"/>
          <w:vertAlign w:val="baseline"/>
          <w:lang w:val="en-US" w:eastAsia="zh-CN"/>
        </w:rPr>
        <w:t>Yu Gao</w:t>
      </w:r>
      <w:r>
        <w:rPr>
          <w:rFonts w:hint="eastAsia" w:eastAsia="宋体" w:cs="Times New Roman"/>
          <w:color w:val="auto"/>
          <w:sz w:val="20"/>
          <w:szCs w:val="20"/>
          <w:highlight w:val="none"/>
          <w:vertAlign w:val="superscript"/>
          <w:lang w:val="en-US" w:eastAsia="zh-CN"/>
        </w:rPr>
        <w:t>a</w:t>
      </w:r>
      <w:r>
        <w:rPr>
          <w:rFonts w:hint="eastAsia" w:ascii="Times New Roman" w:hAnsi="Times New Roman" w:eastAsia="宋体" w:cs="Times New Roman"/>
          <w:color w:val="auto"/>
          <w:sz w:val="20"/>
          <w:szCs w:val="20"/>
          <w:highlight w:val="none"/>
          <w:vertAlign w:val="superscript"/>
          <w:lang w:val="en-US" w:eastAsia="zh-CN"/>
        </w:rPr>
        <w:t>,</w:t>
      </w:r>
      <w:r>
        <w:rPr>
          <w:rFonts w:hint="eastAsia" w:eastAsia="宋体" w:cs="Times New Roman"/>
          <w:color w:val="auto"/>
          <w:sz w:val="20"/>
          <w:szCs w:val="20"/>
          <w:highlight w:val="none"/>
          <w:vertAlign w:val="superscript"/>
          <w:lang w:val="en-US" w:eastAsia="zh-CN"/>
        </w:rPr>
        <w:t>b</w:t>
      </w:r>
      <w:r>
        <w:rPr>
          <w:rFonts w:hint="default" w:ascii="Times New Roman" w:hAnsi="Times New Roman" w:eastAsia="宋体" w:cs="Times New Roman"/>
          <w:color w:val="auto"/>
          <w:sz w:val="20"/>
          <w:szCs w:val="20"/>
          <w:highlight w:val="none"/>
          <w:vertAlign w:val="superscript"/>
        </w:rPr>
        <w:t>*</w:t>
      </w:r>
      <w:r>
        <w:rPr>
          <w:rFonts w:hint="default" w:ascii="Times New Roman" w:hAnsi="Times New Roman" w:eastAsia="宋体" w:cs="Times New Roman"/>
          <w:color w:val="auto"/>
          <w:sz w:val="20"/>
          <w:szCs w:val="20"/>
          <w:highlight w:val="none"/>
        </w:rPr>
        <w:t>, José Miguel Diniz</w:t>
      </w:r>
      <w:r>
        <w:rPr>
          <w:rFonts w:hint="eastAsia" w:eastAsia="宋体" w:cs="Times New Roman"/>
          <w:color w:val="auto"/>
          <w:sz w:val="20"/>
          <w:szCs w:val="20"/>
          <w:highlight w:val="none"/>
          <w:vertAlign w:val="superscript"/>
          <w:lang w:val="en-US" w:eastAsia="zh-CN"/>
        </w:rPr>
        <w:t>c</w:t>
      </w:r>
    </w:p>
    <w:p w14:paraId="4BBC239D">
      <w:pPr>
        <w:spacing w:line="360" w:lineRule="auto"/>
        <w:rPr>
          <w:rFonts w:hint="default" w:ascii="Times New Roman" w:hAnsi="Times New Roman" w:eastAsia="宋体" w:cs="Times New Roman"/>
          <w:color w:val="auto"/>
          <w:sz w:val="20"/>
          <w:szCs w:val="20"/>
          <w:lang w:val="en-US"/>
        </w:rPr>
      </w:pPr>
      <w:r>
        <w:rPr>
          <w:rFonts w:hint="eastAsia" w:eastAsia="宋体" w:cs="Times New Roman"/>
          <w:color w:val="auto"/>
          <w:sz w:val="20"/>
          <w:szCs w:val="20"/>
          <w:vertAlign w:val="superscript"/>
          <w:lang w:val="en-US" w:eastAsia="zh-CN"/>
        </w:rPr>
        <w:t>a</w:t>
      </w:r>
      <w:r>
        <w:rPr>
          <w:rFonts w:hint="default" w:ascii="Times New Roman" w:hAnsi="Times New Roman" w:eastAsia="宋体" w:cs="Times New Roman"/>
          <w:color w:val="auto"/>
          <w:sz w:val="20"/>
          <w:szCs w:val="20"/>
        </w:rPr>
        <w:t>Department of Electrical and Computer Engineering, Faculty of Engineering, University of Porto</w:t>
      </w:r>
      <w:r>
        <w:rPr>
          <w:rFonts w:hint="default" w:ascii="Times New Roman" w:hAnsi="Times New Roman" w:eastAsia="宋体" w:cs="Times New Roman"/>
          <w:color w:val="auto"/>
          <w:sz w:val="20"/>
          <w:szCs w:val="20"/>
          <w:lang w:val="en-US"/>
        </w:rPr>
        <w:t xml:space="preserve">. </w:t>
      </w:r>
      <w:r>
        <w:rPr>
          <w:rFonts w:hint="default" w:ascii="Times New Roman" w:hAnsi="Times New Roman" w:eastAsia="宋体" w:cs="Times New Roman"/>
          <w:color w:val="auto"/>
          <w:sz w:val="20"/>
          <w:szCs w:val="20"/>
        </w:rPr>
        <w:t>Porto,</w:t>
      </w:r>
      <w:r>
        <w:rPr>
          <w:rFonts w:hint="default" w:ascii="Times New Roman" w:hAnsi="Times New Roman" w:eastAsia="宋体" w:cs="Times New Roman"/>
          <w:color w:val="auto"/>
          <w:sz w:val="20"/>
          <w:szCs w:val="20"/>
          <w:lang w:val="en-US"/>
        </w:rPr>
        <w:t xml:space="preserve"> </w:t>
      </w:r>
      <w:r>
        <w:rPr>
          <w:rFonts w:hint="default" w:ascii="Times New Roman" w:hAnsi="Times New Roman" w:eastAsia="宋体" w:cs="Times New Roman"/>
          <w:color w:val="auto"/>
          <w:sz w:val="20"/>
          <w:szCs w:val="20"/>
        </w:rPr>
        <w:t>Portuga</w:t>
      </w:r>
      <w:r>
        <w:rPr>
          <w:rFonts w:hint="default" w:ascii="Times New Roman" w:hAnsi="Times New Roman" w:eastAsia="宋体" w:cs="Times New Roman"/>
          <w:color w:val="auto"/>
          <w:sz w:val="20"/>
          <w:szCs w:val="20"/>
          <w:lang w:val="en-US"/>
        </w:rPr>
        <w:t>l.</w:t>
      </w:r>
    </w:p>
    <w:p w14:paraId="5709AB77">
      <w:pPr>
        <w:spacing w:line="360" w:lineRule="auto"/>
        <w:rPr>
          <w:rFonts w:hint="default" w:ascii="Times New Roman" w:hAnsi="Times New Roman" w:eastAsia="宋体" w:cs="Times New Roman"/>
          <w:color w:val="auto"/>
          <w:sz w:val="20"/>
          <w:szCs w:val="20"/>
          <w:lang w:val="en-US"/>
        </w:rPr>
      </w:pPr>
      <w:r>
        <w:rPr>
          <w:rFonts w:hint="eastAsia" w:eastAsia="宋体" w:cs="Times New Roman"/>
          <w:color w:val="auto"/>
          <w:sz w:val="20"/>
          <w:szCs w:val="20"/>
          <w:vertAlign w:val="superscript"/>
          <w:lang w:val="en-US" w:eastAsia="zh-CN"/>
        </w:rPr>
        <w:t>b</w:t>
      </w:r>
      <w:r>
        <w:rPr>
          <w:rFonts w:hint="default" w:ascii="Times New Roman" w:hAnsi="Times New Roman" w:eastAsia="宋体" w:cs="Times New Roman"/>
          <w:color w:val="auto"/>
          <w:sz w:val="20"/>
          <w:szCs w:val="20"/>
          <w:lang w:val="en-US"/>
        </w:rPr>
        <w:t>CISTER/ISEP - Research Centre in Real-Time and Embedded Computing</w:t>
      </w:r>
      <w:r>
        <w:rPr>
          <w:rFonts w:hint="eastAsia" w:ascii="Times New Roman" w:hAnsi="Times New Roman" w:eastAsia="宋体" w:cs="Times New Roman"/>
          <w:color w:val="auto"/>
          <w:sz w:val="20"/>
          <w:szCs w:val="20"/>
          <w:lang w:val="en-US" w:eastAsia="zh-CN"/>
        </w:rPr>
        <w:t xml:space="preserve"> </w:t>
      </w:r>
      <w:r>
        <w:rPr>
          <w:rFonts w:hint="default" w:ascii="Times New Roman" w:hAnsi="Times New Roman" w:eastAsia="宋体" w:cs="Times New Roman"/>
          <w:color w:val="auto"/>
          <w:sz w:val="20"/>
          <w:szCs w:val="20"/>
          <w:lang w:val="en-US"/>
        </w:rPr>
        <w:t xml:space="preserve">Systems, School of Engineering, Porto, Portugal </w:t>
      </w:r>
    </w:p>
    <w:p w14:paraId="6AF6E28B">
      <w:pPr>
        <w:spacing w:line="360" w:lineRule="auto"/>
        <w:rPr>
          <w:rFonts w:hint="default" w:ascii="Times New Roman" w:hAnsi="Times New Roman" w:eastAsia="宋体" w:cs="Times New Roman"/>
          <w:color w:val="auto"/>
          <w:sz w:val="20"/>
          <w:szCs w:val="20"/>
          <w:lang w:val="en-US"/>
        </w:rPr>
      </w:pPr>
      <w:r>
        <w:rPr>
          <w:rFonts w:hint="eastAsia" w:eastAsia="宋体" w:cs="Times New Roman"/>
          <w:color w:val="auto"/>
          <w:sz w:val="20"/>
          <w:szCs w:val="20"/>
          <w:vertAlign w:val="superscript"/>
          <w:lang w:val="en-US" w:eastAsia="zh-CN"/>
        </w:rPr>
        <w:t>c</w:t>
      </w:r>
      <w:r>
        <w:rPr>
          <w:rFonts w:hint="default" w:ascii="Times New Roman" w:hAnsi="Times New Roman" w:eastAsia="宋体" w:cs="Times New Roman"/>
          <w:color w:val="auto"/>
          <w:sz w:val="20"/>
          <w:szCs w:val="20"/>
        </w:rPr>
        <w:t>PhD Program in Health Data Science, Faculty of Medicine, University of Porto. Porto, Portugal.</w:t>
      </w:r>
    </w:p>
    <w:p w14:paraId="2D7BA369">
      <w:pPr>
        <w:spacing w:line="360" w:lineRule="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rPr>
        <w:t>*Corresponding author: Faculdade de Engenharia da Universidade do Porto</w:t>
      </w:r>
      <w:r>
        <w:rPr>
          <w:rFonts w:hint="default" w:ascii="Times New Roman" w:hAnsi="Times New Roman" w:eastAsia="宋体" w:cs="Times New Roman"/>
          <w:color w:val="auto"/>
          <w:sz w:val="20"/>
          <w:szCs w:val="20"/>
          <w:highlight w:val="none"/>
          <w:lang w:val="en-US" w:eastAsia="zh-CN"/>
        </w:rPr>
        <w:t xml:space="preserve"> </w:t>
      </w:r>
      <w:r>
        <w:rPr>
          <w:rFonts w:hint="default" w:ascii="Times New Roman" w:hAnsi="Times New Roman" w:eastAsia="宋体" w:cs="Times New Roman"/>
          <w:color w:val="auto"/>
          <w:sz w:val="20"/>
          <w:szCs w:val="20"/>
          <w:highlight w:val="none"/>
        </w:rPr>
        <w:t>Rua Dr. Roberto Frias, 4200 – 465</w:t>
      </w:r>
      <w:r>
        <w:rPr>
          <w:rFonts w:hint="default"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 xml:space="preserve"> Porto</w:t>
      </w:r>
      <w:r>
        <w:rPr>
          <w:rFonts w:hint="default" w:ascii="Times New Roman" w:hAnsi="Times New Roman" w:eastAsia="宋体" w:cs="Times New Roman"/>
          <w:color w:val="auto"/>
          <w:sz w:val="20"/>
          <w:szCs w:val="20"/>
          <w:highlight w:val="none"/>
          <w:lang w:val="en-US" w:eastAsia="zh-CN"/>
        </w:rPr>
        <w:t xml:space="preserve">, Portugal. </w:t>
      </w:r>
      <w:r>
        <w:rPr>
          <w:rFonts w:hint="default" w:ascii="Times New Roman" w:hAnsi="Times New Roman" w:eastAsia="宋体" w:cs="Times New Roman"/>
          <w:color w:val="auto"/>
          <w:sz w:val="20"/>
          <w:szCs w:val="20"/>
          <w:highlight w:val="none"/>
        </w:rPr>
        <w:t xml:space="preserve">Email: </w:t>
      </w:r>
      <w:r>
        <w:rPr>
          <w:rFonts w:hint="default" w:ascii="Times New Roman" w:hAnsi="Times New Roman" w:eastAsia="宋体" w:cs="Times New Roman"/>
          <w:color w:val="auto"/>
          <w:sz w:val="20"/>
          <w:szCs w:val="20"/>
          <w:highlight w:val="none"/>
          <w:u w:val="none"/>
          <w:lang w:val="en-US" w:eastAsia="zh-CN"/>
        </w:rPr>
        <w:fldChar w:fldCharType="begin"/>
      </w:r>
      <w:r>
        <w:rPr>
          <w:rFonts w:hint="default" w:ascii="Times New Roman" w:hAnsi="Times New Roman" w:eastAsia="宋体" w:cs="Times New Roman"/>
          <w:color w:val="auto"/>
          <w:sz w:val="20"/>
          <w:szCs w:val="20"/>
          <w:highlight w:val="none"/>
          <w:u w:val="none"/>
          <w:lang w:val="en-US" w:eastAsia="zh-CN"/>
        </w:rPr>
        <w:instrText xml:space="preserve"> HYPERLINK "mailto:Yu_Gao@alumni.baylor.edu" </w:instrText>
      </w:r>
      <w:r>
        <w:rPr>
          <w:rFonts w:hint="default" w:ascii="Times New Roman" w:hAnsi="Times New Roman" w:eastAsia="宋体" w:cs="Times New Roman"/>
          <w:color w:val="auto"/>
          <w:sz w:val="20"/>
          <w:szCs w:val="20"/>
          <w:highlight w:val="none"/>
          <w:u w:val="none"/>
          <w:lang w:val="en-US" w:eastAsia="zh-CN"/>
        </w:rPr>
        <w:fldChar w:fldCharType="separate"/>
      </w:r>
      <w:r>
        <w:rPr>
          <w:rStyle w:val="4"/>
          <w:rFonts w:hint="default" w:ascii="Times New Roman" w:hAnsi="Times New Roman" w:eastAsia="宋体" w:cs="Times New Roman"/>
          <w:color w:val="auto"/>
          <w:sz w:val="20"/>
          <w:szCs w:val="20"/>
          <w:highlight w:val="none"/>
          <w:u w:val="none"/>
          <w:lang w:val="en-US" w:eastAsia="zh-CN"/>
        </w:rPr>
        <w:t>Yu_Gao@alumni.baylor.edu</w:t>
      </w:r>
      <w:r>
        <w:rPr>
          <w:rFonts w:hint="default" w:ascii="Times New Roman" w:hAnsi="Times New Roman" w:eastAsia="宋体" w:cs="Times New Roman"/>
          <w:color w:val="auto"/>
          <w:sz w:val="20"/>
          <w:szCs w:val="20"/>
          <w:highlight w:val="none"/>
          <w:u w:val="none"/>
          <w:lang w:val="en-US" w:eastAsia="zh-CN"/>
        </w:rPr>
        <w:fldChar w:fldCharType="end"/>
      </w:r>
    </w:p>
    <w:p w14:paraId="48916D11">
      <w:pPr>
        <w:spacing w:line="360" w:lineRule="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rPr>
        <w:t>Tel: +</w:t>
      </w:r>
      <w:r>
        <w:rPr>
          <w:rFonts w:hint="default" w:ascii="Times New Roman" w:hAnsi="Times New Roman" w:eastAsia="宋体" w:cs="Times New Roman"/>
          <w:color w:val="auto"/>
          <w:sz w:val="20"/>
          <w:szCs w:val="20"/>
          <w:highlight w:val="none"/>
          <w:lang w:val="en-US" w:eastAsia="zh-CN"/>
        </w:rPr>
        <w:t>351</w:t>
      </w:r>
      <w:r>
        <w:rPr>
          <w:rFonts w:hint="default" w:ascii="Times New Roman" w:hAnsi="Times New Roman" w:eastAsia="宋体" w:cs="Times New Roman"/>
          <w:color w:val="auto"/>
          <w:sz w:val="20"/>
          <w:szCs w:val="20"/>
          <w:highlight w:val="none"/>
        </w:rPr>
        <w:t>-</w:t>
      </w:r>
      <w:r>
        <w:rPr>
          <w:rFonts w:hint="default" w:ascii="Times New Roman" w:hAnsi="Times New Roman" w:eastAsia="宋体" w:cs="Times New Roman"/>
          <w:color w:val="auto"/>
          <w:sz w:val="20"/>
          <w:szCs w:val="20"/>
          <w:highlight w:val="none"/>
          <w:lang w:val="en-US" w:eastAsia="zh-CN"/>
        </w:rPr>
        <w:t>935856231</w:t>
      </w:r>
    </w:p>
    <w:p w14:paraId="04837E78">
      <w:pPr>
        <w:spacing w:line="360" w:lineRule="auto"/>
        <w:rPr>
          <w:rFonts w:hint="default" w:ascii="Times New Roman" w:hAnsi="Times New Roman" w:eastAsia="宋体" w:cs="Times New Roman"/>
          <w:color w:val="auto"/>
          <w:sz w:val="20"/>
          <w:szCs w:val="20"/>
          <w:highlight w:val="none"/>
          <w:lang w:val="en-US" w:eastAsia="zh-CN"/>
        </w:rPr>
      </w:pPr>
    </w:p>
    <w:p w14:paraId="2DF7C700">
      <w:pPr>
        <w:rPr>
          <w:b/>
          <w:bCs/>
          <w:color w:val="auto"/>
          <w:sz w:val="20"/>
          <w:szCs w:val="20"/>
        </w:rPr>
      </w:pPr>
    </w:p>
    <w:p w14:paraId="74A2A17C">
      <w:pPr>
        <w:rPr>
          <w:b/>
          <w:bCs/>
          <w:color w:val="auto"/>
          <w:sz w:val="20"/>
          <w:szCs w:val="20"/>
        </w:rPr>
      </w:pPr>
      <w:r>
        <w:rPr>
          <w:b/>
          <w:bCs/>
          <w:color w:val="auto"/>
          <w:sz w:val="20"/>
          <w:szCs w:val="20"/>
        </w:rPr>
        <w:t>Supplementary Figures</w:t>
      </w:r>
    </w:p>
    <w:p w14:paraId="00854977">
      <w:pPr>
        <w:rPr>
          <w:b/>
          <w:bCs/>
          <w:color w:val="auto"/>
          <w:sz w:val="20"/>
          <w:szCs w:val="20"/>
        </w:rPr>
      </w:pPr>
    </w:p>
    <w:p w14:paraId="45B37C26">
      <w:pPr>
        <w:rPr>
          <w:rFonts w:hint="eastAsia"/>
          <w:color w:val="auto"/>
          <w:sz w:val="20"/>
          <w:szCs w:val="20"/>
        </w:rPr>
      </w:pPr>
      <w:r>
        <w:rPr>
          <w:rFonts w:hint="eastAsia"/>
          <w:color w:val="auto"/>
          <w:sz w:val="20"/>
          <w:szCs w:val="20"/>
        </w:rPr>
        <w:t>Fig. S</w:t>
      </w:r>
      <w:r>
        <w:rPr>
          <w:rFonts w:hint="eastAsia" w:eastAsia="宋体"/>
          <w:color w:val="auto"/>
          <w:sz w:val="20"/>
          <w:szCs w:val="20"/>
          <w:lang w:val="en-US" w:eastAsia="zh-CN"/>
        </w:rPr>
        <w:t>1</w:t>
      </w:r>
      <w:r>
        <w:rPr>
          <w:rFonts w:hint="eastAsia"/>
          <w:color w:val="auto"/>
          <w:sz w:val="20"/>
          <w:szCs w:val="20"/>
        </w:rPr>
        <w:t xml:space="preserve"> — ICA Component Rejection Distribution</w:t>
      </w:r>
    </w:p>
    <w:p w14:paraId="17C178A2">
      <w:pPr>
        <w:spacing w:after="200"/>
        <w:jc w:val="center"/>
        <w:rPr>
          <w:rFonts w:hint="eastAsia" w:eastAsia="宋体"/>
          <w:color w:val="auto"/>
          <w:sz w:val="20"/>
          <w:szCs w:val="20"/>
          <w:lang w:eastAsia="zh-CN"/>
        </w:rPr>
      </w:pPr>
      <w:r>
        <w:rPr>
          <w:rFonts w:hint="eastAsia" w:eastAsia="宋体"/>
          <w:color w:val="auto"/>
          <w:sz w:val="20"/>
          <w:szCs w:val="20"/>
          <w:lang w:eastAsia="zh-CN"/>
        </w:rPr>
        <w:drawing>
          <wp:inline distT="0" distB="0" distL="114300" distR="114300">
            <wp:extent cx="5941060" cy="3274060"/>
            <wp:effectExtent l="0" t="0" r="2540" b="2540"/>
            <wp:docPr id="4" name="图片 1" descr="fig_s5_ica_distribu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fig_s5_ica_distribution (2)"/>
                    <pic:cNvPicPr>
                      <a:picLocks noChangeAspect="1"/>
                    </pic:cNvPicPr>
                  </pic:nvPicPr>
                  <pic:blipFill>
                    <a:blip r:embed="rId4"/>
                    <a:stretch>
                      <a:fillRect/>
                    </a:stretch>
                  </pic:blipFill>
                  <pic:spPr>
                    <a:xfrm>
                      <a:off x="0" y="0"/>
                      <a:ext cx="5941060" cy="3274060"/>
                    </a:xfrm>
                    <a:prstGeom prst="rect">
                      <a:avLst/>
                    </a:prstGeom>
                    <a:noFill/>
                    <a:ln>
                      <a:noFill/>
                    </a:ln>
                  </pic:spPr>
                </pic:pic>
              </a:graphicData>
            </a:graphic>
          </wp:inline>
        </w:drawing>
      </w:r>
    </w:p>
    <w:p w14:paraId="082CAECA">
      <w:pPr>
        <w:spacing w:after="200"/>
        <w:jc w:val="center"/>
        <w:rPr>
          <w:color w:val="auto"/>
          <w:sz w:val="20"/>
          <w:szCs w:val="20"/>
        </w:rPr>
      </w:pPr>
      <w:r>
        <w:rPr>
          <w:rFonts w:hint="eastAsia"/>
          <w:b/>
          <w:bCs/>
          <w:color w:val="auto"/>
          <w:sz w:val="20"/>
          <w:szCs w:val="20"/>
        </w:rPr>
        <w:t>Fig. S</w:t>
      </w:r>
      <w:r>
        <w:rPr>
          <w:rFonts w:hint="eastAsia" w:eastAsia="宋体"/>
          <w:b/>
          <w:bCs/>
          <w:color w:val="auto"/>
          <w:sz w:val="20"/>
          <w:szCs w:val="20"/>
          <w:lang w:val="en-US" w:eastAsia="zh-CN"/>
        </w:rPr>
        <w:t>1</w:t>
      </w:r>
      <w:r>
        <w:rPr>
          <w:rFonts w:hint="eastAsia"/>
          <w:b/>
          <w:bCs/>
          <w:color w:val="auto"/>
          <w:sz w:val="20"/>
          <w:szCs w:val="20"/>
        </w:rPr>
        <w:t>.</w:t>
      </w:r>
      <w:r>
        <w:rPr>
          <w:rFonts w:hint="eastAsia"/>
          <w:color w:val="auto"/>
          <w:sz w:val="20"/>
          <w:szCs w:val="20"/>
        </w:rPr>
        <w:t xml:space="preserve"> Distribution of independent components (ICs) removed during the wideband Picard ICA cleaning step. Across the cohort (N = 46), an average of 3.2 ± 1.8 artefactual components (predominantly muscle and ocular artefacts) were rejected per subject, ranging from 1 to 7 components.</w:t>
      </w:r>
    </w:p>
    <w:p w14:paraId="0BDF1BA3">
      <w:pPr>
        <w:rPr>
          <w:color w:val="auto"/>
          <w:sz w:val="20"/>
          <w:szCs w:val="20"/>
        </w:rPr>
        <w:sectPr>
          <w:pgSz w:w="12240" w:h="15840"/>
          <w:pgMar w:top="1440" w:right="1440" w:bottom="1440" w:left="1440" w:header="709" w:footer="709" w:gutter="0"/>
          <w:cols w:space="0" w:num="1"/>
          <w:rtlGutter w:val="0"/>
          <w:docGrid w:linePitch="360" w:charSpace="0"/>
        </w:sectPr>
      </w:pPr>
    </w:p>
    <w:p w14:paraId="0C27DC75">
      <w:pPr>
        <w:rPr>
          <w:color w:val="auto"/>
          <w:sz w:val="20"/>
          <w:szCs w:val="20"/>
        </w:rPr>
      </w:pPr>
      <w:r>
        <w:rPr>
          <w:color w:val="auto"/>
          <w:sz w:val="20"/>
          <w:szCs w:val="20"/>
        </w:rPr>
        <w:t>Fig. S2 — LZC Effect Sizes Across Frequency Bands</w:t>
      </w:r>
    </w:p>
    <w:p w14:paraId="7D20E1A6">
      <w:pPr>
        <w:spacing w:after="80"/>
        <w:jc w:val="center"/>
        <w:rPr>
          <w:rFonts w:hint="eastAsia" w:eastAsia="宋体"/>
          <w:color w:val="auto"/>
          <w:sz w:val="20"/>
          <w:szCs w:val="20"/>
          <w:lang w:eastAsia="zh-CN"/>
        </w:rPr>
      </w:pPr>
      <w:r>
        <w:rPr>
          <w:rFonts w:hint="eastAsia" w:eastAsia="宋体"/>
          <w:color w:val="auto"/>
          <w:sz w:val="20"/>
          <w:szCs w:val="20"/>
          <w:lang w:eastAsia="zh-CN"/>
        </w:rPr>
        <w:drawing>
          <wp:inline distT="0" distB="0" distL="114300" distR="114300">
            <wp:extent cx="5935980" cy="5163820"/>
            <wp:effectExtent l="0" t="0" r="7620" b="17780"/>
            <wp:docPr id="1" name="图片 2" descr="fig_s2_band_effect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ig_s2_band_effects (7)"/>
                    <pic:cNvPicPr>
                      <a:picLocks noChangeAspect="1"/>
                    </pic:cNvPicPr>
                  </pic:nvPicPr>
                  <pic:blipFill>
                    <a:blip r:embed="rId5"/>
                    <a:stretch>
                      <a:fillRect/>
                    </a:stretch>
                  </pic:blipFill>
                  <pic:spPr>
                    <a:xfrm>
                      <a:off x="0" y="0"/>
                      <a:ext cx="5935980" cy="5163820"/>
                    </a:xfrm>
                    <a:prstGeom prst="rect">
                      <a:avLst/>
                    </a:prstGeom>
                    <a:noFill/>
                    <a:ln>
                      <a:noFill/>
                    </a:ln>
                  </pic:spPr>
                </pic:pic>
              </a:graphicData>
            </a:graphic>
          </wp:inline>
        </w:drawing>
      </w:r>
    </w:p>
    <w:p w14:paraId="429998A9">
      <w:pPr>
        <w:spacing w:after="200"/>
        <w:jc w:val="center"/>
        <w:rPr>
          <w:color w:val="auto"/>
          <w:sz w:val="20"/>
          <w:szCs w:val="20"/>
        </w:rPr>
        <w:sectPr>
          <w:pgSz w:w="12240" w:h="15840"/>
          <w:pgMar w:top="1440" w:right="1440" w:bottom="1440" w:left="1440" w:header="709" w:footer="709" w:gutter="0"/>
          <w:cols w:space="0" w:num="1"/>
          <w:rtlGutter w:val="0"/>
          <w:docGrid w:linePitch="360" w:charSpace="0"/>
        </w:sectPr>
      </w:pPr>
      <w:r>
        <w:rPr>
          <w:b/>
          <w:color w:val="auto"/>
          <w:sz w:val="20"/>
          <w:szCs w:val="20"/>
        </w:rPr>
        <w:t>Fig. S2. </w:t>
      </w:r>
      <w:r>
        <w:rPr>
          <w:color w:val="auto"/>
          <w:sz w:val="20"/>
          <w:szCs w:val="20"/>
        </w:rPr>
        <w:t xml:space="preserve">Cohen’s d effect sizes for H1 (imagination vs. perception, occipital ROI; left panel) and H2 (high-decoding vs. low-decoding, full </w:t>
      </w:r>
      <w:r>
        <w:rPr>
          <w:rFonts w:hint="eastAsia" w:eastAsia="宋体"/>
          <w:color w:val="auto"/>
          <w:sz w:val="20"/>
          <w:szCs w:val="20"/>
          <w:lang w:eastAsia="zh-CN"/>
        </w:rPr>
        <w:t>58</w:t>
      </w:r>
      <w:r>
        <w:rPr>
          <w:color w:val="auto"/>
          <w:sz w:val="20"/>
          <w:szCs w:val="20"/>
        </w:rPr>
        <w:t>-channel array; right panel) across seven frequency bands (N = 46). Yellow shading marks the low-gamma band (30–60 Hz) targeted by H1/H2; green shading marks the broadband condition evaluated by the multivariate H4 test. Negative d indicates the first group showed lower LZC than the comparator, opposite to predictions. Reference lines at |d| = 0.2 (dashed, small) and |d| = 0.5 (dotted, medium).</w:t>
      </w:r>
    </w:p>
    <w:p w14:paraId="20A66C76">
      <w:pPr>
        <w:rPr>
          <w:color w:val="auto"/>
          <w:sz w:val="20"/>
          <w:szCs w:val="20"/>
        </w:rPr>
      </w:pPr>
      <w:r>
        <w:rPr>
          <w:color w:val="auto"/>
          <w:sz w:val="20"/>
          <w:szCs w:val="20"/>
        </w:rPr>
        <w:t>Fig. S</w:t>
      </w:r>
      <w:r>
        <w:rPr>
          <w:rFonts w:hint="eastAsia" w:eastAsia="宋体"/>
          <w:color w:val="auto"/>
          <w:sz w:val="20"/>
          <w:szCs w:val="20"/>
          <w:lang w:val="en-US" w:eastAsia="zh-CN"/>
        </w:rPr>
        <w:t>3</w:t>
      </w:r>
      <w:r>
        <w:rPr>
          <w:color w:val="auto"/>
          <w:sz w:val="20"/>
          <w:szCs w:val="20"/>
        </w:rPr>
        <w:t xml:space="preserve"> — Enhanced LZC Topographic Maps</w:t>
      </w:r>
    </w:p>
    <w:p w14:paraId="3591421D">
      <w:pPr>
        <w:spacing w:after="80"/>
        <w:jc w:val="center"/>
        <w:rPr>
          <w:rFonts w:hint="eastAsia" w:eastAsia="宋体"/>
          <w:color w:val="auto"/>
          <w:sz w:val="20"/>
          <w:szCs w:val="20"/>
          <w:lang w:eastAsia="zh-CN"/>
        </w:rPr>
      </w:pPr>
      <w:r>
        <w:rPr>
          <w:rFonts w:hint="eastAsia" w:eastAsia="宋体"/>
          <w:color w:val="auto"/>
          <w:sz w:val="20"/>
          <w:szCs w:val="20"/>
          <w:lang w:eastAsia="zh-CN"/>
        </w:rPr>
        <w:drawing>
          <wp:inline distT="0" distB="0" distL="114300" distR="114300">
            <wp:extent cx="5920105" cy="3778250"/>
            <wp:effectExtent l="0" t="0" r="4445" b="12700"/>
            <wp:docPr id="2" name="图片 3" descr="fig_s1_top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fig_s1_topomap"/>
                    <pic:cNvPicPr>
                      <a:picLocks noChangeAspect="1"/>
                    </pic:cNvPicPr>
                  </pic:nvPicPr>
                  <pic:blipFill>
                    <a:blip r:embed="rId6"/>
                    <a:stretch>
                      <a:fillRect/>
                    </a:stretch>
                  </pic:blipFill>
                  <pic:spPr>
                    <a:xfrm>
                      <a:off x="0" y="0"/>
                      <a:ext cx="5920105" cy="3778250"/>
                    </a:xfrm>
                    <a:prstGeom prst="rect">
                      <a:avLst/>
                    </a:prstGeom>
                    <a:noFill/>
                    <a:ln>
                      <a:noFill/>
                    </a:ln>
                  </pic:spPr>
                </pic:pic>
              </a:graphicData>
            </a:graphic>
          </wp:inline>
        </w:drawing>
      </w:r>
    </w:p>
    <w:p w14:paraId="622C41F5">
      <w:pPr>
        <w:spacing w:after="200"/>
        <w:jc w:val="center"/>
        <w:rPr>
          <w:color w:val="auto"/>
          <w:sz w:val="20"/>
          <w:szCs w:val="20"/>
        </w:rPr>
      </w:pPr>
      <w:r>
        <w:rPr>
          <w:b/>
          <w:color w:val="auto"/>
          <w:sz w:val="20"/>
          <w:szCs w:val="20"/>
        </w:rPr>
        <w:t>Fig. S</w:t>
      </w:r>
      <w:r>
        <w:rPr>
          <w:rFonts w:hint="eastAsia" w:eastAsia="宋体"/>
          <w:b/>
          <w:color w:val="auto"/>
          <w:sz w:val="20"/>
          <w:szCs w:val="20"/>
          <w:lang w:val="en-US" w:eastAsia="zh-CN"/>
        </w:rPr>
        <w:t>3</w:t>
      </w:r>
      <w:r>
        <w:rPr>
          <w:b/>
          <w:color w:val="auto"/>
          <w:sz w:val="20"/>
          <w:szCs w:val="20"/>
        </w:rPr>
        <w:t>. </w:t>
      </w:r>
      <w:r>
        <w:rPr>
          <w:color w:val="auto"/>
          <w:sz w:val="20"/>
          <w:szCs w:val="20"/>
        </w:rPr>
        <w:t>Group-averaged broadband LZC topographic maps for three conditions (N = 46). (A) Perception: relatively uniform complexity. (B) High-decoding imagination: augmented frontal complexity with maintained occipital values, consistent with top-down reconstruction. (C) Low-decoding imagination: reduced right parieto-occipital complexity with weaker frontal engagement. Color scale: normalized LZC (0.</w:t>
      </w:r>
      <w:r>
        <w:rPr>
          <w:rFonts w:hint="eastAsia" w:eastAsia="宋体"/>
          <w:color w:val="auto"/>
          <w:sz w:val="20"/>
          <w:szCs w:val="20"/>
          <w:lang w:val="en-US" w:eastAsia="zh-CN"/>
        </w:rPr>
        <w:t>2</w:t>
      </w:r>
      <w:r>
        <w:rPr>
          <w:color w:val="auto"/>
          <w:sz w:val="20"/>
          <w:szCs w:val="20"/>
        </w:rPr>
        <w:t>0–0.40). Black dots mark electrode positions.</w:t>
      </w:r>
    </w:p>
    <w:p w14:paraId="6B858F16">
      <w:pPr>
        <w:spacing w:after="200"/>
        <w:jc w:val="center"/>
        <w:rPr>
          <w:color w:val="auto"/>
          <w:sz w:val="20"/>
          <w:szCs w:val="20"/>
        </w:rPr>
      </w:pPr>
    </w:p>
    <w:p w14:paraId="4955E1A9">
      <w:pPr>
        <w:spacing w:after="200"/>
        <w:jc w:val="center"/>
        <w:rPr>
          <w:color w:val="auto"/>
          <w:sz w:val="20"/>
          <w:szCs w:val="20"/>
        </w:rPr>
      </w:pPr>
    </w:p>
    <w:p w14:paraId="5592D3D1">
      <w:pPr>
        <w:spacing w:after="200"/>
        <w:jc w:val="center"/>
        <w:rPr>
          <w:rFonts w:hint="eastAsia"/>
          <w:color w:val="auto"/>
          <w:sz w:val="20"/>
          <w:szCs w:val="20"/>
        </w:rPr>
        <w:sectPr>
          <w:pgSz w:w="12240" w:h="15840"/>
          <w:pgMar w:top="1440" w:right="1440" w:bottom="1440" w:left="1440" w:header="709" w:footer="709" w:gutter="0"/>
          <w:cols w:space="0" w:num="1"/>
          <w:rtlGutter w:val="0"/>
          <w:docGrid w:linePitch="360" w:charSpace="0"/>
        </w:sectPr>
      </w:pPr>
    </w:p>
    <w:p w14:paraId="4A5CC0FE">
      <w:pPr>
        <w:rPr>
          <w:rFonts w:hint="eastAsia"/>
          <w:color w:val="auto"/>
          <w:sz w:val="20"/>
          <w:szCs w:val="20"/>
        </w:rPr>
      </w:pPr>
      <w:r>
        <w:rPr>
          <w:rFonts w:hint="eastAsia"/>
          <w:color w:val="auto"/>
          <w:sz w:val="20"/>
          <w:szCs w:val="20"/>
        </w:rPr>
        <w:t>Fig. S4 — Spatial Clustering of Broadband LZC Differences</w:t>
      </w:r>
    </w:p>
    <w:p w14:paraId="1713B706">
      <w:pPr>
        <w:spacing w:after="200"/>
        <w:jc w:val="center"/>
        <w:rPr>
          <w:rFonts w:hint="eastAsia" w:eastAsia="宋体"/>
          <w:color w:val="auto"/>
          <w:sz w:val="20"/>
          <w:szCs w:val="20"/>
          <w:lang w:eastAsia="zh-CN"/>
        </w:rPr>
      </w:pPr>
      <w:r>
        <w:rPr>
          <w:rFonts w:hint="eastAsia" w:eastAsia="宋体"/>
          <w:color w:val="auto"/>
          <w:sz w:val="20"/>
          <w:szCs w:val="20"/>
          <w:lang w:eastAsia="zh-CN"/>
        </w:rPr>
        <w:drawing>
          <wp:inline distT="0" distB="0" distL="114300" distR="114300">
            <wp:extent cx="5936615" cy="3114675"/>
            <wp:effectExtent l="0" t="0" r="6985" b="9525"/>
            <wp:docPr id="3" name="图片 4" descr="fig_s4_h4_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fig_s4_h4_cluster"/>
                    <pic:cNvPicPr>
                      <a:picLocks noChangeAspect="1"/>
                    </pic:cNvPicPr>
                  </pic:nvPicPr>
                  <pic:blipFill>
                    <a:blip r:embed="rId7"/>
                    <a:stretch>
                      <a:fillRect/>
                    </a:stretch>
                  </pic:blipFill>
                  <pic:spPr>
                    <a:xfrm>
                      <a:off x="0" y="0"/>
                      <a:ext cx="5936615" cy="3114675"/>
                    </a:xfrm>
                    <a:prstGeom prst="rect">
                      <a:avLst/>
                    </a:prstGeom>
                    <a:noFill/>
                    <a:ln>
                      <a:noFill/>
                    </a:ln>
                  </pic:spPr>
                </pic:pic>
              </a:graphicData>
            </a:graphic>
          </wp:inline>
        </w:drawing>
      </w:r>
    </w:p>
    <w:p w14:paraId="2B1D8C7F">
      <w:pPr>
        <w:spacing w:after="200"/>
        <w:jc w:val="center"/>
        <w:rPr>
          <w:rFonts w:hint="eastAsia"/>
          <w:color w:val="auto"/>
          <w:sz w:val="20"/>
          <w:szCs w:val="20"/>
        </w:rPr>
      </w:pPr>
      <w:r>
        <w:rPr>
          <w:rFonts w:hint="eastAsia"/>
          <w:b/>
          <w:bCs/>
          <w:color w:val="auto"/>
          <w:sz w:val="20"/>
          <w:szCs w:val="20"/>
        </w:rPr>
        <w:t>Fig. S4.</w:t>
      </w:r>
      <w:r>
        <w:rPr>
          <w:rFonts w:hint="eastAsia"/>
          <w:color w:val="auto"/>
          <w:sz w:val="20"/>
          <w:szCs w:val="20"/>
        </w:rPr>
        <w:t xml:space="preserve"> Cluster-based permutation test results for broadband LZC topographic differences between imagination and perception (Hypothesis H4). (A) Unthresholded difference topography (Imagination minus Perception). (B) Difference topography overlayed with significant spatial clusters, where black dots mark the constituent scalp channels driving the significant effect (p = 0.005, 1000 permutations ). (C) Topography of the corresponding statistical values.</w:t>
      </w:r>
    </w:p>
    <w:p w14:paraId="575D2E58">
      <w:pPr>
        <w:rPr>
          <w:rFonts w:hint="eastAsia"/>
          <w:color w:val="auto"/>
          <w:sz w:val="20"/>
          <w:szCs w:val="20"/>
        </w:rPr>
        <w:sectPr>
          <w:pgSz w:w="12240" w:h="15840"/>
          <w:pgMar w:top="1440" w:right="1440" w:bottom="1440" w:left="1440" w:header="709" w:footer="709" w:gutter="0"/>
          <w:cols w:space="0" w:num="1"/>
          <w:rtlGutter w:val="0"/>
          <w:docGrid w:linePitch="360" w:charSpace="0"/>
        </w:sectPr>
      </w:pPr>
    </w:p>
    <w:p w14:paraId="5B0D6C95">
      <w:pPr>
        <w:rPr>
          <w:rFonts w:hint="eastAsia"/>
          <w:color w:val="auto"/>
          <w:sz w:val="20"/>
          <w:szCs w:val="20"/>
        </w:rPr>
      </w:pPr>
      <w:r>
        <w:rPr>
          <w:rFonts w:hint="eastAsia"/>
          <w:color w:val="auto"/>
          <w:sz w:val="20"/>
          <w:szCs w:val="20"/>
        </w:rPr>
        <w:t>Fig. S</w:t>
      </w:r>
      <w:r>
        <w:rPr>
          <w:rFonts w:hint="eastAsia" w:eastAsia="宋体"/>
          <w:color w:val="auto"/>
          <w:sz w:val="20"/>
          <w:szCs w:val="20"/>
          <w:lang w:val="en-US" w:eastAsia="zh-CN"/>
        </w:rPr>
        <w:t>5</w:t>
      </w:r>
      <w:r>
        <w:rPr>
          <w:rFonts w:hint="eastAsia"/>
          <w:color w:val="auto"/>
          <w:sz w:val="20"/>
          <w:szCs w:val="20"/>
        </w:rPr>
        <w:t xml:space="preserve"> — LZC Magnitudes Across Frequency Bands</w:t>
      </w:r>
    </w:p>
    <w:p w14:paraId="71594FE3">
      <w:pPr>
        <w:spacing w:after="200"/>
        <w:jc w:val="center"/>
        <w:rPr>
          <w:rFonts w:hint="eastAsia" w:eastAsia="宋体"/>
          <w:color w:val="auto"/>
          <w:sz w:val="20"/>
          <w:szCs w:val="20"/>
          <w:lang w:eastAsia="zh-CN"/>
        </w:rPr>
      </w:pPr>
      <w:r>
        <w:rPr>
          <w:rFonts w:hint="eastAsia" w:eastAsia="宋体"/>
          <w:color w:val="auto"/>
          <w:sz w:val="20"/>
          <w:szCs w:val="20"/>
          <w:lang w:eastAsia="zh-CN"/>
        </w:rPr>
        <w:drawing>
          <wp:inline distT="0" distB="0" distL="114300" distR="114300">
            <wp:extent cx="5938520" cy="3216275"/>
            <wp:effectExtent l="0" t="0" r="5080" b="3175"/>
            <wp:docPr id="5" name="图片 5" descr="fig_s3_band_mea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_s3_band_means (2)"/>
                    <pic:cNvPicPr>
                      <a:picLocks noChangeAspect="1"/>
                    </pic:cNvPicPr>
                  </pic:nvPicPr>
                  <pic:blipFill>
                    <a:blip r:embed="rId8"/>
                    <a:stretch>
                      <a:fillRect/>
                    </a:stretch>
                  </pic:blipFill>
                  <pic:spPr>
                    <a:xfrm>
                      <a:off x="0" y="0"/>
                      <a:ext cx="5938520" cy="3216275"/>
                    </a:xfrm>
                    <a:prstGeom prst="rect">
                      <a:avLst/>
                    </a:prstGeom>
                    <a:noFill/>
                    <a:ln>
                      <a:noFill/>
                    </a:ln>
                  </pic:spPr>
                </pic:pic>
              </a:graphicData>
            </a:graphic>
          </wp:inline>
        </w:drawing>
      </w:r>
    </w:p>
    <w:p w14:paraId="7565A048">
      <w:pPr>
        <w:spacing w:after="200"/>
        <w:jc w:val="center"/>
        <w:rPr>
          <w:rFonts w:hint="eastAsia"/>
          <w:color w:val="auto"/>
          <w:sz w:val="20"/>
          <w:szCs w:val="20"/>
        </w:rPr>
      </w:pPr>
      <w:r>
        <w:rPr>
          <w:rFonts w:hint="eastAsia"/>
          <w:b/>
          <w:bCs/>
          <w:color w:val="auto"/>
          <w:sz w:val="20"/>
          <w:szCs w:val="20"/>
        </w:rPr>
        <w:t>Fig. S</w:t>
      </w:r>
      <w:r>
        <w:rPr>
          <w:rFonts w:hint="eastAsia" w:eastAsia="宋体"/>
          <w:b/>
          <w:bCs/>
          <w:color w:val="auto"/>
          <w:sz w:val="20"/>
          <w:szCs w:val="20"/>
          <w:lang w:val="en-US" w:eastAsia="zh-CN"/>
        </w:rPr>
        <w:t>5</w:t>
      </w:r>
      <w:r>
        <w:rPr>
          <w:rFonts w:hint="eastAsia"/>
          <w:b/>
          <w:bCs/>
          <w:color w:val="auto"/>
          <w:sz w:val="20"/>
          <w:szCs w:val="20"/>
        </w:rPr>
        <w:t>.</w:t>
      </w:r>
      <w:r>
        <w:rPr>
          <w:rFonts w:hint="eastAsia"/>
          <w:color w:val="auto"/>
          <w:sz w:val="20"/>
          <w:szCs w:val="20"/>
        </w:rPr>
        <w:t xml:space="preserve"> Group-averaged LZC magnitudes across the seven evaluated frequency bands (N = 46). The solid blue line and dashed red line represent visual perception and mental imagination, respectively, with shaded regions denoting ±1 standard error of the mean (SEM). The low-gamma band (30–60 Hz), which was the target of hypothesis H1, is highlighted, visually confirming the absence of the predicted complexity elevation during imagery.</w:t>
      </w:r>
    </w:p>
    <w:p w14:paraId="346DB886"/>
    <w:sectPr>
      <w:pgSz w:w="12240" w:h="15840"/>
      <w:pgMar w:top="1440" w:right="1440" w:bottom="1440" w:left="1440" w:header="709" w:footer="709"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240"/>
  <w:drawingGridVerticalSpacing w:val="99999990"/>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867523"/>
    <w:rsid w:val="22F917D2"/>
    <w:rsid w:val="356E4A75"/>
    <w:rsid w:val="6D355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imes New Roman" w:cs="Times New Roman"/>
      <w:sz w:val="24"/>
      <w:szCs w:val="24"/>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unhideWhenUsed/>
    <w:qFormat/>
    <w:uiPriority w:val="99"/>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331</Words>
  <Characters>2105</Characters>
  <Lines>0</Lines>
  <Paragraphs>0</Paragraphs>
  <TotalTime>0</TotalTime>
  <ScaleCrop>false</ScaleCrop>
  <LinksUpToDate>false</LinksUpToDate>
  <CharactersWithSpaces>2425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2026-04-04T08:41:00Z</dcterms:created>
  <dc:creator>Administrator</dc:creator>
  <cp:lastModifiedBy>asus</cp:lastModifiedBy>
  <dcterms:modified xsi:type="dcterms:W3CDTF">2026-04-04T08:43:03Z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eyJoZGlkIjoiMDFhZDExNzI4YWQyZjI2Y2MwMTIwMDQxZTBjZGExYjMiLCJ1c2VySWQiOiI0OTU1NjE5OTgifQ==</vt:lpwstr>
  </property>
  <property fmtid="{D5CDD505-2E9C-101B-9397-08002B2CF9AE}" pid="4" name="ICV">
    <vt:lpwstr>93B96209693544A3A545C2F2258A5990_12</vt:lpwstr>
  </property>
</Properties>
</file>