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E2CA7" w:rsidRDefault="00000000">
      <w:pPr>
        <w:spacing w:after="0" w:line="48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Supplementary Figures</w:t>
      </w:r>
    </w:p>
    <w:p w14:paraId="6DD4F1A0" w14:textId="602698F5" w:rsidR="00B3712F" w:rsidRDefault="00B3712F">
      <w:pPr>
        <w:spacing w:after="0" w:line="48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14:anchorId="43C6E65D" wp14:editId="4085D4FF">
            <wp:extent cx="5759450" cy="7646035"/>
            <wp:effectExtent l="0" t="0" r="6350" b="0"/>
            <wp:docPr id="1116810284" name="Picture 1" descr="A collage of graphs and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810284" name="Picture 1" descr="A collage of graphs and diagram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9450" cy="7646035"/>
                    </a:xfrm>
                    <a:prstGeom prst="rect">
                      <a:avLst/>
                    </a:prstGeom>
                  </pic:spPr>
                </pic:pic>
              </a:graphicData>
            </a:graphic>
          </wp:inline>
        </w:drawing>
      </w:r>
    </w:p>
    <w:p w14:paraId="00000002" w14:textId="77777777" w:rsidR="00BE2CA7"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Supplementary Figure 1. </w:t>
      </w:r>
      <w:r>
        <w:rPr>
          <w:rFonts w:ascii="Times New Roman" w:eastAsia="Times New Roman" w:hAnsi="Times New Roman" w:cs="Times New Roman"/>
          <w:b/>
          <w:bCs/>
          <w:sz w:val="24"/>
          <w:szCs w:val="24"/>
        </w:rPr>
        <w:t xml:space="preserve">Integrated Genomic and Functional Profiling of RUVBL1 and RUVBL2 in MPM. </w:t>
      </w:r>
      <w:r>
        <w:rPr>
          <w:rFonts w:ascii="Times New Roman" w:eastAsia="Times New Roman" w:hAnsi="Times New Roman" w:cs="Times New Roman"/>
          <w:b/>
          <w:bCs/>
          <w:color w:val="000000"/>
          <w:sz w:val="24"/>
          <w:szCs w:val="24"/>
        </w:rPr>
        <w:t>a</w:t>
      </w:r>
      <w:r>
        <w:rPr>
          <w:rFonts w:ascii="Times New Roman" w:eastAsia="Times New Roman" w:hAnsi="Times New Roman" w:cs="Times New Roman"/>
          <w:color w:val="000000"/>
          <w:sz w:val="24"/>
          <w:szCs w:val="24"/>
        </w:rPr>
        <w:t xml:space="preserve"> Dot plots indicate CRISPR viability scores of all genes (gray dots) and </w:t>
      </w:r>
      <w:r>
        <w:rPr>
          <w:rFonts w:ascii="Times New Roman" w:eastAsia="Times New Roman" w:hAnsi="Times New Roman" w:cs="Times New Roman"/>
          <w:color w:val="000000"/>
          <w:sz w:val="24"/>
          <w:szCs w:val="24"/>
        </w:rPr>
        <w:lastRenderedPageBreak/>
        <w:t xml:space="preserve">RUVBL1 gene (green dots). </w:t>
      </w:r>
      <w:r>
        <w:rPr>
          <w:rFonts w:ascii="Times New Roman" w:eastAsia="Times New Roman" w:hAnsi="Times New Roman" w:cs="Times New Roman"/>
          <w:b/>
          <w:bCs/>
          <w:color w:val="000000"/>
          <w:sz w:val="24"/>
          <w:szCs w:val="24"/>
        </w:rPr>
        <w:t>b</w:t>
      </w:r>
      <w:r>
        <w:rPr>
          <w:rFonts w:ascii="Times New Roman" w:eastAsia="Times New Roman" w:hAnsi="Times New Roman" w:cs="Times New Roman"/>
          <w:color w:val="000000"/>
          <w:sz w:val="24"/>
          <w:szCs w:val="24"/>
        </w:rPr>
        <w:t xml:space="preserve"> RNAi score of RUVBL1 gene across all MPM cell lines in the </w:t>
      </w:r>
      <w:proofErr w:type="spellStart"/>
      <w:r>
        <w:rPr>
          <w:rFonts w:ascii="Times New Roman" w:eastAsia="Times New Roman" w:hAnsi="Times New Roman" w:cs="Times New Roman"/>
          <w:color w:val="000000"/>
          <w:sz w:val="24"/>
          <w:szCs w:val="24"/>
        </w:rPr>
        <w:t>DepMap</w:t>
      </w:r>
      <w:proofErr w:type="spellEnd"/>
      <w:r>
        <w:rPr>
          <w:rFonts w:ascii="Times New Roman" w:eastAsia="Times New Roman" w:hAnsi="Times New Roman" w:cs="Times New Roman"/>
          <w:color w:val="000000"/>
          <w:sz w:val="24"/>
          <w:szCs w:val="24"/>
        </w:rPr>
        <w:t xml:space="preserve"> database. The MPM cell lines used in this study are highlighted with red bars. </w:t>
      </w:r>
      <w:r>
        <w:rPr>
          <w:rFonts w:ascii="Times New Roman" w:eastAsia="Times New Roman" w:hAnsi="Times New Roman" w:cs="Times New Roman"/>
          <w:b/>
          <w:bCs/>
          <w:color w:val="000000"/>
          <w:sz w:val="24"/>
          <w:szCs w:val="24"/>
        </w:rPr>
        <w:t>c</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Integrative analysis of the TCGA MPM cohort using the Gene Set Cancer Analysis (GSCA) platform. Scatter plots show the correlations between RUVBL1 mRNA expression and copy number variation (CNV) (left panel) or DNA methylation (right panel). Spearman correlation coefficients and FDR-adjusted p-values are indicated, demonstrating that elevated RUVBL1 expression associates with focal copy number gains and reduced promoter methylation.</w:t>
      </w:r>
      <w:r>
        <w:rPr>
          <w:rFonts w:ascii="Times New Roman" w:eastAsia="Times New Roman" w:hAnsi="Times New Roman" w:cs="Times New Roman"/>
          <w:b/>
          <w:bCs/>
          <w:color w:val="000000"/>
          <w:sz w:val="24"/>
          <w:szCs w:val="24"/>
        </w:rPr>
        <w:t xml:space="preserve"> 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expression levels (</w:t>
      </w:r>
      <w:r>
        <w:rPr>
          <w:rFonts w:ascii="Times New Roman" w:eastAsia="Times New Roman" w:hAnsi="Times New Roman" w:cs="Times New Roman"/>
          <w:b/>
          <w:bCs/>
          <w:sz w:val="24"/>
          <w:szCs w:val="24"/>
        </w:rPr>
        <w:t>f</w:t>
      </w:r>
      <w:r>
        <w:rPr>
          <w:rFonts w:ascii="Times New Roman" w:eastAsia="Times New Roman" w:hAnsi="Times New Roman" w:cs="Times New Roman"/>
          <w:sz w:val="24"/>
          <w:szCs w:val="24"/>
        </w:rPr>
        <w:t xml:space="preserve">) of RUVBL2 gene across all MPM cell lines in the </w:t>
      </w:r>
      <w:proofErr w:type="spellStart"/>
      <w:r>
        <w:rPr>
          <w:rFonts w:ascii="Times New Roman" w:eastAsia="Times New Roman" w:hAnsi="Times New Roman" w:cs="Times New Roman"/>
          <w:sz w:val="24"/>
          <w:szCs w:val="24"/>
        </w:rPr>
        <w:t>DepMap</w:t>
      </w:r>
      <w:proofErr w:type="spellEnd"/>
      <w:r>
        <w:rPr>
          <w:rFonts w:ascii="Times New Roman" w:eastAsia="Times New Roman" w:hAnsi="Times New Roman" w:cs="Times New Roman"/>
          <w:sz w:val="24"/>
          <w:szCs w:val="24"/>
        </w:rPr>
        <w:t xml:space="preserve"> database. The MPM cell lines used in this study are highlighted with red bars. </w:t>
      </w:r>
      <w:r>
        <w:rPr>
          <w:rFonts w:ascii="Times New Roman" w:eastAsia="Times New Roman" w:hAnsi="Times New Roman" w:cs="Times New Roman"/>
          <w:b/>
          <w:bCs/>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gRNA scores of RUVBL2 gene for H2052 and H2452 cells. X-axis indicates cell lines and the y-axis represents log2FC (fold change) for each gRNA. </w:t>
      </w:r>
      <w:r>
        <w:rPr>
          <w:rFonts w:ascii="Times New Roman" w:eastAsia="Times New Roman" w:hAnsi="Times New Roman" w:cs="Times New Roman"/>
          <w:b/>
          <w:bCs/>
          <w:sz w:val="24"/>
          <w:szCs w:val="24"/>
        </w:rPr>
        <w:t>f</w:t>
      </w:r>
      <w:r>
        <w:rPr>
          <w:rFonts w:ascii="Times New Roman" w:eastAsia="Times New Roman" w:hAnsi="Times New Roman" w:cs="Times New Roman"/>
          <w:sz w:val="24"/>
          <w:szCs w:val="24"/>
        </w:rPr>
        <w:t xml:space="preserve"> CRISPR gene effect scores of RUVBL2 gene across all MPM cell lines in the </w:t>
      </w:r>
      <w:proofErr w:type="spellStart"/>
      <w:r>
        <w:rPr>
          <w:rFonts w:ascii="Times New Roman" w:eastAsia="Times New Roman" w:hAnsi="Times New Roman" w:cs="Times New Roman"/>
          <w:sz w:val="24"/>
          <w:szCs w:val="24"/>
        </w:rPr>
        <w:t>DepMap</w:t>
      </w:r>
      <w:proofErr w:type="spellEnd"/>
      <w:r>
        <w:rPr>
          <w:rFonts w:ascii="Times New Roman" w:eastAsia="Times New Roman" w:hAnsi="Times New Roman" w:cs="Times New Roman"/>
          <w:sz w:val="24"/>
          <w:szCs w:val="24"/>
        </w:rPr>
        <w:t xml:space="preserve"> database. The MPM cell lines used in this study are highlighted with red bars. </w:t>
      </w:r>
      <w:r>
        <w:rPr>
          <w:rFonts w:ascii="Times New Roman" w:eastAsia="Times New Roman" w:hAnsi="Times New Roman" w:cs="Times New Roman"/>
          <w:b/>
          <w:bCs/>
          <w:sz w:val="24"/>
          <w:szCs w:val="24"/>
        </w:rPr>
        <w:t>g</w:t>
      </w:r>
      <w:r>
        <w:rPr>
          <w:rFonts w:ascii="Times New Roman" w:eastAsia="Times New Roman" w:hAnsi="Times New Roman" w:cs="Times New Roman"/>
          <w:sz w:val="24"/>
          <w:szCs w:val="24"/>
        </w:rPr>
        <w:t xml:space="preserve"> RNAi score of RUVBL2 gene across all MPM cell lines in the </w:t>
      </w:r>
      <w:proofErr w:type="spellStart"/>
      <w:r>
        <w:rPr>
          <w:rFonts w:ascii="Times New Roman" w:eastAsia="Times New Roman" w:hAnsi="Times New Roman" w:cs="Times New Roman"/>
          <w:sz w:val="24"/>
          <w:szCs w:val="24"/>
        </w:rPr>
        <w:t>DepMap</w:t>
      </w:r>
      <w:proofErr w:type="spellEnd"/>
      <w:r>
        <w:rPr>
          <w:rFonts w:ascii="Times New Roman" w:eastAsia="Times New Roman" w:hAnsi="Times New Roman" w:cs="Times New Roman"/>
          <w:sz w:val="24"/>
          <w:szCs w:val="24"/>
        </w:rPr>
        <w:t xml:space="preserve"> database. The MPM cell lines used in this study are highlighted with red bars.</w:t>
      </w:r>
    </w:p>
    <w:p w14:paraId="4B5972D4" w14:textId="092CBE88" w:rsidR="00B3712F" w:rsidRDefault="00B3712F">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14962706" wp14:editId="339399F3">
            <wp:extent cx="5759450" cy="6993890"/>
            <wp:effectExtent l="0" t="0" r="6350" b="3810"/>
            <wp:docPr id="980967046" name="Picture 2"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67046" name="Picture 2" descr="A screenshot of a diagram&#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9450" cy="6993890"/>
                    </a:xfrm>
                    <a:prstGeom prst="rect">
                      <a:avLst/>
                    </a:prstGeom>
                  </pic:spPr>
                </pic:pic>
              </a:graphicData>
            </a:graphic>
          </wp:inline>
        </w:drawing>
      </w:r>
    </w:p>
    <w:p w14:paraId="00000003" w14:textId="77777777" w:rsidR="00BE2CA7"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Supplementary Figure 2. Interactome-Level Dependencies and Transcriptomic Enrichment Patterns of RUVBL1 in MPM. a </w:t>
      </w:r>
      <w:r>
        <w:rPr>
          <w:rFonts w:ascii="Times New Roman" w:eastAsia="Times New Roman" w:hAnsi="Times New Roman" w:cs="Times New Roman"/>
          <w:sz w:val="24"/>
          <w:szCs w:val="24"/>
        </w:rPr>
        <w:t xml:space="preserve">and </w:t>
      </w:r>
      <w:r>
        <w:rPr>
          <w:rFonts w:ascii="Times New Roman" w:eastAsia="Times New Roman" w:hAnsi="Times New Roman" w:cs="Times New Roman"/>
          <w:b/>
          <w:bCs/>
          <w:sz w:val="24"/>
          <w:szCs w:val="24"/>
        </w:rPr>
        <w:t xml:space="preserve">b </w:t>
      </w:r>
      <w:r>
        <w:rPr>
          <w:rFonts w:ascii="Times New Roman" w:eastAsia="Times New Roman" w:hAnsi="Times New Roman" w:cs="Times New Roman"/>
          <w:sz w:val="24"/>
          <w:szCs w:val="24"/>
        </w:rPr>
        <w:t>CRISPR viability (</w:t>
      </w:r>
      <w:r>
        <w:rPr>
          <w:rFonts w:ascii="Times New Roman" w:eastAsia="Times New Roman" w:hAnsi="Times New Roman" w:cs="Times New Roman"/>
          <w:b/>
          <w:bCs/>
          <w:sz w:val="24"/>
          <w:szCs w:val="24"/>
        </w:rPr>
        <w:t>a</w:t>
      </w:r>
      <w:r>
        <w:rPr>
          <w:rFonts w:ascii="Times New Roman" w:eastAsia="Times New Roman" w:hAnsi="Times New Roman" w:cs="Times New Roman"/>
          <w:sz w:val="24"/>
          <w:szCs w:val="24"/>
        </w:rPr>
        <w:t>) and gene effect (</w:t>
      </w:r>
      <w:r>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scores for genes encoding components of RUVBL1/2-containing complexes across H2052 and H2452 MPM cell lines, highlighting shared dependencies within the RUVBL1 interactome.</w:t>
      </w:r>
      <w:r>
        <w:rPr>
          <w:rFonts w:ascii="Times New Roman" w:eastAsia="Times New Roman" w:hAnsi="Times New Roman" w:cs="Times New Roman"/>
          <w:b/>
          <w:bCs/>
          <w:sz w:val="24"/>
          <w:szCs w:val="24"/>
        </w:rPr>
        <w:t xml:space="preserve"> c </w:t>
      </w:r>
      <w:r>
        <w:rPr>
          <w:rFonts w:ascii="Times New Roman" w:eastAsia="Times New Roman" w:hAnsi="Times New Roman" w:cs="Times New Roman"/>
          <w:sz w:val="24"/>
          <w:szCs w:val="24"/>
        </w:rPr>
        <w:t xml:space="preserve">Protein–protein interaction (PPI) network generated by STRING database analysis showing the </w:t>
      </w:r>
      <w:r>
        <w:rPr>
          <w:rFonts w:ascii="Times New Roman" w:eastAsia="Times New Roman" w:hAnsi="Times New Roman" w:cs="Times New Roman"/>
          <w:sz w:val="24"/>
          <w:szCs w:val="24"/>
        </w:rPr>
        <w:lastRenderedPageBreak/>
        <w:t xml:space="preserve">RUVBL1 interactome and clustering of replication, repair, and chromatin remodeling complexes. </w:t>
      </w:r>
      <w:r>
        <w:rPr>
          <w:rFonts w:ascii="Times New Roman" w:eastAsia="Times New Roman" w:hAnsi="Times New Roman" w:cs="Times New Roman"/>
          <w:b/>
          <w:bCs/>
          <w:sz w:val="24"/>
          <w:szCs w:val="24"/>
        </w:rPr>
        <w:t>d</w:t>
      </w:r>
      <w:r>
        <w:rPr>
          <w:rFonts w:ascii="Times New Roman" w:eastAsia="Times New Roman" w:hAnsi="Times New Roman" w:cs="Times New Roman"/>
          <w:sz w:val="24"/>
          <w:szCs w:val="24"/>
        </w:rPr>
        <w:t xml:space="preserve"> Gene set enrichment analysis (GSEA) of primary MPM transcriptomes (GSE2549, GSE51024, GSE163722, and GSE29211) showing positive enrichment of RUVBL1-upregulated tumors for mesothelioma-defining transcriptional signatures. Bubble size represents gene set size, and color indicates FDR.</w:t>
      </w:r>
    </w:p>
    <w:p w14:paraId="7F77A47D" w14:textId="40E43526" w:rsidR="00B3712F" w:rsidRDefault="00B3712F">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DD7C7C7" wp14:editId="2442D935">
            <wp:extent cx="5759450" cy="4319905"/>
            <wp:effectExtent l="0" t="0" r="6350" b="0"/>
            <wp:docPr id="698938689" name="Picture 3" descr="A close-up of different types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938689" name="Picture 3" descr="A close-up of different types of cell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14:paraId="00000004" w14:textId="77777777" w:rsidR="00BE2CA7"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Supplementary Figure 3. Immunohistochemical Characterization of RUVBL1 Expression in Mesothelioma. a </w:t>
      </w:r>
      <w:r>
        <w:rPr>
          <w:rFonts w:ascii="Times New Roman" w:eastAsia="Times New Roman" w:hAnsi="Times New Roman" w:cs="Times New Roman"/>
          <w:sz w:val="24"/>
          <w:szCs w:val="24"/>
        </w:rPr>
        <w:t xml:space="preserve">Representative IHC images depicting different immunoreactivity scores (IRS, ranging from 1 to 12) of RUVBL1 staining in different malignant mesothelioma tissues. IRS was calculated by the multiplication of proportion of positive cells and the intensity of staining. Scale bar: 100 </w:t>
      </w:r>
      <w:proofErr w:type="spellStart"/>
      <w:r>
        <w:rPr>
          <w:rFonts w:ascii="Times New Roman" w:eastAsia="Times New Roman" w:hAnsi="Times New Roman" w:cs="Times New Roman"/>
          <w:sz w:val="24"/>
          <w:szCs w:val="24"/>
        </w:rPr>
        <w:t>μm</w:t>
      </w:r>
      <w:proofErr w:type="spellEnd"/>
      <w:r>
        <w:rPr>
          <w:rFonts w:ascii="Times New Roman" w:eastAsia="Times New Roman" w:hAnsi="Times New Roman" w:cs="Times New Roman"/>
          <w:sz w:val="24"/>
          <w:szCs w:val="24"/>
        </w:rPr>
        <w:t xml:space="preserve"> (20X) and 50 </w:t>
      </w:r>
      <w:proofErr w:type="spellStart"/>
      <w:r>
        <w:rPr>
          <w:rFonts w:ascii="Times New Roman" w:eastAsia="Times New Roman" w:hAnsi="Times New Roman" w:cs="Times New Roman"/>
          <w:sz w:val="24"/>
          <w:szCs w:val="24"/>
        </w:rPr>
        <w:t>μm</w:t>
      </w:r>
      <w:proofErr w:type="spellEnd"/>
      <w:r>
        <w:rPr>
          <w:rFonts w:ascii="Times New Roman" w:eastAsia="Times New Roman" w:hAnsi="Times New Roman" w:cs="Times New Roman"/>
          <w:sz w:val="24"/>
          <w:szCs w:val="24"/>
        </w:rPr>
        <w:t xml:space="preserve"> (40X). </w:t>
      </w:r>
      <w:r>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IHC-based analysis of RUVBL1 protein expression in human malignant mesothelioma tissues. </w:t>
      </w:r>
    </w:p>
    <w:p w14:paraId="489C4A24" w14:textId="0258AF8A" w:rsidR="00B3712F" w:rsidRDefault="00B3712F">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1F52EB05" wp14:editId="0F2BF42B">
            <wp:extent cx="5321300" cy="4800600"/>
            <wp:effectExtent l="0" t="0" r="0" b="0"/>
            <wp:docPr id="1174265193" name="Picture 4" descr="A graph of a patient surviv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265193" name="Picture 4" descr="A graph of a patient survival&#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21300" cy="4800600"/>
                    </a:xfrm>
                    <a:prstGeom prst="rect">
                      <a:avLst/>
                    </a:prstGeom>
                  </pic:spPr>
                </pic:pic>
              </a:graphicData>
            </a:graphic>
          </wp:inline>
        </w:drawing>
      </w:r>
    </w:p>
    <w:p w14:paraId="00000005" w14:textId="77777777" w:rsidR="00BE2CA7" w:rsidRDefault="00000000">
      <w:pPr>
        <w:spacing w:after="0" w:line="480" w:lineRule="auto"/>
        <w:jc w:val="both"/>
        <w:rPr>
          <w:rFonts w:ascii="Times New Roman" w:eastAsia="Times New Roman" w:hAnsi="Times New Roman" w:cs="Times New Roman"/>
          <w:sz w:val="24"/>
          <w:szCs w:val="24"/>
        </w:rPr>
      </w:pPr>
      <w:bookmarkStart w:id="0" w:name="_heading=h.7ggl1ryoxbqd" w:colFirst="0" w:colLast="0"/>
      <w:bookmarkEnd w:id="0"/>
      <w:r>
        <w:rPr>
          <w:rFonts w:ascii="Times New Roman" w:eastAsia="Times New Roman" w:hAnsi="Times New Roman" w:cs="Times New Roman"/>
          <w:b/>
          <w:bCs/>
          <w:sz w:val="24"/>
          <w:szCs w:val="24"/>
        </w:rPr>
        <w:t xml:space="preserve">Supplementary Figure 4. Survival Analyses of RUVBL1 and RUVBL2 in the TCGA MPM Cohort. a </w:t>
      </w:r>
      <w:r>
        <w:rPr>
          <w:rFonts w:ascii="Times New Roman" w:eastAsia="Times New Roman" w:hAnsi="Times New Roman" w:cs="Times New Roman"/>
          <w:sz w:val="24"/>
          <w:szCs w:val="24"/>
        </w:rPr>
        <w:t xml:space="preserve">and </w:t>
      </w:r>
      <w:r>
        <w:rPr>
          <w:rFonts w:ascii="Times New Roman" w:eastAsia="Times New Roman" w:hAnsi="Times New Roman" w:cs="Times New Roman"/>
          <w:b/>
          <w:bCs/>
          <w:sz w:val="24"/>
          <w:szCs w:val="24"/>
        </w:rPr>
        <w:t xml:space="preserve">b </w:t>
      </w:r>
      <w:r>
        <w:rPr>
          <w:rFonts w:ascii="Times New Roman" w:eastAsia="Times New Roman" w:hAnsi="Times New Roman" w:cs="Times New Roman"/>
          <w:sz w:val="24"/>
          <w:szCs w:val="24"/>
        </w:rPr>
        <w:t>Overall survival of TCGA MPM cohort based on RUVBL1 copy number variation (</w:t>
      </w:r>
      <w:r>
        <w:rPr>
          <w:rFonts w:ascii="Times New Roman" w:eastAsia="Times New Roman" w:hAnsi="Times New Roman" w:cs="Times New Roman"/>
          <w:b/>
          <w:bCs/>
          <w:sz w:val="24"/>
          <w:szCs w:val="24"/>
        </w:rPr>
        <w:t>a</w:t>
      </w:r>
      <w:r>
        <w:rPr>
          <w:rFonts w:ascii="Times New Roman" w:eastAsia="Times New Roman" w:hAnsi="Times New Roman" w:cs="Times New Roman"/>
          <w:sz w:val="24"/>
          <w:szCs w:val="24"/>
        </w:rPr>
        <w:t>) and DNA methylation status (</w:t>
      </w:r>
      <w:r>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generated using the </w:t>
      </w:r>
      <w:proofErr w:type="spellStart"/>
      <w:r>
        <w:rPr>
          <w:rFonts w:ascii="Times New Roman" w:eastAsia="Times New Roman" w:hAnsi="Times New Roman" w:cs="Times New Roman"/>
          <w:sz w:val="24"/>
          <w:szCs w:val="24"/>
        </w:rPr>
        <w:t>cSurvival</w:t>
      </w:r>
      <w:proofErr w:type="spellEnd"/>
      <w:r>
        <w:rPr>
          <w:rFonts w:ascii="Times New Roman" w:eastAsia="Times New Roman" w:hAnsi="Times New Roman" w:cs="Times New Roman"/>
          <w:sz w:val="24"/>
          <w:szCs w:val="24"/>
        </w:rPr>
        <w:t xml:space="preserve"> platform. Patients with RUVBL1 copy number gains (red) show lower survival compared to those with other copy number variations (blue) while methylation status does not impact survival. p-values are shown on the plot. </w:t>
      </w:r>
      <w:r>
        <w:rPr>
          <w:rFonts w:ascii="Times New Roman" w:eastAsia="Times New Roman" w:hAnsi="Times New Roman" w:cs="Times New Roman"/>
          <w:b/>
          <w:bCs/>
          <w:sz w:val="24"/>
          <w:szCs w:val="24"/>
        </w:rPr>
        <w:t xml:space="preserve">c </w:t>
      </w:r>
      <w:r>
        <w:rPr>
          <w:rFonts w:ascii="Times New Roman" w:eastAsia="Times New Roman" w:hAnsi="Times New Roman" w:cs="Times New Roman"/>
          <w:sz w:val="24"/>
          <w:szCs w:val="24"/>
        </w:rPr>
        <w:t>The Kaplan-Meier survival plot of RUVBL2 in the TCGA MPM dataset compare high gene expression (red) relative to the low/medium or low patients (blue). p-value is shown on the plot.</w:t>
      </w:r>
      <w:r>
        <w:rPr>
          <w:rFonts w:ascii="Times New Roman" w:eastAsia="Times New Roman" w:hAnsi="Times New Roman" w:cs="Times New Roman"/>
          <w:b/>
          <w:bCs/>
          <w:sz w:val="24"/>
          <w:szCs w:val="24"/>
        </w:rPr>
        <w:t xml:space="preserve"> d </w:t>
      </w:r>
      <w:r>
        <w:rPr>
          <w:rFonts w:ascii="Times New Roman" w:eastAsia="Times New Roman" w:hAnsi="Times New Roman" w:cs="Times New Roman"/>
          <w:sz w:val="24"/>
          <w:szCs w:val="24"/>
        </w:rPr>
        <w:t>Overall survival of TCGA MPM cohort based on RUVBL1 copy number variation depicting the association of copy number gains (red) with lower survival compared to other copy number variations (blue).</w:t>
      </w:r>
    </w:p>
    <w:p w14:paraId="6835B3A6" w14:textId="404054F8" w:rsidR="00B3712F" w:rsidRDefault="00B3712F">
      <w:pPr>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0" distB="0" distL="0" distR="0" wp14:anchorId="7F0872B9" wp14:editId="0885C6E5">
            <wp:extent cx="5759450" cy="4047490"/>
            <wp:effectExtent l="0" t="0" r="6350" b="3810"/>
            <wp:docPr id="5998033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03335" name="Picture 59980333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4047490"/>
                    </a:xfrm>
                    <a:prstGeom prst="rect">
                      <a:avLst/>
                    </a:prstGeom>
                  </pic:spPr>
                </pic:pic>
              </a:graphicData>
            </a:graphic>
          </wp:inline>
        </w:drawing>
      </w:r>
    </w:p>
    <w:p w14:paraId="00000006" w14:textId="77777777" w:rsidR="00BE2CA7" w:rsidRDefault="00000000">
      <w:pPr>
        <w:spacing w:after="0" w:line="480" w:lineRule="auto"/>
        <w:jc w:val="both"/>
        <w:rPr>
          <w:rFonts w:ascii="Times New Roman" w:eastAsia="Times New Roman" w:hAnsi="Times New Roman" w:cs="Times New Roman"/>
          <w:color w:val="000000"/>
          <w:sz w:val="24"/>
          <w:szCs w:val="24"/>
        </w:rPr>
      </w:pPr>
      <w:bookmarkStart w:id="1" w:name="_heading=h.q1ufym3dlvpn" w:colFirst="0" w:colLast="0"/>
      <w:bookmarkEnd w:id="1"/>
      <w:r>
        <w:rPr>
          <w:rFonts w:ascii="Times New Roman" w:eastAsia="Times New Roman" w:hAnsi="Times New Roman" w:cs="Times New Roman"/>
          <w:b/>
          <w:bCs/>
          <w:color w:val="000000"/>
          <w:sz w:val="24"/>
          <w:szCs w:val="24"/>
        </w:rPr>
        <w:t xml:space="preserve">Supplementary Figure 5. </w:t>
      </w:r>
      <w:r>
        <w:rPr>
          <w:rFonts w:ascii="Times New Roman" w:eastAsia="Times New Roman" w:hAnsi="Times New Roman" w:cs="Times New Roman"/>
          <w:b/>
          <w:bCs/>
          <w:sz w:val="24"/>
          <w:szCs w:val="24"/>
        </w:rPr>
        <w:t xml:space="preserve">RUVBL1 Depletion Suppresses Proliferation, with Functional Rescue by RUVBL1 Re-Expression. </w:t>
      </w:r>
      <w:proofErr w:type="spellStart"/>
      <w:r>
        <w:rPr>
          <w:rFonts w:ascii="Times New Roman" w:eastAsia="Times New Roman" w:hAnsi="Times New Roman" w:cs="Times New Roman"/>
          <w:b/>
          <w:bCs/>
          <w:color w:val="000000"/>
          <w:sz w:val="24"/>
          <w:szCs w:val="24"/>
        </w:rPr>
        <w:t>a</w:t>
      </w:r>
      <w:proofErr w:type="spellEnd"/>
      <w:r>
        <w:rPr>
          <w:rFonts w:ascii="Times New Roman" w:eastAsia="Times New Roman" w:hAnsi="Times New Roman" w:cs="Times New Roman"/>
          <w:color w:val="000000"/>
          <w:sz w:val="24"/>
          <w:szCs w:val="24"/>
        </w:rPr>
        <w:t xml:space="preserve"> The MTT assay measuring the proliferation rates of RUVBL1-depleted H2052 and H2452 cells. Data are presented as the mean ± </w:t>
      </w:r>
      <w:r>
        <w:rPr>
          <w:rFonts w:ascii="Times New Roman" w:eastAsia="Times New Roman" w:hAnsi="Times New Roman" w:cs="Times New Roman"/>
          <w:sz w:val="24"/>
          <w:szCs w:val="24"/>
        </w:rPr>
        <w:t xml:space="preserve">SEM </w:t>
      </w:r>
      <w:r>
        <w:rPr>
          <w:rFonts w:ascii="Times New Roman" w:eastAsia="Times New Roman" w:hAnsi="Times New Roman" w:cs="Times New Roman"/>
          <w:color w:val="000000"/>
          <w:sz w:val="24"/>
          <w:szCs w:val="24"/>
        </w:rPr>
        <w:t>of six replicates. Two-tailed Student’s t-test was used for statistical analysis. ***p&lt;0.001.</w:t>
      </w:r>
      <w:r>
        <w:rPr>
          <w:rFonts w:ascii="Times New Roman" w:eastAsia="Times New Roman" w:hAnsi="Times New Roman" w:cs="Times New Roman"/>
          <w:b/>
          <w:bCs/>
          <w:color w:val="000000"/>
          <w:sz w:val="24"/>
          <w:szCs w:val="24"/>
        </w:rPr>
        <w:t xml:space="preserve"> b </w:t>
      </w:r>
      <w:r>
        <w:rPr>
          <w:rFonts w:ascii="Times New Roman" w:eastAsia="Times New Roman" w:hAnsi="Times New Roman" w:cs="Times New Roman"/>
          <w:color w:val="000000"/>
          <w:sz w:val="24"/>
          <w:szCs w:val="24"/>
        </w:rPr>
        <w:t xml:space="preserve">Representative images of </w:t>
      </w:r>
      <w:proofErr w:type="spellStart"/>
      <w:r>
        <w:rPr>
          <w:rFonts w:ascii="Times New Roman" w:eastAsia="Times New Roman" w:hAnsi="Times New Roman" w:cs="Times New Roman"/>
          <w:color w:val="000000"/>
          <w:sz w:val="24"/>
          <w:szCs w:val="24"/>
        </w:rPr>
        <w:t>BrdU</w:t>
      </w:r>
      <w:proofErr w:type="spellEnd"/>
      <w:r>
        <w:rPr>
          <w:rFonts w:ascii="Times New Roman" w:eastAsia="Times New Roman" w:hAnsi="Times New Roman" w:cs="Times New Roman"/>
          <w:color w:val="000000"/>
          <w:sz w:val="24"/>
          <w:szCs w:val="24"/>
        </w:rPr>
        <w:t xml:space="preserve"> incorporation assay (Fig. 2B) showing reduced cell proliferation index (</w:t>
      </w:r>
      <w:proofErr w:type="spellStart"/>
      <w:r>
        <w:rPr>
          <w:rFonts w:ascii="Times New Roman" w:eastAsia="Times New Roman" w:hAnsi="Times New Roman" w:cs="Times New Roman"/>
          <w:color w:val="000000"/>
          <w:sz w:val="24"/>
          <w:szCs w:val="24"/>
        </w:rPr>
        <w:t>BrdU</w:t>
      </w:r>
      <w:proofErr w:type="spellEnd"/>
      <w:r>
        <w:rPr>
          <w:rFonts w:ascii="Times New Roman" w:eastAsia="Times New Roman" w:hAnsi="Times New Roman" w:cs="Times New Roman"/>
          <w:color w:val="000000"/>
          <w:sz w:val="24"/>
          <w:szCs w:val="24"/>
        </w:rPr>
        <w:t xml:space="preserve"> positivity, green, 12 h labeling) of RUVBL1-depleted cells. DAPI was used as a nuclear counterstain (Blue). Scale bar: 50 </w:t>
      </w:r>
      <w:proofErr w:type="spellStart"/>
      <w:r>
        <w:rPr>
          <w:rFonts w:ascii="Times New Roman" w:eastAsia="Times New Roman" w:hAnsi="Times New Roman" w:cs="Times New Roman"/>
          <w:color w:val="000000"/>
          <w:sz w:val="24"/>
          <w:szCs w:val="24"/>
        </w:rPr>
        <w:t>μm</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c</w:t>
      </w:r>
      <w:r>
        <w:rPr>
          <w:rFonts w:ascii="Times New Roman" w:eastAsia="Times New Roman" w:hAnsi="Times New Roman" w:cs="Times New Roman"/>
          <w:color w:val="000000"/>
          <w:sz w:val="24"/>
          <w:szCs w:val="24"/>
        </w:rPr>
        <w:t xml:space="preserve"> Representative images showing restored 2D colony formation capacity of H2052 and H2452 cells (Fig. 2H) with or without RUVBL1 depletion, forced to express gRNA resistant RUVBL1-cDNA. Colony formation assay was performed in triplicates in 12-well cell culture plates for 10. High-resolution images of the plates were acquired by LI-COR Odyssey CLx Imaging System.</w:t>
      </w:r>
    </w:p>
    <w:p w14:paraId="4A66E6AD" w14:textId="55382746" w:rsidR="00B3712F" w:rsidRDefault="00B3712F">
      <w:pPr>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0" distB="0" distL="0" distR="0" wp14:anchorId="66479513" wp14:editId="70EE7EDD">
            <wp:extent cx="5759450" cy="3719830"/>
            <wp:effectExtent l="0" t="0" r="6350" b="1270"/>
            <wp:docPr id="265968406" name="Picture 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68406" name="Picture 6" descr="A screenshot of a graph&#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3719830"/>
                    </a:xfrm>
                    <a:prstGeom prst="rect">
                      <a:avLst/>
                    </a:prstGeom>
                  </pic:spPr>
                </pic:pic>
              </a:graphicData>
            </a:graphic>
          </wp:inline>
        </w:drawing>
      </w:r>
    </w:p>
    <w:p w14:paraId="00000007" w14:textId="77777777" w:rsidR="00BE2CA7" w:rsidRDefault="00000000">
      <w:pPr>
        <w:spacing w:after="0" w:line="480" w:lineRule="auto"/>
        <w:jc w:val="both"/>
        <w:rPr>
          <w:rFonts w:ascii="Times New Roman" w:eastAsia="Times New Roman" w:hAnsi="Times New Roman" w:cs="Times New Roman"/>
          <w:sz w:val="24"/>
          <w:szCs w:val="24"/>
        </w:rPr>
      </w:pPr>
      <w:bookmarkStart w:id="2" w:name="_heading=h.o6my1nugyu10" w:colFirst="0" w:colLast="0"/>
      <w:bookmarkEnd w:id="2"/>
      <w:r>
        <w:rPr>
          <w:rFonts w:ascii="Times New Roman" w:eastAsia="Times New Roman" w:hAnsi="Times New Roman" w:cs="Times New Roman"/>
          <w:b/>
          <w:bCs/>
          <w:sz w:val="24"/>
          <w:szCs w:val="24"/>
        </w:rPr>
        <w:t xml:space="preserve">Supplementary Figure 6. GSEA Reveals Proliferation-Associated Signatures Enriched in RUVBL1-High MPM Tumors. </w:t>
      </w:r>
      <w:proofErr w:type="spellStart"/>
      <w:r>
        <w:rPr>
          <w:rFonts w:ascii="Times New Roman" w:eastAsia="Times New Roman" w:hAnsi="Times New Roman" w:cs="Times New Roman"/>
          <w:b/>
          <w:bCs/>
          <w:sz w:val="24"/>
          <w:szCs w:val="24"/>
        </w:rPr>
        <w:t>a,b</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b/>
          <w:bCs/>
          <w:sz w:val="24"/>
          <w:szCs w:val="24"/>
        </w:rPr>
        <w:t xml:space="preserve"> c </w:t>
      </w:r>
      <w:r>
        <w:rPr>
          <w:rFonts w:ascii="Times New Roman" w:eastAsia="Times New Roman" w:hAnsi="Times New Roman" w:cs="Times New Roman"/>
          <w:sz w:val="24"/>
          <w:szCs w:val="24"/>
        </w:rPr>
        <w:t>GSEA plots from GSE2549, GSE1024, GSE163722, and GSE 29211 datasets. The plots show significantly enriched E2F (</w:t>
      </w:r>
      <w:r>
        <w:rPr>
          <w:rFonts w:ascii="Times New Roman" w:eastAsia="Times New Roman" w:hAnsi="Times New Roman" w:cs="Times New Roman"/>
          <w:b/>
          <w:bCs/>
          <w:sz w:val="24"/>
          <w:szCs w:val="24"/>
        </w:rPr>
        <w:t>a</w:t>
      </w:r>
      <w:r>
        <w:rPr>
          <w:rFonts w:ascii="Times New Roman" w:eastAsia="Times New Roman" w:hAnsi="Times New Roman" w:cs="Times New Roman"/>
          <w:sz w:val="24"/>
          <w:szCs w:val="24"/>
        </w:rPr>
        <w:t>),  MYC (</w:t>
      </w:r>
      <w:r>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and G2/M checkpoint (</w:t>
      </w:r>
      <w:r>
        <w:rPr>
          <w:rFonts w:ascii="Times New Roman" w:eastAsia="Times New Roman" w:hAnsi="Times New Roman" w:cs="Times New Roman"/>
          <w:b/>
          <w:bCs/>
          <w:sz w:val="24"/>
          <w:szCs w:val="24"/>
        </w:rPr>
        <w:t>c</w:t>
      </w:r>
      <w:r>
        <w:rPr>
          <w:rFonts w:ascii="Times New Roman" w:eastAsia="Times New Roman" w:hAnsi="Times New Roman" w:cs="Times New Roman"/>
          <w:sz w:val="24"/>
          <w:szCs w:val="24"/>
        </w:rPr>
        <w:t xml:space="preserve">) target gene expression, all reflecting activation of cell proliferation in MPM tumors with high RUVBL1 expression (RUVBL1 High). The y-axis represents the enrichment score (ES). The significance of correlation is depicted on the x-axis, by the red color for positive and the blue color for negative correlation. Normalized enrichment score (NES), false discovery rate (FDR) and p-values are shown. </w:t>
      </w:r>
    </w:p>
    <w:p w14:paraId="16DFB3C5" w14:textId="7C870175" w:rsidR="00B3712F" w:rsidRDefault="00B3712F">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24FD824" wp14:editId="03B5CFB8">
            <wp:extent cx="5759450" cy="3839845"/>
            <wp:effectExtent l="0" t="0" r="6350" b="0"/>
            <wp:docPr id="216951163" name="Picture 7" descr="A group of green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51163" name="Picture 7" descr="A group of green and blue dot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3839845"/>
                    </a:xfrm>
                    <a:prstGeom prst="rect">
                      <a:avLst/>
                    </a:prstGeom>
                  </pic:spPr>
                </pic:pic>
              </a:graphicData>
            </a:graphic>
          </wp:inline>
        </w:drawing>
      </w:r>
    </w:p>
    <w:p w14:paraId="00000008" w14:textId="77777777" w:rsidR="00BE2CA7"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Supplementary Figure 7. </w:t>
      </w:r>
      <w:r>
        <w:rPr>
          <w:rFonts w:ascii="Times New Roman" w:eastAsia="Times New Roman" w:hAnsi="Times New Roman" w:cs="Times New Roman"/>
          <w:sz w:val="24"/>
          <w:szCs w:val="24"/>
        </w:rPr>
        <w:t>Representative images of the Annexin V/PI apoptosis assay (Fig. 3H) revealing increased apoptosis in RUVBL1-depleted cells.</w:t>
      </w:r>
    </w:p>
    <w:p w14:paraId="5B17ED73" w14:textId="607DA660" w:rsidR="00B3712F" w:rsidRDefault="00B3712F">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F64992D" wp14:editId="5EBFEB61">
            <wp:extent cx="5759450" cy="8063230"/>
            <wp:effectExtent l="0" t="0" r="6350" b="1270"/>
            <wp:docPr id="701768752" name="Picture 9" descr="A screensho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768752" name="Picture 9" descr="A screenshot of a tes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8063230"/>
                    </a:xfrm>
                    <a:prstGeom prst="rect">
                      <a:avLst/>
                    </a:prstGeom>
                  </pic:spPr>
                </pic:pic>
              </a:graphicData>
            </a:graphic>
          </wp:inline>
        </w:drawing>
      </w:r>
    </w:p>
    <w:p w14:paraId="00000009" w14:textId="77777777" w:rsidR="00BE2CA7"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Supplementary Figure 8. </w:t>
      </w:r>
      <w:r>
        <w:rPr>
          <w:rFonts w:ascii="Times New Roman" w:eastAsia="Times New Roman" w:hAnsi="Times New Roman" w:cs="Times New Roman"/>
          <w:b/>
          <w:bCs/>
          <w:sz w:val="24"/>
          <w:szCs w:val="24"/>
        </w:rPr>
        <w:t>RUVBL1 Overexpression Enhances Proliferation and EMT-Associated Phenotypes in MPM Cells. 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Representative images</w:t>
      </w:r>
      <w:proofErr w:type="gram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BrdU</w:t>
      </w:r>
      <w:proofErr w:type="spellEnd"/>
      <w:r>
        <w:rPr>
          <w:rFonts w:ascii="Times New Roman" w:eastAsia="Times New Roman" w:hAnsi="Times New Roman" w:cs="Times New Roman"/>
          <w:sz w:val="24"/>
          <w:szCs w:val="24"/>
        </w:rPr>
        <w:t xml:space="preserve"> incorporation assay </w:t>
      </w:r>
      <w:r>
        <w:rPr>
          <w:rFonts w:ascii="Times New Roman" w:eastAsia="Times New Roman" w:hAnsi="Times New Roman" w:cs="Times New Roman"/>
          <w:sz w:val="24"/>
          <w:szCs w:val="24"/>
        </w:rPr>
        <w:lastRenderedPageBreak/>
        <w:t>(Fig. 5B) identifying increased cell proliferation index (</w:t>
      </w:r>
      <w:proofErr w:type="spellStart"/>
      <w:r>
        <w:rPr>
          <w:rFonts w:ascii="Times New Roman" w:eastAsia="Times New Roman" w:hAnsi="Times New Roman" w:cs="Times New Roman"/>
          <w:sz w:val="24"/>
          <w:szCs w:val="24"/>
        </w:rPr>
        <w:t>BrdU</w:t>
      </w:r>
      <w:proofErr w:type="spellEnd"/>
      <w:r>
        <w:rPr>
          <w:rFonts w:ascii="Times New Roman" w:eastAsia="Times New Roman" w:hAnsi="Times New Roman" w:cs="Times New Roman"/>
          <w:sz w:val="24"/>
          <w:szCs w:val="24"/>
        </w:rPr>
        <w:t xml:space="preserve"> positivity, green, 12 h incubation) in RUVBL1 overexpressing H2052 and H2452 cells compared to </w:t>
      </w:r>
      <w:proofErr w:type="gramStart"/>
      <w:r>
        <w:rPr>
          <w:rFonts w:ascii="Times New Roman" w:eastAsia="Times New Roman" w:hAnsi="Times New Roman" w:cs="Times New Roman"/>
          <w:sz w:val="24"/>
          <w:szCs w:val="24"/>
        </w:rPr>
        <w:t>Venus</w:t>
      </w:r>
      <w:proofErr w:type="gramEnd"/>
      <w:r>
        <w:rPr>
          <w:rFonts w:ascii="Times New Roman" w:eastAsia="Times New Roman" w:hAnsi="Times New Roman" w:cs="Times New Roman"/>
          <w:sz w:val="24"/>
          <w:szCs w:val="24"/>
        </w:rPr>
        <w:t xml:space="preserve"> control cells. DAPI was used as the nuclear counterstain (Blue). Scale bar: 100 </w:t>
      </w:r>
      <w:proofErr w:type="spellStart"/>
      <w:r>
        <w:rPr>
          <w:rFonts w:ascii="Times New Roman" w:eastAsia="Times New Roman" w:hAnsi="Times New Roman" w:cs="Times New Roman"/>
          <w:sz w:val="24"/>
          <w:szCs w:val="24"/>
        </w:rPr>
        <w:t>μm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b</w:t>
      </w:r>
      <w:r>
        <w:t xml:space="preserve"> </w:t>
      </w:r>
      <w:r>
        <w:rPr>
          <w:rFonts w:ascii="Times New Roman" w:eastAsia="Times New Roman" w:hAnsi="Times New Roman" w:cs="Times New Roman"/>
          <w:sz w:val="24"/>
          <w:szCs w:val="24"/>
        </w:rPr>
        <w:t xml:space="preserve">Representative images showing morphological changes of RUVBL1 overexpressing cells compared to RUVBL1 WT cells. Photos were taken by the phase contrast microscope, 4X (scale bar: 50 </w:t>
      </w:r>
      <w:proofErr w:type="spellStart"/>
      <w:r>
        <w:rPr>
          <w:rFonts w:ascii="Times New Roman" w:eastAsia="Times New Roman" w:hAnsi="Times New Roman" w:cs="Times New Roman"/>
          <w:sz w:val="24"/>
          <w:szCs w:val="24"/>
        </w:rPr>
        <w:t>μm</w:t>
      </w:r>
      <w:proofErr w:type="spellEnd"/>
      <w:r>
        <w:rPr>
          <w:rFonts w:ascii="Times New Roman" w:eastAsia="Times New Roman" w:hAnsi="Times New Roman" w:cs="Times New Roman"/>
          <w:sz w:val="24"/>
          <w:szCs w:val="24"/>
        </w:rPr>
        <w:t xml:space="preserve">) and 10X (scale bar: 100 </w:t>
      </w:r>
      <w:proofErr w:type="spellStart"/>
      <w:r>
        <w:rPr>
          <w:rFonts w:ascii="Times New Roman" w:eastAsia="Times New Roman" w:hAnsi="Times New Roman" w:cs="Times New Roman"/>
          <w:sz w:val="24"/>
          <w:szCs w:val="24"/>
        </w:rPr>
        <w:t>μm</w:t>
      </w:r>
      <w:proofErr w:type="spellEnd"/>
      <w:r>
        <w:rPr>
          <w:rFonts w:ascii="Times New Roman" w:eastAsia="Times New Roman" w:hAnsi="Times New Roman" w:cs="Times New Roman"/>
          <w:sz w:val="24"/>
          <w:szCs w:val="24"/>
        </w:rPr>
        <w:t xml:space="preserve">) magnification. </w:t>
      </w:r>
      <w:r>
        <w:rPr>
          <w:rFonts w:ascii="Times New Roman" w:eastAsia="Times New Roman" w:hAnsi="Times New Roman" w:cs="Times New Roman"/>
          <w:b/>
          <w:bCs/>
          <w:sz w:val="24"/>
          <w:szCs w:val="24"/>
        </w:rPr>
        <w:t xml:space="preserve">c </w:t>
      </w:r>
      <w:r>
        <w:rPr>
          <w:rFonts w:ascii="Times New Roman" w:eastAsia="Times New Roman" w:hAnsi="Times New Roman" w:cs="Times New Roman"/>
          <w:sz w:val="24"/>
          <w:szCs w:val="24"/>
        </w:rPr>
        <w:t xml:space="preserve">Representative images of wound healing in RUVBL1 WT vs RUVBL1 overexpressing cells (Fig. 5F). Images were taken every 24 </w:t>
      </w:r>
      <w:proofErr w:type="gramStart"/>
      <w:r>
        <w:rPr>
          <w:rFonts w:ascii="Times New Roman" w:eastAsia="Times New Roman" w:hAnsi="Times New Roman" w:cs="Times New Roman"/>
          <w:sz w:val="24"/>
          <w:szCs w:val="24"/>
        </w:rPr>
        <w:t>hours</w:t>
      </w:r>
      <w:proofErr w:type="gramEnd"/>
      <w:r>
        <w:rPr>
          <w:rFonts w:ascii="Times New Roman" w:eastAsia="Times New Roman" w:hAnsi="Times New Roman" w:cs="Times New Roman"/>
          <w:sz w:val="24"/>
          <w:szCs w:val="24"/>
        </w:rPr>
        <w:t xml:space="preserve"> and representative images were shown from three technical replicates. Scale bar: 100 </w:t>
      </w:r>
      <w:proofErr w:type="spellStart"/>
      <w:r>
        <w:rPr>
          <w:rFonts w:ascii="Times New Roman" w:eastAsia="Times New Roman" w:hAnsi="Times New Roman" w:cs="Times New Roman"/>
          <w:sz w:val="24"/>
          <w:szCs w:val="24"/>
        </w:rPr>
        <w:t>μm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d </w:t>
      </w:r>
      <w:r>
        <w:rPr>
          <w:rFonts w:ascii="Times New Roman" w:eastAsia="Times New Roman" w:hAnsi="Times New Roman" w:cs="Times New Roman"/>
          <w:sz w:val="24"/>
          <w:szCs w:val="24"/>
        </w:rPr>
        <w:t>Relative mRNA expression of mesenchymal markers  (N-Cad, Vim) and EMT-associated transcription factors (Slug, Zeb1, Zeb2, Twist1, and Twist2) in RUVBL1 WT and overexpression clones. mRNA levels were normalized against RPL41 gene using the 2</w:t>
      </w:r>
      <w:r>
        <w:rPr>
          <w:rFonts w:ascii="Times New Roman" w:eastAsia="Times New Roman" w:hAnsi="Times New Roman" w:cs="Times New Roman"/>
          <w:sz w:val="24"/>
          <w:szCs w:val="24"/>
          <w:vertAlign w:val="superscript"/>
        </w:rPr>
        <w:t>-ΔΔCt</w:t>
      </w:r>
      <w:r>
        <w:rPr>
          <w:rFonts w:ascii="Times New Roman" w:eastAsia="Times New Roman" w:hAnsi="Times New Roman" w:cs="Times New Roman"/>
          <w:sz w:val="24"/>
          <w:szCs w:val="24"/>
        </w:rPr>
        <w:t xml:space="preserve"> method. All the experiments were carried out in triplicate.</w:t>
      </w:r>
      <w:r>
        <w:rPr>
          <w:rFonts w:ascii="Times New Roman" w:eastAsia="Times New Roman" w:hAnsi="Times New Roman" w:cs="Times New Roman"/>
          <w:b/>
          <w:bCs/>
          <w:sz w:val="24"/>
          <w:szCs w:val="24"/>
        </w:rPr>
        <w:t xml:space="preserve"> e </w:t>
      </w:r>
      <w:r>
        <w:rPr>
          <w:rFonts w:ascii="Times New Roman" w:eastAsia="Times New Roman" w:hAnsi="Times New Roman" w:cs="Times New Roman"/>
          <w:sz w:val="24"/>
          <w:szCs w:val="24"/>
        </w:rPr>
        <w:t xml:space="preserve">Vimentin and N-cadherin protein levels in empty vector (Venus) and RUVBL1 overexpression vector (RUVBL1) transduced H2452 cells. β-actin was used as a loading control. </w:t>
      </w:r>
    </w:p>
    <w:p w14:paraId="74DF833B" w14:textId="103D87E1" w:rsidR="00B3712F" w:rsidRDefault="00B3712F">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39279AA" wp14:editId="017ACABA">
            <wp:extent cx="5634355" cy="8891270"/>
            <wp:effectExtent l="0" t="0" r="4445" b="0"/>
            <wp:docPr id="1180854445" name="Picture 10"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854445" name="Picture 10" descr="A close-up of a char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34355" cy="8891270"/>
                    </a:xfrm>
                    <a:prstGeom prst="rect">
                      <a:avLst/>
                    </a:prstGeom>
                  </pic:spPr>
                </pic:pic>
              </a:graphicData>
            </a:graphic>
          </wp:inline>
        </w:drawing>
      </w:r>
    </w:p>
    <w:p w14:paraId="0000000A" w14:textId="77777777" w:rsidR="00BE2CA7" w:rsidRDefault="00000000">
      <w:pPr>
        <w:spacing w:after="0"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b/>
          <w:bCs/>
          <w:sz w:val="24"/>
          <w:szCs w:val="24"/>
        </w:rPr>
        <w:lastRenderedPageBreak/>
        <w:t>Supplementary Figure 9. Pharmacological Inhibition of RUVBL1 by CB-6644 Suppresses Cell Growth and Clonogenicity in Mesothelioma Cells. 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Representative images</w:t>
      </w:r>
      <w:proofErr w:type="gram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BrdU</w:t>
      </w:r>
      <w:proofErr w:type="spellEnd"/>
      <w:r>
        <w:rPr>
          <w:rFonts w:ascii="Times New Roman" w:eastAsia="Times New Roman" w:hAnsi="Times New Roman" w:cs="Times New Roman"/>
          <w:sz w:val="24"/>
          <w:szCs w:val="24"/>
        </w:rPr>
        <w:t xml:space="preserve"> incorporation assay (Fig. 6C) showing reduced cell proliferation index (</w:t>
      </w:r>
      <w:proofErr w:type="spellStart"/>
      <w:r>
        <w:rPr>
          <w:rFonts w:ascii="Times New Roman" w:eastAsia="Times New Roman" w:hAnsi="Times New Roman" w:cs="Times New Roman"/>
          <w:sz w:val="24"/>
          <w:szCs w:val="24"/>
        </w:rPr>
        <w:t>BrdU</w:t>
      </w:r>
      <w:proofErr w:type="spellEnd"/>
      <w:r>
        <w:rPr>
          <w:rFonts w:ascii="Times New Roman" w:eastAsia="Times New Roman" w:hAnsi="Times New Roman" w:cs="Times New Roman"/>
          <w:sz w:val="24"/>
          <w:szCs w:val="24"/>
        </w:rPr>
        <w:t xml:space="preserve"> positivity, green, 12 h labeling) of CB-6644 treated cells. DAPI was used as a nuclear counterstain (Blue). Scale bar: 50 </w:t>
      </w:r>
      <w:proofErr w:type="spellStart"/>
      <w:r>
        <w:rPr>
          <w:rFonts w:ascii="Times New Roman" w:eastAsia="Times New Roman" w:hAnsi="Times New Roman" w:cs="Times New Roman"/>
          <w:sz w:val="24"/>
          <w:szCs w:val="24"/>
        </w:rPr>
        <w:t>μm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b </w:t>
      </w:r>
      <w:r>
        <w:rPr>
          <w:rFonts w:ascii="Times New Roman" w:eastAsia="Times New Roman" w:hAnsi="Times New Roman" w:cs="Times New Roman"/>
          <w:sz w:val="24"/>
          <w:szCs w:val="24"/>
        </w:rPr>
        <w:t xml:space="preserve">Representative images showing 2D colony formation capacity of H2052 and H2452 cell lines upon CB-6644 treatment. Experiments were performed in triplicates in 12-well plates. Cells were treated with three different concentrations (0.5×IC50, IC50, and 2×IC50) of CB-6644 and cultured for 10 days. High-resolution images were captured with the LI-COR Odyssey CLx Imaging System. </w:t>
      </w:r>
      <w:r>
        <w:rPr>
          <w:rFonts w:ascii="Times New Roman" w:eastAsia="Times New Roman" w:hAnsi="Times New Roman" w:cs="Times New Roman"/>
          <w:b/>
          <w:bCs/>
          <w:sz w:val="24"/>
          <w:szCs w:val="24"/>
        </w:rPr>
        <w:t xml:space="preserve">c </w:t>
      </w:r>
      <w:r>
        <w:rPr>
          <w:rFonts w:ascii="Times New Roman" w:eastAsia="Times New Roman" w:hAnsi="Times New Roman" w:cs="Times New Roman"/>
          <w:sz w:val="24"/>
          <w:szCs w:val="24"/>
        </w:rPr>
        <w:t xml:space="preserve">Crystal violet intensity data showing the relative difference in 2D colony forming capacity of Vehicle (DMSO) and CB-6644 treated cells. Image Studio software was used to measure signal intensities. Bar graphs are presented as the mean ± SEM of three replicates. Two-tailed Student’s t-test was used for statistical analysis. **p&lt;0.01, ***p&lt;0.001. </w:t>
      </w:r>
      <w:r>
        <w:rPr>
          <w:rFonts w:ascii="Times New Roman" w:eastAsia="Times New Roman" w:hAnsi="Times New Roman" w:cs="Times New Roman"/>
          <w:b/>
          <w:bCs/>
          <w:sz w:val="24"/>
          <w:szCs w:val="24"/>
        </w:rPr>
        <w:t xml:space="preserve">d </w:t>
      </w:r>
      <w:r>
        <w:rPr>
          <w:rFonts w:ascii="Times New Roman" w:eastAsia="Times New Roman" w:hAnsi="Times New Roman" w:cs="Times New Roman"/>
          <w:sz w:val="24"/>
          <w:szCs w:val="24"/>
        </w:rPr>
        <w:t xml:space="preserve">and </w:t>
      </w:r>
      <w:r>
        <w:rPr>
          <w:rFonts w:ascii="Times New Roman" w:eastAsia="Times New Roman" w:hAnsi="Times New Roman" w:cs="Times New Roman"/>
          <w:b/>
          <w:bCs/>
          <w:sz w:val="24"/>
          <w:szCs w:val="24"/>
        </w:rPr>
        <w:t>e</w:t>
      </w:r>
      <w:r>
        <w:rPr>
          <w:rFonts w:ascii="Times New Roman" w:eastAsia="Times New Roman" w:hAnsi="Times New Roman" w:cs="Times New Roman"/>
          <w:sz w:val="24"/>
          <w:szCs w:val="24"/>
        </w:rPr>
        <w:t xml:space="preserve"> Representative images of cell cycle assay (Fig. 6F) (</w:t>
      </w:r>
      <w:r>
        <w:rPr>
          <w:rFonts w:ascii="Times New Roman" w:eastAsia="Times New Roman" w:hAnsi="Times New Roman" w:cs="Times New Roman"/>
          <w:b/>
          <w:bCs/>
          <w:sz w:val="24"/>
          <w:szCs w:val="24"/>
        </w:rPr>
        <w:t>d</w:t>
      </w:r>
      <w:r>
        <w:rPr>
          <w:rFonts w:ascii="Times New Roman" w:eastAsia="Times New Roman" w:hAnsi="Times New Roman" w:cs="Times New Roman"/>
          <w:sz w:val="24"/>
          <w:szCs w:val="24"/>
        </w:rPr>
        <w:t>) and Annexin V/PI apoptosis assay (</w:t>
      </w:r>
      <w:r>
        <w:rPr>
          <w:rFonts w:ascii="Times New Roman" w:eastAsia="Times New Roman" w:hAnsi="Times New Roman" w:cs="Times New Roman"/>
          <w:b/>
          <w:bCs/>
          <w:sz w:val="24"/>
          <w:szCs w:val="24"/>
        </w:rPr>
        <w:t>e</w:t>
      </w:r>
      <w:r>
        <w:rPr>
          <w:rFonts w:ascii="Times New Roman" w:eastAsia="Times New Roman" w:hAnsi="Times New Roman" w:cs="Times New Roman"/>
          <w:sz w:val="24"/>
          <w:szCs w:val="24"/>
        </w:rPr>
        <w:t>) revealing significant cell cycle arrest and slightly increased apoptosis upon CB-6644 treatment.</w:t>
      </w:r>
    </w:p>
    <w:sectPr w:rsidR="00BE2CA7">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7D866C6E-87B1-5540-BA5B-6EF046C9FAE6}"/>
    <w:embedBold r:id="rId2" w:fontKey="{0DF9C147-6F1B-2244-9F6A-B73304535FF0}"/>
  </w:font>
  <w:font w:name="Times New Roman">
    <w:panose1 w:val="02020603050405020304"/>
    <w:charset w:val="00"/>
    <w:family w:val="roman"/>
    <w:pitch w:val="variable"/>
    <w:sig w:usb0="E0002EFF" w:usb1="C000785B" w:usb2="00000009" w:usb3="00000000" w:csb0="000001FF" w:csb1="00000000"/>
    <w:embedRegular r:id="rId3" w:fontKey="{9A857474-3BD4-AF40-B352-4E781C02EEDF}"/>
    <w:embedBold r:id="rId4" w:fontKey="{DB983511-BE06-C84F-98A7-E183D438DACE}"/>
  </w:font>
  <w:font w:name="Georgia">
    <w:panose1 w:val="02040502050405020303"/>
    <w:charset w:val="00"/>
    <w:family w:val="roman"/>
    <w:pitch w:val="variable"/>
    <w:sig w:usb0="00000287" w:usb1="00000000" w:usb2="00000000" w:usb3="00000000" w:csb0="0000009F" w:csb1="00000000"/>
    <w:embedItalic r:id="rId5" w:fontKey="{909C8086-EA02-5C4D-B8F9-3CB845F79F31}"/>
  </w:font>
  <w:font w:name="Cambria">
    <w:panose1 w:val="02040503050406030204"/>
    <w:charset w:val="00"/>
    <w:family w:val="roman"/>
    <w:notTrueType/>
    <w:pitch w:val="default"/>
    <w:embedRegular r:id="rId6" w:fontKey="{9F3F0BC0-8DF1-D743-8A12-BDE284EAB5B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CA7"/>
    <w:rsid w:val="00074D10"/>
    <w:rsid w:val="00B3712F"/>
    <w:rsid w:val="00BE2CA7"/>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208611B5"/>
  <w15:docId w15:val="{641478D6-5CEF-2F47-93EB-BAAD9DB8B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Bibliography">
    <w:name w:val="Bibliography"/>
    <w:basedOn w:val="Normal"/>
    <w:next w:val="Normal"/>
    <w:uiPriority w:val="37"/>
    <w:unhideWhenUsed/>
    <w:rsid w:val="00647B0C"/>
    <w:pPr>
      <w:tabs>
        <w:tab w:val="left" w:pos="384"/>
      </w:tabs>
      <w:spacing w:after="0" w:line="480" w:lineRule="auto"/>
      <w:ind w:left="384" w:hanging="384"/>
    </w:pPr>
  </w:style>
  <w:style w:type="table" w:styleId="TableGrid">
    <w:name w:val="Table Grid"/>
    <w:basedOn w:val="TableNormal"/>
    <w:uiPriority w:val="39"/>
    <w:rsid w:val="00C46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5EFD"/>
    <w:pPr>
      <w:tabs>
        <w:tab w:val="center" w:pos="4703"/>
        <w:tab w:val="right" w:pos="9406"/>
      </w:tabs>
      <w:spacing w:after="0" w:line="240" w:lineRule="auto"/>
    </w:pPr>
  </w:style>
  <w:style w:type="character" w:customStyle="1" w:styleId="HeaderChar">
    <w:name w:val="Header Char"/>
    <w:basedOn w:val="DefaultParagraphFont"/>
    <w:link w:val="Header"/>
    <w:uiPriority w:val="99"/>
    <w:rsid w:val="004C5EFD"/>
  </w:style>
  <w:style w:type="paragraph" w:styleId="Footer">
    <w:name w:val="footer"/>
    <w:basedOn w:val="Normal"/>
    <w:link w:val="FooterChar"/>
    <w:uiPriority w:val="99"/>
    <w:unhideWhenUsed/>
    <w:rsid w:val="004C5EFD"/>
    <w:pPr>
      <w:tabs>
        <w:tab w:val="center" w:pos="4703"/>
        <w:tab w:val="right" w:pos="9406"/>
      </w:tabs>
      <w:spacing w:after="0" w:line="240" w:lineRule="auto"/>
    </w:pPr>
  </w:style>
  <w:style w:type="character" w:customStyle="1" w:styleId="FooterChar">
    <w:name w:val="Footer Char"/>
    <w:basedOn w:val="DefaultParagraphFont"/>
    <w:link w:val="Footer"/>
    <w:uiPriority w:val="99"/>
    <w:rsid w:val="004C5EFD"/>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5" Type="http://schemas.openxmlformats.org/officeDocument/2006/relationships/theme" Target="theme/theme1.xml"/><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I+WlCv9JuKkRP2LUHKrIhZxyg==">CgMxLjAyDmguN2dnbDFyeW94YnFkMg5oLjdnZ2wxcnlveGJxZDIOaC43Z2dsMXJ5b3hicWQyDmguN2dnbDFyeW94YnFkMg5oLnExdWZ5bTNkbHZwbjIOaC5vNm15MW51Z3l1MTA4AHIhMUNrS3VGNEFXNHluN24yQkVHZDVMTXVfQWdkT3psQjJT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1189</Words>
  <Characters>6782</Characters>
  <Application>Microsoft Office Word</Application>
  <DocSecurity>0</DocSecurity>
  <Lines>56</Lines>
  <Paragraphs>15</Paragraphs>
  <ScaleCrop>false</ScaleCrop>
  <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Sude Eris</cp:lastModifiedBy>
  <cp:revision>2</cp:revision>
  <dcterms:created xsi:type="dcterms:W3CDTF">2023-12-26T08:37:00Z</dcterms:created>
  <dcterms:modified xsi:type="dcterms:W3CDTF">2025-11-24T12:40:00Z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id="nFxgdXKV"/&gt;&lt;style id="http://www.zotero.org/styles/nature" hasBibliography="1" bibliographyStyleHasBeenSet="1"/&gt;&lt;prefs&gt;&lt;pref name="fieldType" value="Field"/&gt;&lt;/prefs&gt;&lt;/data&gt;</vt:lpwstr>
  </property>
</Properties>
</file>