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2153E" w14:textId="7CE36F78" w:rsidR="00DF7810" w:rsidRPr="005D484F" w:rsidRDefault="00DF7810" w:rsidP="00DF7810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r w:rsidRPr="005D484F">
        <w:rPr>
          <w:rFonts w:ascii="Times New Roman" w:hAnsi="Times New Roman" w:cs="Times New Roman"/>
          <w:b/>
          <w:bCs/>
          <w:lang w:val="en-US"/>
        </w:rPr>
        <w:t>Appendix A:</w:t>
      </w:r>
    </w:p>
    <w:p w14:paraId="1B5CADE0" w14:textId="4A07FF85" w:rsidR="00DF7810" w:rsidRPr="005D484F" w:rsidRDefault="00DF7810" w:rsidP="00DF7810">
      <w:pPr>
        <w:spacing w:line="276" w:lineRule="auto"/>
        <w:rPr>
          <w:rFonts w:ascii="Times New Roman" w:hAnsi="Times New Roman" w:cs="Times New Roman"/>
          <w:lang w:val="en-US"/>
        </w:rPr>
      </w:pPr>
      <w:r w:rsidRPr="005D484F">
        <w:rPr>
          <w:rFonts w:ascii="Times New Roman" w:hAnsi="Times New Roman" w:cs="Times New Roman"/>
          <w:lang w:val="en-US"/>
        </w:rPr>
        <w:t>A post-hoc compensation of the measured ADC was done to investigate the impact of perfusion on measured diffusion using the perfusion fraction (</w:t>
      </w:r>
      <w:r w:rsidRPr="005D484F">
        <w:rPr>
          <w:rFonts w:ascii="Times New Roman" w:hAnsi="Times New Roman" w:cs="Times New Roman"/>
          <w:i/>
          <w:iCs/>
          <w:lang w:val="en-US"/>
        </w:rPr>
        <w:t>f)</w:t>
      </w:r>
      <w:r w:rsidRPr="005D484F">
        <w:rPr>
          <w:rFonts w:ascii="Times New Roman" w:hAnsi="Times New Roman" w:cs="Times New Roman"/>
          <w:lang w:val="en-US"/>
        </w:rPr>
        <w:t xml:space="preserve"> described for TP and TRA (</w:t>
      </w:r>
      <w:proofErr w:type="spellStart"/>
      <w:r w:rsidRPr="005D484F">
        <w:rPr>
          <w:rFonts w:ascii="Times New Roman" w:hAnsi="Times New Roman" w:cs="Times New Roman"/>
          <w:lang w:val="en-US"/>
        </w:rPr>
        <w:t>f</w:t>
      </w:r>
      <w:r w:rsidRPr="005D484F">
        <w:rPr>
          <w:rFonts w:ascii="Times New Roman" w:hAnsi="Times New Roman" w:cs="Times New Roman"/>
          <w:vertAlign w:val="subscript"/>
          <w:lang w:val="en-US"/>
        </w:rPr>
        <w:t>TP</w:t>
      </w:r>
      <w:proofErr w:type="spellEnd"/>
      <w:r w:rsidRPr="005D484F">
        <w:rPr>
          <w:rFonts w:ascii="Times New Roman" w:hAnsi="Times New Roman" w:cs="Times New Roman"/>
          <w:lang w:val="en-US"/>
        </w:rPr>
        <w:t xml:space="preserve"> = 0.084, </w:t>
      </w:r>
      <w:proofErr w:type="spellStart"/>
      <w:r w:rsidRPr="005D484F">
        <w:rPr>
          <w:rFonts w:ascii="Times New Roman" w:hAnsi="Times New Roman" w:cs="Times New Roman"/>
          <w:lang w:val="en-US"/>
        </w:rPr>
        <w:t>f</w:t>
      </w:r>
      <w:r w:rsidRPr="005D484F">
        <w:rPr>
          <w:rFonts w:ascii="Times New Roman" w:hAnsi="Times New Roman" w:cs="Times New Roman"/>
          <w:vertAlign w:val="subscript"/>
          <w:lang w:val="en-US"/>
        </w:rPr>
        <w:t>TRA</w:t>
      </w:r>
      <w:proofErr w:type="spellEnd"/>
      <w:r w:rsidRPr="005D484F">
        <w:rPr>
          <w:rFonts w:ascii="Times New Roman" w:hAnsi="Times New Roman" w:cs="Times New Roman"/>
          <w:lang w:val="en-US"/>
        </w:rPr>
        <w:t xml:space="preserve"> = 0.040) in Kim et al.</w:t>
      </w:r>
      <w:r w:rsidRPr="005D484F">
        <w:rPr>
          <w:rFonts w:ascii="Times New Roman" w:hAnsi="Times New Roman" w:cs="Times New Roman"/>
        </w:rPr>
        <w:fldChar w:fldCharType="begin"/>
      </w:r>
      <w:r w:rsidRPr="005D484F">
        <w:rPr>
          <w:rFonts w:ascii="Times New Roman" w:hAnsi="Times New Roman" w:cs="Times New Roman"/>
          <w:lang w:val="en-US"/>
        </w:rPr>
        <w:instrText xml:space="preserve"> ADDIN EN.CITE &lt;EndNote&gt;&lt;Cite&gt;&lt;Author&gt;Kim&lt;/Author&gt;&lt;Year&gt;2014&lt;/Year&gt;&lt;RecNum&gt;44&lt;/RecNum&gt;&lt;DisplayText&gt;&lt;style face="superscript"&gt;24&lt;/style&gt;&lt;/DisplayText&gt;&lt;record&gt;&lt;rec-number&gt;44&lt;/rec-number&gt;&lt;foreign-keys&gt;&lt;key app="EN" db-id="xxdztxv9xv552ve09auvvvpz2aetsd25xxdr" timestamp="1750169694"&gt;44&lt;/key&gt;&lt;/foreign-keys&gt;&lt;ref-type name="Journal Article"&gt;17&lt;/ref-type&gt;&lt;contributors&gt;&lt;authors&gt;&lt;author&gt;Kim, H. S.&lt;/author&gt;&lt;author&gt;Suh, C. H.&lt;/author&gt;&lt;author&gt;Kim, N.&lt;/author&gt;&lt;author&gt;Choi, C. G.&lt;/author&gt;&lt;author&gt;Kim, S. J.&lt;/author&gt;&lt;/authors&gt;&lt;/contributors&gt;&lt;auth-address&gt;From the Department of Radiology, Research Institute of Radiology, Asan Medical Center, University of Ulsan College of Medicine, Seoul, Korea.&lt;/auth-address&gt;&lt;titles&gt;&lt;title&gt;Histogram analysis of intravoxel incoherent motion for differentiating recurrent tumor from treatment effect in patients with glioblastoma: initial clinical experience&lt;/title&gt;&lt;secondary-title&gt;AJNR Am J Neuroradiol&lt;/secondary-title&gt;&lt;/titles&gt;&lt;periodical&gt;&lt;full-title&gt;AJNR Am J Neuroradiol&lt;/full-title&gt;&lt;/periodical&gt;&lt;pages&gt;490-7&lt;/pages&gt;&lt;volume&gt;35&lt;/volume&gt;&lt;number&gt;3&lt;/number&gt;&lt;edition&gt;20130822&lt;/edition&gt;&lt;keywords&gt;&lt;keyword&gt;Brain Neoplasms/*diagnosis/therapy&lt;/keyword&gt;&lt;keyword&gt;Diagnosis, Differential&lt;/keyword&gt;&lt;keyword&gt;Female&lt;/keyword&gt;&lt;keyword&gt;Glioblastoma/*diagnosis/therapy&lt;/keyword&gt;&lt;keyword&gt;Humans&lt;/keyword&gt;&lt;keyword&gt;Male&lt;/keyword&gt;&lt;keyword&gt;Middle Aged&lt;/keyword&gt;&lt;keyword&gt;Neoplasm Recurrence, Local/*diagnosis&lt;/keyword&gt;&lt;keyword&gt;Neuroimaging/*methods&lt;/keyword&gt;&lt;keyword&gt;Retrospective Studies&lt;/keyword&gt;&lt;/keywords&gt;&lt;dates&gt;&lt;year&gt;2014&lt;/year&gt;&lt;pub-dates&gt;&lt;date&gt;Mar&lt;/date&gt;&lt;/pub-dates&gt;&lt;/dates&gt;&lt;isbn&gt;1936-959X (Electronic)&amp;#xD;0195-6108 (Print)&amp;#xD;0195-6108 (Linking)&lt;/isbn&gt;&lt;accession-num&gt;23969343&lt;/accession-num&gt;&lt;urls&gt;&lt;related-urls&gt;&lt;url&gt;https://www.ncbi.nlm.nih.gov/pubmed/23969343&lt;/url&gt;&lt;/related-urls&gt;&lt;/urls&gt;&lt;custom2&gt;PMC7964718&lt;/custom2&gt;&lt;electronic-resource-num&gt;10.3174/ajnr.A3719&lt;/electronic-resource-num&gt;&lt;remote-database-name&gt;Medline&lt;/remote-database-name&gt;&lt;remote-database-provider&gt;NLM&lt;/remote-database-provider&gt;&lt;/record&gt;&lt;/Cite&gt;&lt;/EndNote&gt;</w:instrText>
      </w:r>
      <w:r w:rsidRPr="005D484F">
        <w:rPr>
          <w:rFonts w:ascii="Times New Roman" w:hAnsi="Times New Roman" w:cs="Times New Roman"/>
        </w:rPr>
        <w:fldChar w:fldCharType="separate"/>
      </w:r>
      <w:r w:rsidRPr="005D484F">
        <w:rPr>
          <w:rFonts w:ascii="Times New Roman" w:hAnsi="Times New Roman" w:cs="Times New Roman"/>
          <w:noProof/>
          <w:vertAlign w:val="superscript"/>
          <w:lang w:val="en-US"/>
        </w:rPr>
        <w:t>24</w:t>
      </w:r>
      <w:r w:rsidRPr="005D484F">
        <w:rPr>
          <w:rFonts w:ascii="Times New Roman" w:hAnsi="Times New Roman" w:cs="Times New Roman"/>
        </w:rPr>
        <w:fldChar w:fldCharType="end"/>
      </w:r>
      <w:r w:rsidRPr="005D484F">
        <w:rPr>
          <w:rFonts w:ascii="Times New Roman" w:hAnsi="Times New Roman" w:cs="Times New Roman"/>
          <w:lang w:val="en-US"/>
        </w:rPr>
        <w:t xml:space="preserve">. The compensated ADC was calculated by subtracting </w:t>
      </w:r>
      <m:oMath>
        <m:r>
          <w:rPr>
            <w:rFonts w:ascii="Cambria Math" w:hAnsi="Cambria Math" w:cs="Times New Roman"/>
            <w:lang w:val="en-US"/>
          </w:rPr>
          <m:t>-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ln</m:t>
            </m:r>
            <m:r>
              <w:rPr>
                <w:rFonts w:ascii="Cambria Math" w:hAnsi="Cambria Math" w:cs="Times New Roman"/>
                <w:lang w:val="en-US"/>
              </w:rPr>
              <m:t>⁡(1-</m:t>
            </m:r>
            <m:r>
              <w:rPr>
                <w:rFonts w:ascii="Cambria Math" w:hAnsi="Cambria Math" w:cs="Times New Roman"/>
              </w:rPr>
              <m:t>f</m:t>
            </m:r>
            <m:r>
              <w:rPr>
                <w:rFonts w:ascii="Cambria Math" w:hAnsi="Cambria Math" w:cs="Times New Roman"/>
                <w:lang w:val="en-US"/>
              </w:rPr>
              <m:t>)</m:t>
            </m:r>
          </m:num>
          <m:den>
            <m:r>
              <w:rPr>
                <w:rFonts w:ascii="Cambria Math" w:hAnsi="Cambria Math" w:cs="Times New Roman"/>
              </w:rPr>
              <m:t>b</m:t>
            </m:r>
            <m:r>
              <w:rPr>
                <w:rFonts w:ascii="Cambria Math" w:hAnsi="Cambria Math" w:cs="Times New Roman"/>
                <w:lang w:val="en-US"/>
              </w:rPr>
              <m:t>1000</m:t>
            </m:r>
          </m:den>
        </m:f>
      </m:oMath>
      <w:r w:rsidRPr="005D484F">
        <w:rPr>
          <w:rFonts w:ascii="Times New Roman" w:hAnsi="Times New Roman" w:cs="Times New Roman"/>
          <w:lang w:val="en-US"/>
        </w:rPr>
        <w:t xml:space="preserve"> from the measured ADC. This recalculation was based on the following equation described to calculate the ADC:</w:t>
      </w:r>
    </w:p>
    <w:p w14:paraId="4D873AB3" w14:textId="77777777" w:rsidR="00DF7810" w:rsidRPr="005D484F" w:rsidRDefault="00DF7810" w:rsidP="00DF7810">
      <w:pPr>
        <w:pStyle w:val="FirstPara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ADC=-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b</m:t>
              </m:r>
            </m:den>
          </m:f>
          <m:r>
            <w:rPr>
              <w:rFonts w:ascii="Cambria Math" w:hAnsi="Cambria Math" w:cs="Times New Roman"/>
            </w:rPr>
            <m:t>×</m:t>
          </m:r>
          <m:r>
            <m:rPr>
              <m:sty m:val="p"/>
            </m:rPr>
            <w:rPr>
              <w:rFonts w:ascii="Cambria Math" w:hAnsi="Cambria Math" w:cs="Times New Roman"/>
            </w:rPr>
            <m:t>ln</m:t>
          </m:r>
          <m:r>
            <w:rPr>
              <w:rFonts w:ascii="Cambria Math" w:hAnsi="Cambria Math" w:cs="Times New Roman"/>
            </w:rPr>
            <m:t>⁡</m:t>
          </m:r>
          <m:d>
            <m:dPr>
              <m:ctrlPr>
                <w:rPr>
                  <w:rFonts w:ascii="Cambria Math" w:hAnsi="Cambria Math" w:cs="Times New Roman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b1000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b0</m:t>
                      </m:r>
                    </m:sub>
                  </m:sSub>
                </m:den>
              </m:f>
            </m:e>
          </m:d>
        </m:oMath>
      </m:oMathPara>
    </w:p>
    <w:p w14:paraId="0467C0D0" w14:textId="1C64E35E" w:rsidR="00DF7810" w:rsidRPr="005D484F" w:rsidRDefault="00DF7810" w:rsidP="00F6055D">
      <w:pPr>
        <w:pStyle w:val="FirstPara"/>
        <w:rPr>
          <w:rFonts w:ascii="Times New Roman" w:hAnsi="Times New Roman" w:cs="Times New Roman"/>
        </w:rPr>
      </w:pPr>
      <w:r w:rsidRPr="005D484F">
        <w:rPr>
          <w:rFonts w:ascii="Times New Roman" w:hAnsi="Times New Roman" w:cs="Times New Roman"/>
        </w:rPr>
        <w:t>With b being the highest b-value used, S</w:t>
      </w:r>
      <w:r w:rsidRPr="005D484F">
        <w:rPr>
          <w:rFonts w:ascii="Times New Roman" w:hAnsi="Times New Roman" w:cs="Times New Roman"/>
          <w:vertAlign w:val="subscript"/>
        </w:rPr>
        <w:t>b1000</w:t>
      </w:r>
      <w:r w:rsidRPr="005D484F">
        <w:rPr>
          <w:rFonts w:ascii="Times New Roman" w:hAnsi="Times New Roman" w:cs="Times New Roman"/>
        </w:rPr>
        <w:t xml:space="preserve"> being the signal at the highest b-value, which in this case was b1000. S</w:t>
      </w:r>
      <w:r w:rsidRPr="005D484F">
        <w:rPr>
          <w:rFonts w:ascii="Times New Roman" w:hAnsi="Times New Roman" w:cs="Times New Roman"/>
          <w:vertAlign w:val="subscript"/>
        </w:rPr>
        <w:t>b0</w:t>
      </w:r>
      <w:r w:rsidRPr="005D484F">
        <w:rPr>
          <w:rFonts w:ascii="Times New Roman" w:hAnsi="Times New Roman" w:cs="Times New Roman"/>
        </w:rPr>
        <w:t xml:space="preserve"> was the signal measured at b = 0. </w:t>
      </w:r>
      <w:r w:rsidR="00F6055D" w:rsidRPr="005D484F">
        <w:rPr>
          <w:rFonts w:ascii="Times New Roman" w:hAnsi="Times New Roman" w:cs="Times New Roman"/>
        </w:rPr>
        <w:br/>
      </w:r>
    </w:p>
    <w:p w14:paraId="3D0AAAE7" w14:textId="1052FB2A" w:rsidR="0083254B" w:rsidRPr="005D484F" w:rsidRDefault="0083254B" w:rsidP="00F6055D">
      <w:pPr>
        <w:pStyle w:val="FirstPara"/>
        <w:rPr>
          <w:rFonts w:ascii="Times New Roman" w:hAnsi="Times New Roman" w:cs="Times New Roman"/>
        </w:rPr>
      </w:pPr>
      <w:r w:rsidRPr="005D484F">
        <w:rPr>
          <w:rFonts w:ascii="Times New Roman" w:hAnsi="Times New Roman" w:cs="Times New Roman"/>
        </w:rPr>
        <w:t xml:space="preserve">Using the recalculated values, </w:t>
      </w:r>
      <w:r w:rsidR="00AE0B36" w:rsidRPr="005D484F">
        <w:rPr>
          <w:rFonts w:ascii="Times New Roman" w:hAnsi="Times New Roman" w:cs="Times New Roman"/>
        </w:rPr>
        <w:t>the following results were retrieved:</w:t>
      </w:r>
    </w:p>
    <w:tbl>
      <w:tblPr>
        <w:tblStyle w:val="Tabelraster"/>
        <w:tblW w:w="9465" w:type="dxa"/>
        <w:tblLook w:val="04A0" w:firstRow="1" w:lastRow="0" w:firstColumn="1" w:lastColumn="0" w:noHBand="0" w:noVBand="1"/>
      </w:tblPr>
      <w:tblGrid>
        <w:gridCol w:w="2366"/>
        <w:gridCol w:w="1910"/>
        <w:gridCol w:w="2205"/>
        <w:gridCol w:w="2984"/>
      </w:tblGrid>
      <w:tr w:rsidR="0012417A" w:rsidRPr="005D484F" w14:paraId="2CEE72F5" w14:textId="7B907B0A" w:rsidTr="00EB6884">
        <w:trPr>
          <w:trHeight w:val="822"/>
        </w:trPr>
        <w:tc>
          <w:tcPr>
            <w:tcW w:w="2366" w:type="dxa"/>
          </w:tcPr>
          <w:p w14:paraId="479D12E9" w14:textId="7B11CEBA" w:rsidR="0012417A" w:rsidRPr="005D484F" w:rsidRDefault="0012417A" w:rsidP="00F6055D">
            <w:pPr>
              <w:pStyle w:val="FirstPara"/>
              <w:rPr>
                <w:rFonts w:ascii="Times New Roman" w:hAnsi="Times New Roman" w:cs="Times New Roman"/>
              </w:rPr>
            </w:pPr>
            <w:r w:rsidRPr="005D484F">
              <w:rPr>
                <w:rFonts w:ascii="Times New Roman" w:hAnsi="Times New Roman" w:cs="Times New Roman"/>
              </w:rPr>
              <w:t>Metric</w:t>
            </w:r>
          </w:p>
        </w:tc>
        <w:tc>
          <w:tcPr>
            <w:tcW w:w="1910" w:type="dxa"/>
          </w:tcPr>
          <w:p w14:paraId="6FEB4B7C" w14:textId="7BCADE0A" w:rsidR="0012417A" w:rsidRPr="005D484F" w:rsidRDefault="0012417A" w:rsidP="00F6055D">
            <w:pPr>
              <w:pStyle w:val="FirstPara"/>
              <w:rPr>
                <w:rFonts w:ascii="Times New Roman" w:hAnsi="Times New Roman" w:cs="Times New Roman"/>
              </w:rPr>
            </w:pPr>
            <w:r w:rsidRPr="005D484F">
              <w:rPr>
                <w:rFonts w:ascii="Times New Roman" w:hAnsi="Times New Roman" w:cs="Times New Roman"/>
              </w:rPr>
              <w:t>Original value</w:t>
            </w:r>
          </w:p>
        </w:tc>
        <w:tc>
          <w:tcPr>
            <w:tcW w:w="2205" w:type="dxa"/>
          </w:tcPr>
          <w:p w14:paraId="30BBC1E5" w14:textId="16EB0227" w:rsidR="0012417A" w:rsidRPr="005D484F" w:rsidRDefault="0012417A" w:rsidP="00F6055D">
            <w:pPr>
              <w:pStyle w:val="FirstPara"/>
              <w:rPr>
                <w:rFonts w:ascii="Times New Roman" w:hAnsi="Times New Roman" w:cs="Times New Roman"/>
              </w:rPr>
            </w:pPr>
            <w:r w:rsidRPr="005D484F">
              <w:rPr>
                <w:rFonts w:ascii="Times New Roman" w:hAnsi="Times New Roman" w:cs="Times New Roman"/>
              </w:rPr>
              <w:t>Recalculated value</w:t>
            </w:r>
          </w:p>
        </w:tc>
        <w:tc>
          <w:tcPr>
            <w:tcW w:w="2984" w:type="dxa"/>
          </w:tcPr>
          <w:p w14:paraId="70CD2FBB" w14:textId="21974135" w:rsidR="0012417A" w:rsidRPr="005D484F" w:rsidRDefault="0012417A" w:rsidP="00F6055D">
            <w:pPr>
              <w:pStyle w:val="FirstPar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</w:t>
            </w:r>
          </w:p>
        </w:tc>
      </w:tr>
      <w:tr w:rsidR="0012417A" w:rsidRPr="005D484F" w14:paraId="6DFA130B" w14:textId="0F0561FA" w:rsidTr="00EB6884">
        <w:trPr>
          <w:trHeight w:val="449"/>
        </w:trPr>
        <w:tc>
          <w:tcPr>
            <w:tcW w:w="2366" w:type="dxa"/>
          </w:tcPr>
          <w:p w14:paraId="52BCD9F3" w14:textId="5A3709C0" w:rsidR="0012417A" w:rsidRPr="005D484F" w:rsidRDefault="0012417A" w:rsidP="00F6055D">
            <w:pPr>
              <w:pStyle w:val="FirstPara"/>
              <w:rPr>
                <w:rFonts w:ascii="Times New Roman" w:hAnsi="Times New Roman" w:cs="Times New Roman"/>
              </w:rPr>
            </w:pPr>
            <w:r w:rsidRPr="005D484F">
              <w:rPr>
                <w:rFonts w:ascii="Times New Roman" w:hAnsi="Times New Roman" w:cs="Times New Roman"/>
              </w:rPr>
              <w:t xml:space="preserve">Mean ADC in </w:t>
            </w:r>
            <w:proofErr w:type="spellStart"/>
            <w:r w:rsidRPr="005D484F">
              <w:rPr>
                <w:rFonts w:ascii="Times New Roman" w:hAnsi="Times New Roman" w:cs="Times New Roman"/>
              </w:rPr>
              <w:t>FTBhigh</w:t>
            </w:r>
            <w:proofErr w:type="spellEnd"/>
          </w:p>
        </w:tc>
        <w:tc>
          <w:tcPr>
            <w:tcW w:w="1910" w:type="dxa"/>
          </w:tcPr>
          <w:p w14:paraId="32021AEA" w14:textId="77C16270" w:rsidR="0012417A" w:rsidRPr="005D484F" w:rsidRDefault="0012417A" w:rsidP="00F6055D">
            <w:pPr>
              <w:pStyle w:val="FirstPar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1.320</w:t>
            </w:r>
            <w:r w:rsidRPr="005D484F">
              <w:rPr>
                <w:rFonts w:ascii="Times New Roman" w:hAnsi="Times New Roman" w:cs="Times New Roman"/>
              </w:rPr>
              <w:t xml:space="preserve"> mm</w:t>
            </w:r>
            <w:r w:rsidRPr="005D484F">
              <w:rPr>
                <w:rFonts w:ascii="Times New Roman" w:hAnsi="Times New Roman" w:cs="Times New Roman"/>
                <w:vertAlign w:val="superscript"/>
              </w:rPr>
              <w:t>2</w:t>
            </w:r>
            <w:r w:rsidRPr="005D484F">
              <w:rPr>
                <w:rFonts w:ascii="Times New Roman" w:hAnsi="Times New Roman" w:cs="Times New Roman"/>
              </w:rPr>
              <w:t>/s</w:t>
            </w:r>
          </w:p>
        </w:tc>
        <w:tc>
          <w:tcPr>
            <w:tcW w:w="2205" w:type="dxa"/>
          </w:tcPr>
          <w:p w14:paraId="15CF6278" w14:textId="3361888E" w:rsidR="0012417A" w:rsidRPr="005D484F" w:rsidRDefault="0012417A" w:rsidP="00F6055D">
            <w:pPr>
              <w:pStyle w:val="FirstPara"/>
              <w:rPr>
                <w:rFonts w:ascii="Times New Roman" w:hAnsi="Times New Roman" w:cs="Times New Roman"/>
              </w:rPr>
            </w:pPr>
            <w:r w:rsidRPr="005D484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D484F">
              <w:rPr>
                <w:rFonts w:ascii="Times New Roman" w:hAnsi="Times New Roman" w:cs="Times New Roman"/>
              </w:rPr>
              <w:t>247 mm</w:t>
            </w:r>
            <w:r w:rsidRPr="005D484F">
              <w:rPr>
                <w:rFonts w:ascii="Times New Roman" w:hAnsi="Times New Roman" w:cs="Times New Roman"/>
                <w:vertAlign w:val="superscript"/>
              </w:rPr>
              <w:t>2</w:t>
            </w:r>
            <w:r w:rsidRPr="005D484F">
              <w:rPr>
                <w:rFonts w:ascii="Times New Roman" w:hAnsi="Times New Roman" w:cs="Times New Roman"/>
              </w:rPr>
              <w:t>/s</w:t>
            </w:r>
          </w:p>
        </w:tc>
        <w:tc>
          <w:tcPr>
            <w:tcW w:w="2984" w:type="dxa"/>
          </w:tcPr>
          <w:p w14:paraId="5C8C77EE" w14:textId="77777777" w:rsidR="0012417A" w:rsidRPr="005D484F" w:rsidRDefault="0012417A" w:rsidP="00F6055D">
            <w:pPr>
              <w:pStyle w:val="FirstPara"/>
              <w:rPr>
                <w:rFonts w:ascii="Times New Roman" w:hAnsi="Times New Roman" w:cs="Times New Roman"/>
              </w:rPr>
            </w:pPr>
          </w:p>
        </w:tc>
      </w:tr>
      <w:tr w:rsidR="0012417A" w:rsidRPr="005D484F" w14:paraId="73392769" w14:textId="65702D19" w:rsidTr="00EB6884">
        <w:trPr>
          <w:trHeight w:val="458"/>
        </w:trPr>
        <w:tc>
          <w:tcPr>
            <w:tcW w:w="2366" w:type="dxa"/>
          </w:tcPr>
          <w:p w14:paraId="2DB98389" w14:textId="77B3C0D6" w:rsidR="0012417A" w:rsidRPr="005D484F" w:rsidRDefault="0012417A" w:rsidP="00F6055D">
            <w:pPr>
              <w:pStyle w:val="FirstPara"/>
              <w:rPr>
                <w:rFonts w:ascii="Times New Roman" w:hAnsi="Times New Roman" w:cs="Times New Roman"/>
              </w:rPr>
            </w:pPr>
            <w:r w:rsidRPr="005D484F">
              <w:rPr>
                <w:rFonts w:ascii="Times New Roman" w:hAnsi="Times New Roman" w:cs="Times New Roman"/>
              </w:rPr>
              <w:t xml:space="preserve">Mean ADC in </w:t>
            </w:r>
            <w:proofErr w:type="spellStart"/>
            <w:r w:rsidRPr="005D484F">
              <w:rPr>
                <w:rFonts w:ascii="Times New Roman" w:hAnsi="Times New Roman" w:cs="Times New Roman"/>
              </w:rPr>
              <w:t>FTB</w:t>
            </w:r>
            <w:r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1910" w:type="dxa"/>
          </w:tcPr>
          <w:p w14:paraId="40F7E008" w14:textId="2506AB55" w:rsidR="0012417A" w:rsidRPr="005D484F" w:rsidRDefault="0012417A" w:rsidP="00F6055D">
            <w:pPr>
              <w:pStyle w:val="FirstPar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1.444 </w:t>
            </w:r>
            <w:r w:rsidRPr="005D484F">
              <w:rPr>
                <w:rFonts w:ascii="Times New Roman" w:hAnsi="Times New Roman" w:cs="Times New Roman"/>
              </w:rPr>
              <w:t>mm</w:t>
            </w:r>
            <w:r w:rsidRPr="005D484F">
              <w:rPr>
                <w:rFonts w:ascii="Times New Roman" w:hAnsi="Times New Roman" w:cs="Times New Roman"/>
                <w:vertAlign w:val="superscript"/>
              </w:rPr>
              <w:t>2</w:t>
            </w:r>
            <w:r w:rsidRPr="005D484F">
              <w:rPr>
                <w:rFonts w:ascii="Times New Roman" w:hAnsi="Times New Roman" w:cs="Times New Roman"/>
              </w:rPr>
              <w:t>/s</w:t>
            </w:r>
          </w:p>
        </w:tc>
        <w:tc>
          <w:tcPr>
            <w:tcW w:w="2205" w:type="dxa"/>
          </w:tcPr>
          <w:p w14:paraId="005A74C4" w14:textId="350E9A6C" w:rsidR="0012417A" w:rsidRPr="005D484F" w:rsidRDefault="0012417A" w:rsidP="00F6055D">
            <w:pPr>
              <w:pStyle w:val="FirstPar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1.371 </w:t>
            </w:r>
            <w:r w:rsidRPr="005D484F">
              <w:rPr>
                <w:rFonts w:ascii="Times New Roman" w:hAnsi="Times New Roman" w:cs="Times New Roman"/>
              </w:rPr>
              <w:t>mm</w:t>
            </w:r>
            <w:r w:rsidRPr="005D484F">
              <w:rPr>
                <w:rFonts w:ascii="Times New Roman" w:hAnsi="Times New Roman" w:cs="Times New Roman"/>
                <w:vertAlign w:val="superscript"/>
              </w:rPr>
              <w:t>2</w:t>
            </w:r>
            <w:r w:rsidRPr="005D484F">
              <w:rPr>
                <w:rFonts w:ascii="Times New Roman" w:hAnsi="Times New Roman" w:cs="Times New Roman"/>
              </w:rPr>
              <w:t>/s</w:t>
            </w:r>
          </w:p>
        </w:tc>
        <w:tc>
          <w:tcPr>
            <w:tcW w:w="2984" w:type="dxa"/>
          </w:tcPr>
          <w:p w14:paraId="1B7EFBAA" w14:textId="77777777" w:rsidR="0012417A" w:rsidRDefault="0012417A" w:rsidP="00F6055D">
            <w:pPr>
              <w:pStyle w:val="FirstPara"/>
              <w:rPr>
                <w:rFonts w:ascii="Times New Roman" w:hAnsi="Times New Roman" w:cs="Times New Roman"/>
              </w:rPr>
            </w:pPr>
          </w:p>
        </w:tc>
      </w:tr>
      <w:tr w:rsidR="0012417A" w:rsidRPr="00EB6884" w14:paraId="11DE4AAC" w14:textId="2EED0FA5" w:rsidTr="00EB6884">
        <w:trPr>
          <w:trHeight w:val="458"/>
        </w:trPr>
        <w:tc>
          <w:tcPr>
            <w:tcW w:w="2366" w:type="dxa"/>
          </w:tcPr>
          <w:p w14:paraId="1D1DCC91" w14:textId="53FE4C03" w:rsidR="0012417A" w:rsidRPr="005D484F" w:rsidRDefault="0012417A" w:rsidP="00F6055D">
            <w:pPr>
              <w:pStyle w:val="FirstPara"/>
              <w:rPr>
                <w:rFonts w:ascii="Times New Roman" w:hAnsi="Times New Roman" w:cs="Times New Roman"/>
              </w:rPr>
            </w:pPr>
            <w:r w:rsidRPr="005D484F">
              <w:rPr>
                <w:rFonts w:ascii="Times New Roman" w:hAnsi="Times New Roman" w:cs="Times New Roman"/>
              </w:rPr>
              <w:t>AUROC logistic model</w:t>
            </w:r>
          </w:p>
        </w:tc>
        <w:tc>
          <w:tcPr>
            <w:tcW w:w="1910" w:type="dxa"/>
          </w:tcPr>
          <w:p w14:paraId="1B3D8CC7" w14:textId="02C8BB13" w:rsidR="0012417A" w:rsidRPr="005D484F" w:rsidRDefault="0012417A" w:rsidP="00F6055D">
            <w:pPr>
              <w:pStyle w:val="FirstPar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2205" w:type="dxa"/>
          </w:tcPr>
          <w:p w14:paraId="234E6751" w14:textId="606185CE" w:rsidR="0012417A" w:rsidRPr="005D484F" w:rsidRDefault="0012417A" w:rsidP="00F6055D">
            <w:pPr>
              <w:pStyle w:val="FirstPar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</w:t>
            </w:r>
            <w:r w:rsidR="001C04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4" w:type="dxa"/>
          </w:tcPr>
          <w:p w14:paraId="577E0235" w14:textId="5ED5DB1D" w:rsidR="0012417A" w:rsidRPr="00202385" w:rsidRDefault="00202385" w:rsidP="00202385">
            <w:pPr>
              <w:pStyle w:val="FirstPar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Non-significant 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</w:rPr>
              <w:t>= 0.2</w:t>
            </w:r>
            <w:r w:rsidR="001C041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 via bootstrapping with 2000 iterations)</w:t>
            </w:r>
          </w:p>
        </w:tc>
      </w:tr>
    </w:tbl>
    <w:p w14:paraId="05060678" w14:textId="5AE7EA8F" w:rsidR="004D1FA4" w:rsidRDefault="003854E8" w:rsidP="00FC4741">
      <w:pPr>
        <w:pStyle w:val="FirstPar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As with the </w:t>
      </w:r>
      <w:r w:rsidR="00FC4741">
        <w:rPr>
          <w:rFonts w:ascii="Times New Roman" w:hAnsi="Times New Roman" w:cs="Times New Roman"/>
        </w:rPr>
        <w:t>original measurements</w:t>
      </w:r>
      <w:r>
        <w:rPr>
          <w:rFonts w:ascii="Times New Roman" w:hAnsi="Times New Roman" w:cs="Times New Roman"/>
        </w:rPr>
        <w:t>, the mean ADC differed significantly between the FTB-classes</w:t>
      </w:r>
      <w:r w:rsidR="00C6332F">
        <w:rPr>
          <w:rFonts w:ascii="Times New Roman" w:hAnsi="Times New Roman" w:cs="Times New Roman"/>
        </w:rPr>
        <w:t xml:space="preserve"> </w:t>
      </w:r>
      <w:r w:rsidR="00C6332F" w:rsidRPr="00C6332F">
        <w:rPr>
          <w:rFonts w:ascii="Times New Roman" w:hAnsi="Times New Roman" w:cs="Times New Roman"/>
        </w:rPr>
        <w:t>(</w:t>
      </w:r>
      <w:r w:rsidR="00C6332F">
        <w:rPr>
          <w:rFonts w:ascii="Times New Roman" w:hAnsi="Times New Roman" w:cs="Times New Roman"/>
          <w:i/>
          <w:iCs/>
        </w:rPr>
        <w:t>p</w:t>
      </w:r>
      <w:r w:rsidR="00C6332F">
        <w:rPr>
          <w:rFonts w:ascii="Times New Roman" w:hAnsi="Times New Roman" w:cs="Times New Roman"/>
        </w:rPr>
        <w:t xml:space="preserve"> </w:t>
      </w:r>
      <w:r w:rsidR="00C6332F" w:rsidRPr="00C6332F">
        <w:rPr>
          <w:rFonts w:ascii="Times New Roman" w:hAnsi="Times New Roman" w:cs="Times New Roman"/>
        </w:rPr>
        <w:t>&lt; 0.01).</w:t>
      </w:r>
      <w:r w:rsidR="00C6332F">
        <w:rPr>
          <w:rFonts w:ascii="Times New Roman" w:hAnsi="Times New Roman" w:cs="Times New Roman"/>
        </w:rPr>
        <w:t xml:space="preserve"> </w:t>
      </w:r>
    </w:p>
    <w:p w14:paraId="2F46D18A" w14:textId="77777777" w:rsidR="00FC4741" w:rsidRDefault="00FC4741" w:rsidP="00FC4741">
      <w:pPr>
        <w:pStyle w:val="FirstPara"/>
        <w:rPr>
          <w:rFonts w:ascii="Times New Roman" w:hAnsi="Times New Roman" w:cs="Times New Roman"/>
        </w:rPr>
      </w:pPr>
    </w:p>
    <w:p w14:paraId="5AE6D590" w14:textId="3CD002AD" w:rsidR="009779DC" w:rsidRPr="005D484F" w:rsidRDefault="00F6055D" w:rsidP="00DF7810">
      <w:pPr>
        <w:spacing w:line="276" w:lineRule="auto"/>
        <w:rPr>
          <w:rFonts w:ascii="Times New Roman" w:hAnsi="Times New Roman" w:cs="Times New Roman"/>
          <w:lang w:val="en-US"/>
        </w:rPr>
      </w:pPr>
      <w:r w:rsidRPr="005D484F">
        <w:rPr>
          <w:rFonts w:ascii="Times New Roman" w:hAnsi="Times New Roman" w:cs="Times New Roman"/>
          <w:lang w:val="en-US"/>
        </w:rPr>
        <w:t>The usage of this post-hoc calculation illustrated that the impact</w:t>
      </w:r>
      <w:r w:rsidR="00CE393A" w:rsidRPr="005D484F">
        <w:rPr>
          <w:rFonts w:ascii="Times New Roman" w:hAnsi="Times New Roman" w:cs="Times New Roman"/>
          <w:lang w:val="en-US"/>
        </w:rPr>
        <w:t xml:space="preserve"> of perfusion on our measured diffusion</w:t>
      </w:r>
      <w:r w:rsidRPr="005D484F">
        <w:rPr>
          <w:rFonts w:ascii="Times New Roman" w:hAnsi="Times New Roman" w:cs="Times New Roman"/>
          <w:lang w:val="en-US"/>
        </w:rPr>
        <w:t xml:space="preserve"> is likely </w:t>
      </w:r>
      <w:r w:rsidR="00CE393A" w:rsidRPr="005D484F">
        <w:rPr>
          <w:rFonts w:ascii="Times New Roman" w:hAnsi="Times New Roman" w:cs="Times New Roman"/>
          <w:lang w:val="en-US"/>
        </w:rPr>
        <w:t>limited</w:t>
      </w:r>
      <w:r w:rsidR="00FC4741">
        <w:rPr>
          <w:rFonts w:ascii="Times New Roman" w:hAnsi="Times New Roman" w:cs="Times New Roman"/>
          <w:lang w:val="en-US"/>
        </w:rPr>
        <w:t>,</w:t>
      </w:r>
      <w:r w:rsidR="00CE393A" w:rsidRPr="005D484F">
        <w:rPr>
          <w:rFonts w:ascii="Times New Roman" w:hAnsi="Times New Roman" w:cs="Times New Roman"/>
          <w:lang w:val="en-US"/>
        </w:rPr>
        <w:t xml:space="preserve"> </w:t>
      </w:r>
      <w:r w:rsidR="009779DC" w:rsidRPr="005D484F">
        <w:rPr>
          <w:rFonts w:ascii="Times New Roman" w:hAnsi="Times New Roman" w:cs="Times New Roman"/>
          <w:lang w:val="en-US"/>
        </w:rPr>
        <w:t>as the</w:t>
      </w:r>
      <w:r w:rsidR="004D1FA4">
        <w:rPr>
          <w:rFonts w:ascii="Times New Roman" w:hAnsi="Times New Roman" w:cs="Times New Roman"/>
          <w:lang w:val="en-US"/>
        </w:rPr>
        <w:t xml:space="preserve"> primary</w:t>
      </w:r>
      <w:r w:rsidR="009779DC" w:rsidRPr="005D484F">
        <w:rPr>
          <w:rFonts w:ascii="Times New Roman" w:hAnsi="Times New Roman" w:cs="Times New Roman"/>
          <w:lang w:val="en-US"/>
        </w:rPr>
        <w:t xml:space="preserve"> outcomes of this manuscript did not change</w:t>
      </w:r>
      <w:r w:rsidR="004D1FA4">
        <w:rPr>
          <w:rFonts w:ascii="Times New Roman" w:hAnsi="Times New Roman" w:cs="Times New Roman"/>
          <w:lang w:val="en-US"/>
        </w:rPr>
        <w:t xml:space="preserve">. The usage of </w:t>
      </w:r>
      <w:r w:rsidR="00CE2E87">
        <w:rPr>
          <w:rFonts w:ascii="Times New Roman" w:hAnsi="Times New Roman" w:cs="Times New Roman"/>
          <w:lang w:val="en-US"/>
        </w:rPr>
        <w:t>a b&gt;200 value instead of the b0 used in this manuscript for future research is however still recommended.</w:t>
      </w:r>
    </w:p>
    <w:sectPr w:rsidR="009779DC" w:rsidRPr="005D4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10"/>
    <w:rsid w:val="00001A2B"/>
    <w:rsid w:val="0011503E"/>
    <w:rsid w:val="0012417A"/>
    <w:rsid w:val="001C0415"/>
    <w:rsid w:val="00202385"/>
    <w:rsid w:val="00330B25"/>
    <w:rsid w:val="003854E8"/>
    <w:rsid w:val="003F01F3"/>
    <w:rsid w:val="00415A64"/>
    <w:rsid w:val="004D1FA4"/>
    <w:rsid w:val="005A1CE3"/>
    <w:rsid w:val="005D484F"/>
    <w:rsid w:val="006C2EC2"/>
    <w:rsid w:val="006D6B6B"/>
    <w:rsid w:val="00747D4E"/>
    <w:rsid w:val="007F36E8"/>
    <w:rsid w:val="00805F00"/>
    <w:rsid w:val="008106BC"/>
    <w:rsid w:val="0083254B"/>
    <w:rsid w:val="009613D0"/>
    <w:rsid w:val="009779DC"/>
    <w:rsid w:val="009C1AC8"/>
    <w:rsid w:val="009F2354"/>
    <w:rsid w:val="00A20B27"/>
    <w:rsid w:val="00AA0C40"/>
    <w:rsid w:val="00AA17CE"/>
    <w:rsid w:val="00AE0B36"/>
    <w:rsid w:val="00BA722C"/>
    <w:rsid w:val="00C6332F"/>
    <w:rsid w:val="00CE2E87"/>
    <w:rsid w:val="00CE393A"/>
    <w:rsid w:val="00DE6465"/>
    <w:rsid w:val="00DF7810"/>
    <w:rsid w:val="00EB6884"/>
    <w:rsid w:val="00F30DA6"/>
    <w:rsid w:val="00F6055D"/>
    <w:rsid w:val="00FC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22B9"/>
  <w15:chartTrackingRefBased/>
  <w15:docId w15:val="{2C3BC648-3594-4CD3-9CD2-5998FA19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F7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7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7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7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7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7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7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7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7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7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7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7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78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78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78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78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78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78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7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7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7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7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7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78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78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78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7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78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7810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F78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F7810"/>
    <w:pPr>
      <w:widowControl w:val="0"/>
      <w:autoSpaceDE w:val="0"/>
      <w:autoSpaceDN w:val="0"/>
      <w:spacing w:before="80" w:after="0" w:line="276" w:lineRule="auto"/>
      <w:jc w:val="both"/>
    </w:pPr>
    <w:rPr>
      <w:rFonts w:ascii="Trebuchet MS" w:eastAsia="Times New Roman" w:hAnsi="Trebuchet MS" w:cs="Times New Roman"/>
      <w:kern w:val="0"/>
      <w:sz w:val="20"/>
      <w:szCs w:val="20"/>
      <w:lang w:val="en-US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F7810"/>
    <w:rPr>
      <w:rFonts w:ascii="Trebuchet MS" w:eastAsia="Times New Roman" w:hAnsi="Trebuchet MS" w:cs="Times New Roman"/>
      <w:kern w:val="0"/>
      <w:sz w:val="20"/>
      <w:szCs w:val="20"/>
      <w:lang w:val="en-US"/>
      <w14:ligatures w14:val="none"/>
    </w:rPr>
  </w:style>
  <w:style w:type="paragraph" w:customStyle="1" w:styleId="FirstPara">
    <w:name w:val="FirstPara"/>
    <w:basedOn w:val="Standaard"/>
    <w:link w:val="FirstParaChar"/>
    <w:qFormat/>
    <w:rsid w:val="00DF7810"/>
    <w:pPr>
      <w:autoSpaceDE w:val="0"/>
      <w:autoSpaceDN w:val="0"/>
      <w:spacing w:before="80" w:after="0" w:line="276" w:lineRule="auto"/>
    </w:pPr>
    <w:rPr>
      <w:rFonts w:eastAsia="Times New Roman" w:cstheme="minorHAnsi"/>
      <w:kern w:val="0"/>
      <w:szCs w:val="16"/>
      <w:lang w:val="en-US"/>
      <w14:ligatures w14:val="none"/>
    </w:rPr>
  </w:style>
  <w:style w:type="character" w:customStyle="1" w:styleId="FirstParaChar">
    <w:name w:val="FirstPara Char"/>
    <w:basedOn w:val="Standaardalinea-lettertype"/>
    <w:link w:val="FirstPara"/>
    <w:rsid w:val="00DF7810"/>
    <w:rPr>
      <w:rFonts w:eastAsia="Times New Roman" w:cstheme="minorHAnsi"/>
      <w:kern w:val="0"/>
      <w:szCs w:val="16"/>
      <w:lang w:val="en-US"/>
      <w14:ligatures w14:val="none"/>
    </w:rPr>
  </w:style>
  <w:style w:type="table" w:styleId="Tabelraster">
    <w:name w:val="Table Grid"/>
    <w:basedOn w:val="Standaardtabel"/>
    <w:uiPriority w:val="39"/>
    <w:rsid w:val="00115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1AC8"/>
    <w:pPr>
      <w:widowControl/>
      <w:autoSpaceDE/>
      <w:autoSpaceDN/>
      <w:spacing w:before="0" w:after="160" w:line="240" w:lineRule="auto"/>
      <w:jc w:val="left"/>
    </w:pPr>
    <w:rPr>
      <w:rFonts w:asciiTheme="minorHAnsi" w:eastAsiaTheme="minorHAnsi" w:hAnsiTheme="minorHAnsi" w:cstheme="minorBidi"/>
      <w:b/>
      <w:bCs/>
      <w:kern w:val="2"/>
      <w:lang w:val="nl-NL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1AC8"/>
    <w:rPr>
      <w:rFonts w:ascii="Trebuchet MS" w:eastAsia="Times New Roman" w:hAnsi="Trebuchet MS" w:cs="Times New Roman"/>
      <w:b/>
      <w:bCs/>
      <w:kern w:val="0"/>
      <w:sz w:val="20"/>
      <w:szCs w:val="20"/>
      <w:lang w:val="en-US"/>
      <w14:ligatures w14:val="none"/>
    </w:rPr>
  </w:style>
  <w:style w:type="paragraph" w:styleId="Revisie">
    <w:name w:val="Revision"/>
    <w:hidden/>
    <w:uiPriority w:val="99"/>
    <w:semiHidden/>
    <w:rsid w:val="00DE64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 Herings</dc:creator>
  <cp:keywords/>
  <dc:description/>
  <cp:lastModifiedBy>Siem Herings</cp:lastModifiedBy>
  <cp:revision>10</cp:revision>
  <dcterms:created xsi:type="dcterms:W3CDTF">2026-02-15T08:05:00Z</dcterms:created>
  <dcterms:modified xsi:type="dcterms:W3CDTF">2026-03-25T14:54:00Z</dcterms:modified>
</cp:coreProperties>
</file>